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3068"/>
        </w:tabs>
        <w:rPr>
          <w:rFonts w:ascii="Arial" w:cs="Arial" w:eastAsia="Arial" w:hAnsi="Arial"/>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845466</wp:posOffset>
            </wp:positionH>
            <wp:positionV relativeFrom="paragraph">
              <wp:posOffset>-643260</wp:posOffset>
            </wp:positionV>
            <wp:extent cx="3448393" cy="1265275"/>
            <wp:effectExtent b="0" l="0" r="0" t="0"/>
            <wp:wrapNone/>
            <wp:docPr descr="F:\ExpoCiencias centro 2026 - logo.png" id="1" name="image1.png"/>
            <a:graphic>
              <a:graphicData uri="http://schemas.openxmlformats.org/drawingml/2006/picture">
                <pic:pic>
                  <pic:nvPicPr>
                    <pic:cNvPr descr="F:\ExpoCiencias centro 2026 - logo.png" id="0" name="image1.png"/>
                    <pic:cNvPicPr preferRelativeResize="0"/>
                  </pic:nvPicPr>
                  <pic:blipFill>
                    <a:blip r:embed="rId7"/>
                    <a:srcRect b="32030" l="0" r="0" t="31278"/>
                    <a:stretch>
                      <a:fillRect/>
                    </a:stretch>
                  </pic:blipFill>
                  <pic:spPr>
                    <a:xfrm>
                      <a:off x="0" y="0"/>
                      <a:ext cx="3448393" cy="1265275"/>
                    </a:xfrm>
                    <a:prstGeom prst="rect"/>
                    <a:ln/>
                  </pic:spPr>
                </pic:pic>
              </a:graphicData>
            </a:graphic>
          </wp:anchor>
        </w:drawing>
      </w:r>
    </w:p>
    <w:p w:rsidR="00000000" w:rsidDel="00000000" w:rsidP="00000000" w:rsidRDefault="00000000" w:rsidRPr="00000000" w14:paraId="00000002">
      <w:pPr>
        <w:tabs>
          <w:tab w:val="left" w:leader="none" w:pos="3068"/>
        </w:tabs>
        <w:rPr>
          <w:rFonts w:ascii="Arial" w:cs="Arial" w:eastAsia="Arial" w:hAnsi="Arial"/>
        </w:rPr>
      </w:pPr>
      <w:r w:rsidDel="00000000" w:rsidR="00000000" w:rsidRPr="00000000">
        <w:rPr>
          <w:rtl w:val="0"/>
        </w:rPr>
      </w:r>
    </w:p>
    <w:p w:rsidR="00000000" w:rsidDel="00000000" w:rsidP="00000000" w:rsidRDefault="00000000" w:rsidRPr="00000000" w14:paraId="00000003">
      <w:pPr>
        <w:shd w:fill="ffffff" w:val="clear"/>
        <w:tabs>
          <w:tab w:val="left" w:leader="none" w:pos="3068"/>
        </w:tabs>
        <w:rPr>
          <w:rFonts w:ascii="Arial" w:cs="Arial" w:eastAsia="Arial" w:hAnsi="Arial"/>
        </w:rPr>
      </w:pPr>
      <w:r w:rsidDel="00000000" w:rsidR="00000000" w:rsidRPr="00000000">
        <w:rPr>
          <w:rtl w:val="0"/>
        </w:rPr>
      </w:r>
    </w:p>
    <w:tbl>
      <w:tblPr>
        <w:tblStyle w:val="Table1"/>
        <w:tblpPr w:leftFromText="141" w:rightFromText="141" w:topFromText="0" w:bottomFromText="0" w:vertAnchor="text" w:horzAnchor="text" w:tblpX="112.50000000000057" w:tblpY="89"/>
        <w:tblW w:w="861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0"/>
        <w:gridCol w:w="709"/>
        <w:gridCol w:w="284"/>
        <w:gridCol w:w="567"/>
        <w:gridCol w:w="3543"/>
        <w:tblGridChange w:id="0">
          <w:tblGrid>
            <w:gridCol w:w="3510"/>
            <w:gridCol w:w="709"/>
            <w:gridCol w:w="284"/>
            <w:gridCol w:w="567"/>
            <w:gridCol w:w="3543"/>
          </w:tblGrid>
        </w:tblGridChange>
      </w:tblGrid>
      <w:tr>
        <w:trPr>
          <w:cantSplit w:val="0"/>
          <w:trHeight w:val="420" w:hRule="atLeast"/>
          <w:tblHeader w:val="0"/>
        </w:trPr>
        <w:tc>
          <w:tcPr>
            <w:gridSpan w:val="5"/>
            <w:shd w:fill="000000" w:val="clear"/>
            <w:vAlign w:val="center"/>
          </w:tcPr>
          <w:p w:rsidR="00000000" w:rsidDel="00000000" w:rsidP="00000000" w:rsidRDefault="00000000" w:rsidRPr="00000000" w14:paraId="00000004">
            <w:pPr>
              <w:rPr>
                <w:rFonts w:ascii="Arial" w:cs="Arial" w:eastAsia="Arial" w:hAnsi="Arial"/>
                <w:b w:val="1"/>
                <w:bCs w:val="1"/>
              </w:rPr>
            </w:pPr>
            <w:r w:rsidDel="00000000" w:rsidR="00000000" w:rsidRPr="00000000">
              <w:rPr>
                <w:rFonts w:ascii="Arial" w:cs="Arial" w:eastAsia="Arial" w:hAnsi="Arial"/>
                <w:b w:val="1"/>
                <w:bCs w:val="1"/>
                <w:color w:val="ffffff"/>
                <w:rtl w:val="0"/>
              </w:rPr>
              <w:t xml:space="preserve">TÍTULO:</w:t>
            </w:r>
            <w:r w:rsidDel="00000000" w:rsidR="00000000" w:rsidRPr="00000000">
              <w:rPr>
                <w:rtl w:val="0"/>
              </w:rPr>
            </w:r>
          </w:p>
        </w:tc>
      </w:tr>
      <w:tr>
        <w:trPr>
          <w:cantSplit w:val="0"/>
          <w:trHeight w:val="2263" w:hRule="atLeast"/>
          <w:tblHeader w:val="0"/>
        </w:trPr>
        <w:tc>
          <w:tcPr>
            <w:gridSpan w:val="5"/>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rtl w:val="0"/>
              </w:rPr>
              <w:t xml:space="preserve">Control de plagas para la caña de azúcar</w:t>
            </w:r>
          </w:p>
        </w:tc>
      </w:tr>
      <w:tr>
        <w:trPr>
          <w:cantSplit w:val="0"/>
          <w:tblHeader w:val="0"/>
        </w:trPr>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0E">
            <w:pPr>
              <w:rPr>
                <w:rFonts w:ascii="Arial" w:cs="Arial" w:eastAsia="Arial" w:hAnsi="Arial"/>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010">
            <w:pPr>
              <w:rPr>
                <w:rFonts w:ascii="Arial" w:cs="Arial" w:eastAsia="Arial" w:hAnsi="Arial"/>
              </w:rPr>
            </w:pPr>
            <w:r w:rsidDel="00000000" w:rsidR="00000000" w:rsidRPr="00000000">
              <w:rPr>
                <w:rtl w:val="0"/>
              </w:rPr>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11">
            <w:pPr>
              <w:rPr>
                <w:rFonts w:ascii="Arial" w:cs="Arial" w:eastAsia="Arial" w:hAnsi="Arial"/>
              </w:rPr>
            </w:pPr>
            <w:r w:rsidDel="00000000" w:rsidR="00000000" w:rsidRPr="00000000">
              <w:rPr>
                <w:rtl w:val="0"/>
              </w:rPr>
            </w:r>
          </w:p>
        </w:tc>
      </w:tr>
      <w:tr>
        <w:trPr>
          <w:cantSplit w:val="0"/>
          <w:tblHeader w:val="0"/>
        </w:trPr>
        <w:tc>
          <w:tcPr>
            <w:gridSpan w:val="2"/>
            <w:tcBorders>
              <w:top w:color="000000" w:space="0" w:sz="4" w:val="single"/>
            </w:tcBorders>
            <w:shd w:fill="000000" w:val="clear"/>
            <w:vAlign w:val="center"/>
          </w:tcPr>
          <w:p w:rsidR="00000000" w:rsidDel="00000000" w:rsidP="00000000" w:rsidRDefault="00000000" w:rsidRPr="00000000" w14:paraId="00000013">
            <w:pP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CATEGORÍA (selecciona una):</w:t>
            </w:r>
          </w:p>
        </w:tc>
        <w:tc>
          <w:tcPr>
            <w:tcBorders>
              <w:top w:color="000000" w:space="0" w:sz="0" w:val="nil"/>
              <w:bottom w:color="000000" w:space="0" w:sz="0" w:val="nil"/>
            </w:tcBorders>
            <w:vAlign w:val="center"/>
          </w:tcPr>
          <w:p w:rsidR="00000000" w:rsidDel="00000000" w:rsidP="00000000" w:rsidRDefault="00000000" w:rsidRPr="00000000" w14:paraId="00000015">
            <w:pPr>
              <w:rPr>
                <w:rFonts w:ascii="Arial" w:cs="Arial" w:eastAsia="Arial" w:hAnsi="Arial"/>
              </w:rPr>
            </w:pPr>
            <w:r w:rsidDel="00000000" w:rsidR="00000000" w:rsidRPr="00000000">
              <w:rPr>
                <w:rtl w:val="0"/>
              </w:rPr>
            </w:r>
          </w:p>
        </w:tc>
        <w:tc>
          <w:tcPr>
            <w:gridSpan w:val="2"/>
            <w:tcBorders>
              <w:top w:color="000000" w:space="0" w:sz="4" w:val="single"/>
            </w:tcBorders>
            <w:shd w:fill="000000" w:val="clear"/>
            <w:vAlign w:val="center"/>
          </w:tcPr>
          <w:p w:rsidR="00000000" w:rsidDel="00000000" w:rsidP="00000000" w:rsidRDefault="00000000" w:rsidRPr="00000000" w14:paraId="00000016">
            <w:pP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AUTORES:</w:t>
            </w:r>
          </w:p>
        </w:tc>
      </w:tr>
      <w:tr>
        <w:trPr>
          <w:cantSplit w:val="0"/>
          <w:tblHeader w:val="0"/>
        </w:trPr>
        <w:tc>
          <w:tcPr>
            <w:vAlign w:val="center"/>
          </w:tcPr>
          <w:p w:rsidR="00000000" w:rsidDel="00000000" w:rsidP="00000000" w:rsidRDefault="00000000" w:rsidRPr="00000000" w14:paraId="00000018">
            <w:pPr>
              <w:rPr>
                <w:rFonts w:ascii="Arial" w:cs="Arial" w:eastAsia="Arial" w:hAnsi="Arial"/>
              </w:rPr>
            </w:pPr>
            <w:r w:rsidDel="00000000" w:rsidR="00000000" w:rsidRPr="00000000">
              <w:rPr>
                <w:rtl w:val="0"/>
              </w:rPr>
            </w:r>
          </w:p>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MEDIA SUPERIOR </w:t>
            </w:r>
          </w:p>
        </w:tc>
        <w:tc>
          <w:tcPr>
            <w:vAlign w:val="center"/>
          </w:tcPr>
          <w:p w:rsidR="00000000" w:rsidDel="00000000" w:rsidP="00000000" w:rsidRDefault="00000000" w:rsidRPr="00000000" w14:paraId="0000001A">
            <w:pPr>
              <w:rPr>
                <w:rFonts w:ascii="Arial" w:cs="Arial" w:eastAsia="Arial" w:hAnsi="Arial"/>
              </w:rPr>
            </w:pPr>
            <w:r w:rsidDel="00000000" w:rsidR="00000000" w:rsidRPr="00000000">
              <w:rPr>
                <w:rtl w:val="0"/>
              </w:rPr>
            </w:r>
          </w:p>
        </w:tc>
        <w:tc>
          <w:tcPr>
            <w:tcBorders>
              <w:top w:color="000000" w:space="0" w:sz="0" w:val="nil"/>
              <w:bottom w:color="000000" w:space="0" w:sz="0" w:val="nil"/>
            </w:tcBorders>
            <w:vAlign w:val="center"/>
          </w:tcPr>
          <w:p w:rsidR="00000000" w:rsidDel="00000000" w:rsidP="00000000" w:rsidRDefault="00000000" w:rsidRPr="00000000" w14:paraId="0000001B">
            <w:pPr>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01C">
            <w:pPr>
              <w:rPr>
                <w:rFonts w:ascii="Arial" w:cs="Arial" w:eastAsia="Arial" w:hAnsi="Arial"/>
              </w:rPr>
            </w:pPr>
            <w:r w:rsidDel="00000000" w:rsidR="00000000" w:rsidRPr="00000000">
              <w:rPr>
                <w:rtl w:val="0"/>
              </w:rPr>
            </w:r>
          </w:p>
          <w:p w:rsidR="00000000" w:rsidDel="00000000" w:rsidP="00000000" w:rsidRDefault="00000000" w:rsidRPr="00000000" w14:paraId="0000001D">
            <w:pPr>
              <w:rPr>
                <w:rFonts w:ascii="Arial" w:cs="Arial" w:eastAsia="Arial" w:hAnsi="Arial"/>
              </w:rPr>
            </w:pPr>
            <w:r w:rsidDel="00000000" w:rsidR="00000000" w:rsidRPr="00000000">
              <w:rPr>
                <w:rtl w:val="0"/>
              </w:rPr>
            </w:r>
          </w:p>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rtl w:val="0"/>
              </w:rPr>
              <w:t xml:space="preserve">1.</w:t>
            </w:r>
          </w:p>
        </w:tc>
        <w:tc>
          <w:tcPr>
            <w:vMerge w:val="restart"/>
          </w:tcPr>
          <w:p w:rsidR="00000000" w:rsidDel="00000000" w:rsidP="00000000" w:rsidRDefault="00000000" w:rsidRPr="00000000" w14:paraId="0000001F">
            <w:pPr>
              <w:rPr>
                <w:rFonts w:ascii="Arial" w:cs="Arial" w:eastAsia="Arial" w:hAnsi="Arial"/>
              </w:rPr>
            </w:pPr>
            <w:r w:rsidDel="00000000" w:rsidR="00000000" w:rsidRPr="00000000">
              <w:rPr>
                <w:rtl w:val="0"/>
              </w:rPr>
            </w:r>
          </w:p>
          <w:p w:rsidR="00000000" w:rsidDel="00000000" w:rsidP="00000000" w:rsidRDefault="00000000" w:rsidRPr="00000000" w14:paraId="00000020">
            <w:pPr>
              <w:rPr>
                <w:rFonts w:ascii="Arial" w:cs="Arial" w:eastAsia="Arial" w:hAnsi="Arial"/>
              </w:rPr>
            </w:pPr>
            <w:r w:rsidDel="00000000" w:rsidR="00000000" w:rsidRPr="00000000">
              <w:rPr>
                <w:rtl w:val="0"/>
              </w:rPr>
            </w:r>
          </w:p>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rtl w:val="0"/>
              </w:rPr>
              <w:t xml:space="preserve">José Valentin Contreras Gómez</w:t>
            </w:r>
          </w:p>
        </w:tc>
      </w:tr>
      <w:tr>
        <w:trPr>
          <w:cantSplit w:val="0"/>
          <w:trHeight w:val="494" w:hRule="atLeast"/>
          <w:tblHeader w:val="0"/>
        </w:trPr>
        <w:tc>
          <w:tcPr>
            <w:tcBorders>
              <w:bottom w:color="000000" w:space="0" w:sz="4" w:val="single"/>
            </w:tcBorders>
            <w:vAlign w:val="center"/>
          </w:tcPr>
          <w:p w:rsidR="00000000" w:rsidDel="00000000" w:rsidP="00000000" w:rsidRDefault="00000000" w:rsidRPr="00000000" w14:paraId="00000022">
            <w:pPr>
              <w:rPr>
                <w:rFonts w:ascii="Arial" w:cs="Arial" w:eastAsia="Arial" w:hAnsi="Arial"/>
              </w:rPr>
            </w:pPr>
            <w:r w:rsidDel="00000000" w:rsidR="00000000" w:rsidRPr="00000000">
              <w:rPr>
                <w:rFonts w:ascii="Arial" w:cs="Arial" w:eastAsia="Arial" w:hAnsi="Arial"/>
                <w:rtl w:val="0"/>
              </w:rPr>
              <w:t xml:space="preserve">SUPERIOR </w:t>
            </w:r>
          </w:p>
        </w:tc>
        <w:tc>
          <w:tcPr>
            <w:tcBorders>
              <w:bottom w:color="000000" w:space="0" w:sz="4" w:val="single"/>
            </w:tcBorders>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bottom w:color="000000" w:space="0" w:sz="0" w:val="nil"/>
            </w:tcBorders>
            <w:vAlign w:val="center"/>
          </w:tcPr>
          <w:p w:rsidR="00000000" w:rsidDel="00000000" w:rsidP="00000000" w:rsidRDefault="00000000" w:rsidRPr="00000000" w14:paraId="00000024">
            <w:pPr>
              <w:rPr>
                <w:rFonts w:ascii="Arial" w:cs="Arial" w:eastAsia="Arial" w:hAnsi="Arial"/>
              </w:rPr>
            </w:pPr>
            <w:r w:rsidDel="00000000" w:rsidR="00000000" w:rsidRPr="00000000">
              <w:rPr>
                <w:rtl w:val="0"/>
              </w:rPr>
            </w:r>
          </w:p>
        </w:tc>
        <w:tc>
          <w:tcPr>
            <w:vMerge w:val="continue"/>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Merge w:val="continue"/>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r>
      <w:tr>
        <w:trPr>
          <w:cantSplit w:val="0"/>
          <w:tblHeader w:val="0"/>
        </w:trPr>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27">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0" w:val="nil"/>
            </w:tcBorders>
            <w:vAlign w:val="center"/>
          </w:tcPr>
          <w:p w:rsidR="00000000" w:rsidDel="00000000" w:rsidP="00000000" w:rsidRDefault="00000000" w:rsidRPr="00000000" w14:paraId="00000029">
            <w:pPr>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02A">
            <w:pPr>
              <w:rPr>
                <w:rFonts w:ascii="Arial" w:cs="Arial" w:eastAsia="Arial" w:hAnsi="Arial"/>
              </w:rPr>
            </w:pPr>
            <w:r w:rsidDel="00000000" w:rsidR="00000000" w:rsidRPr="00000000">
              <w:rPr>
                <w:rtl w:val="0"/>
              </w:rPr>
            </w:r>
          </w:p>
          <w:p w:rsidR="00000000" w:rsidDel="00000000" w:rsidP="00000000" w:rsidRDefault="00000000" w:rsidRPr="00000000" w14:paraId="0000002B">
            <w:pPr>
              <w:rPr>
                <w:rFonts w:ascii="Arial" w:cs="Arial" w:eastAsia="Arial" w:hAnsi="Arial"/>
              </w:rPr>
            </w:pPr>
            <w:r w:rsidDel="00000000" w:rsidR="00000000" w:rsidRPr="00000000">
              <w:rPr>
                <w:rtl w:val="0"/>
              </w:rPr>
            </w:r>
          </w:p>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rtl w:val="0"/>
              </w:rPr>
              <w:t xml:space="preserve">2.</w:t>
            </w:r>
          </w:p>
          <w:p w:rsidR="00000000" w:rsidDel="00000000" w:rsidP="00000000" w:rsidRDefault="00000000" w:rsidRPr="00000000" w14:paraId="0000002D">
            <w:pPr>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02E">
            <w:pPr>
              <w:rPr>
                <w:rFonts w:ascii="Arial" w:cs="Arial" w:eastAsia="Arial" w:hAnsi="Arial"/>
              </w:rPr>
            </w:pPr>
            <w:r w:rsidDel="00000000" w:rsidR="00000000" w:rsidRPr="00000000">
              <w:rPr>
                <w:rtl w:val="0"/>
              </w:rPr>
            </w:r>
          </w:p>
          <w:p w:rsidR="00000000" w:rsidDel="00000000" w:rsidP="00000000" w:rsidRDefault="00000000" w:rsidRPr="00000000" w14:paraId="0000002F">
            <w:pPr>
              <w:rPr>
                <w:rFonts w:ascii="Arial" w:cs="Arial" w:eastAsia="Arial" w:hAnsi="Arial"/>
              </w:rPr>
            </w:pPr>
            <w:r w:rsidDel="00000000" w:rsidR="00000000" w:rsidRPr="00000000">
              <w:rPr>
                <w:rFonts w:ascii="Arial" w:cs="Arial" w:eastAsia="Arial" w:hAnsi="Arial"/>
                <w:rtl w:val="0"/>
              </w:rPr>
              <w:t xml:space="preserve">Eduardo Murillo López</w:t>
            </w:r>
          </w:p>
          <w:p w:rsidR="00000000" w:rsidDel="00000000" w:rsidP="00000000" w:rsidRDefault="00000000" w:rsidRPr="00000000" w14:paraId="00000030">
            <w:pPr>
              <w:rPr>
                <w:rFonts w:ascii="Arial" w:cs="Arial" w:eastAsia="Arial" w:hAnsi="Arial"/>
              </w:rPr>
            </w:pPr>
            <w:r w:rsidDel="00000000" w:rsidR="00000000" w:rsidRPr="00000000">
              <w:rPr>
                <w:rtl w:val="0"/>
              </w:rPr>
            </w:r>
          </w:p>
          <w:p w:rsidR="00000000" w:rsidDel="00000000" w:rsidP="00000000" w:rsidRDefault="00000000" w:rsidRPr="00000000" w14:paraId="00000031">
            <w:pPr>
              <w:rPr>
                <w:rFonts w:ascii="Arial" w:cs="Arial" w:eastAsia="Arial" w:hAnsi="Arial"/>
              </w:rPr>
            </w:pPr>
            <w:r w:rsidDel="00000000" w:rsidR="00000000" w:rsidRPr="00000000">
              <w:rPr>
                <w:rtl w:val="0"/>
              </w:rPr>
            </w:r>
          </w:p>
        </w:tc>
      </w:tr>
      <w:tr>
        <w:trPr>
          <w:cantSplit w:val="0"/>
          <w:trHeight w:val="85" w:hRule="atLeast"/>
          <w:tblHeader w:val="0"/>
        </w:trPr>
        <w:tc>
          <w:tcPr>
            <w:gridSpan w:val="2"/>
            <w:tcBorders>
              <w:top w:color="000000" w:space="0" w:sz="4" w:val="single"/>
            </w:tcBorders>
            <w:shd w:fill="000000" w:val="clear"/>
            <w:vAlign w:val="center"/>
          </w:tcPr>
          <w:p w:rsidR="00000000" w:rsidDel="00000000" w:rsidP="00000000" w:rsidRDefault="00000000" w:rsidRPr="00000000" w14:paraId="00000032">
            <w:pPr>
              <w:rPr>
                <w:rFonts w:ascii="Arial" w:cs="Arial" w:eastAsia="Arial" w:hAnsi="Arial"/>
                <w:b w:val="1"/>
                <w:bCs w:val="1"/>
              </w:rPr>
            </w:pPr>
            <w:r w:rsidDel="00000000" w:rsidR="00000000" w:rsidRPr="00000000">
              <w:rPr>
                <w:rFonts w:ascii="Arial" w:cs="Arial" w:eastAsia="Arial" w:hAnsi="Arial"/>
                <w:b w:val="1"/>
                <w:bCs w:val="1"/>
                <w:color w:val="ffffff"/>
                <w:rtl w:val="0"/>
              </w:rPr>
              <w:t xml:space="preserve">ÁREA DE PARTICIPACIÓN (selecciona una):</w:t>
            </w:r>
            <w:r w:rsidDel="00000000" w:rsidR="00000000" w:rsidRPr="00000000">
              <w:rPr>
                <w:rtl w:val="0"/>
              </w:rPr>
            </w:r>
          </w:p>
        </w:tc>
        <w:tc>
          <w:tcPr>
            <w:tcBorders>
              <w:top w:color="000000" w:space="0" w:sz="0" w:val="nil"/>
              <w:bottom w:color="000000" w:space="0" w:sz="0" w:val="nil"/>
            </w:tcBorders>
            <w:vAlign w:val="center"/>
          </w:tcPr>
          <w:p w:rsidR="00000000" w:rsidDel="00000000" w:rsidP="00000000" w:rsidRDefault="00000000" w:rsidRPr="00000000" w14:paraId="00000034">
            <w:pPr>
              <w:rPr>
                <w:rFonts w:ascii="Arial" w:cs="Arial" w:eastAsia="Arial" w:hAnsi="Arial"/>
              </w:rPr>
            </w:pPr>
            <w:r w:rsidDel="00000000" w:rsidR="00000000" w:rsidRPr="00000000">
              <w:rPr>
                <w:rtl w:val="0"/>
              </w:rPr>
            </w:r>
          </w:p>
        </w:tc>
        <w:tc>
          <w:tcPr>
            <w:vMerge w:val="continue"/>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Merge w:val="continue"/>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rtl w:val="0"/>
              </w:rPr>
              <w:t xml:space="preserve">CIENCIAS ESPACIALES </w:t>
            </w:r>
          </w:p>
          <w:p w:rsidR="00000000" w:rsidDel="00000000" w:rsidP="00000000" w:rsidRDefault="00000000" w:rsidRPr="00000000" w14:paraId="00000038">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39">
            <w:pPr>
              <w:rPr>
                <w:rFonts w:ascii="Arial" w:cs="Arial" w:eastAsia="Arial" w:hAnsi="Arial"/>
              </w:rPr>
            </w:pPr>
            <w:r w:rsidDel="00000000" w:rsidR="00000000" w:rsidRPr="00000000">
              <w:rPr>
                <w:rtl w:val="0"/>
              </w:rPr>
            </w:r>
          </w:p>
        </w:tc>
        <w:tc>
          <w:tcPr>
            <w:tcBorders>
              <w:top w:color="000000" w:space="0" w:sz="0" w:val="nil"/>
              <w:bottom w:color="000000" w:space="0" w:sz="0" w:val="nil"/>
            </w:tcBorders>
            <w:vAlign w:val="center"/>
          </w:tcPr>
          <w:p w:rsidR="00000000" w:rsidDel="00000000" w:rsidP="00000000" w:rsidRDefault="00000000" w:rsidRPr="00000000" w14:paraId="0000003A">
            <w:pPr>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03B">
            <w:pPr>
              <w:rPr>
                <w:rFonts w:ascii="Arial" w:cs="Arial" w:eastAsia="Arial" w:hAnsi="Arial"/>
              </w:rPr>
            </w:pPr>
            <w:r w:rsidDel="00000000" w:rsidR="00000000" w:rsidRPr="00000000">
              <w:rPr>
                <w:rtl w:val="0"/>
              </w:rPr>
            </w:r>
          </w:p>
          <w:p w:rsidR="00000000" w:rsidDel="00000000" w:rsidP="00000000" w:rsidRDefault="00000000" w:rsidRPr="00000000" w14:paraId="0000003C">
            <w:pPr>
              <w:rPr>
                <w:rFonts w:ascii="Arial" w:cs="Arial" w:eastAsia="Arial" w:hAnsi="Arial"/>
              </w:rPr>
            </w:pPr>
            <w:r w:rsidDel="00000000" w:rsidR="00000000" w:rsidRPr="00000000">
              <w:rPr>
                <w:rtl w:val="0"/>
              </w:rPr>
            </w:r>
          </w:p>
          <w:p w:rsidR="00000000" w:rsidDel="00000000" w:rsidP="00000000" w:rsidRDefault="00000000" w:rsidRPr="00000000" w14:paraId="0000003D">
            <w:pPr>
              <w:rPr>
                <w:rFonts w:ascii="Arial" w:cs="Arial" w:eastAsia="Arial" w:hAnsi="Arial"/>
              </w:rPr>
            </w:pPr>
            <w:r w:rsidDel="00000000" w:rsidR="00000000" w:rsidRPr="00000000">
              <w:rPr>
                <w:rFonts w:ascii="Arial" w:cs="Arial" w:eastAsia="Arial" w:hAnsi="Arial"/>
                <w:rtl w:val="0"/>
              </w:rPr>
              <w:t xml:space="preserve">3.</w:t>
            </w:r>
          </w:p>
        </w:tc>
        <w:tc>
          <w:tcPr>
            <w:vMerge w:val="restart"/>
          </w:tcPr>
          <w:p w:rsidR="00000000" w:rsidDel="00000000" w:rsidP="00000000" w:rsidRDefault="00000000" w:rsidRPr="00000000" w14:paraId="0000003E">
            <w:pPr>
              <w:rPr>
                <w:rFonts w:ascii="Arial" w:cs="Arial" w:eastAsia="Arial" w:hAnsi="Arial"/>
              </w:rPr>
            </w:pPr>
            <w:r w:rsidDel="00000000" w:rsidR="00000000" w:rsidRPr="00000000">
              <w:rPr>
                <w:rtl w:val="0"/>
              </w:rPr>
            </w:r>
          </w:p>
          <w:p w:rsidR="00000000" w:rsidDel="00000000" w:rsidP="00000000" w:rsidRDefault="00000000" w:rsidRPr="00000000" w14:paraId="0000003F">
            <w:pPr>
              <w:rPr>
                <w:rFonts w:ascii="Arial" w:cs="Arial" w:eastAsia="Arial" w:hAnsi="Arial"/>
              </w:rPr>
            </w:pPr>
            <w:r w:rsidDel="00000000" w:rsidR="00000000" w:rsidRPr="00000000">
              <w:rPr>
                <w:rFonts w:ascii="Arial" w:cs="Arial" w:eastAsia="Arial" w:hAnsi="Arial"/>
                <w:rtl w:val="0"/>
              </w:rPr>
              <w:t xml:space="preserve">Luis Alberto García Lezama</w:t>
            </w:r>
          </w:p>
          <w:p w:rsidR="00000000" w:rsidDel="00000000" w:rsidP="00000000" w:rsidRDefault="00000000" w:rsidRPr="00000000" w14:paraId="00000040">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41">
            <w:pPr>
              <w:rPr>
                <w:rFonts w:ascii="Arial" w:cs="Arial" w:eastAsia="Arial" w:hAnsi="Arial"/>
              </w:rPr>
            </w:pPr>
            <w:r w:rsidDel="00000000" w:rsidR="00000000" w:rsidRPr="00000000">
              <w:rPr>
                <w:rFonts w:ascii="Arial" w:cs="Arial" w:eastAsia="Arial" w:hAnsi="Arial"/>
                <w:rtl w:val="0"/>
              </w:rPr>
              <w:t xml:space="preserve">CIENCIAS DE LA  INGENIERÍA</w:t>
            </w:r>
          </w:p>
          <w:p w:rsidR="00000000" w:rsidDel="00000000" w:rsidP="00000000" w:rsidRDefault="00000000" w:rsidRPr="00000000" w14:paraId="00000042">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43">
            <w:pPr>
              <w:rPr>
                <w:rFonts w:ascii="Arial" w:cs="Arial" w:eastAsia="Arial" w:hAnsi="Arial"/>
              </w:rPr>
            </w:pPr>
            <w:r w:rsidDel="00000000" w:rsidR="00000000" w:rsidRPr="00000000">
              <w:rPr>
                <w:rtl w:val="0"/>
              </w:rPr>
            </w:r>
          </w:p>
        </w:tc>
        <w:tc>
          <w:tcPr>
            <w:tcBorders>
              <w:top w:color="000000" w:space="0" w:sz="0" w:val="nil"/>
              <w:bottom w:color="000000" w:space="0" w:sz="0" w:val="nil"/>
            </w:tcBorders>
            <w:vAlign w:val="center"/>
          </w:tcPr>
          <w:p w:rsidR="00000000" w:rsidDel="00000000" w:rsidP="00000000" w:rsidRDefault="00000000" w:rsidRPr="00000000" w14:paraId="00000044">
            <w:pPr>
              <w:rPr>
                <w:rFonts w:ascii="Arial" w:cs="Arial" w:eastAsia="Arial" w:hAnsi="Arial"/>
              </w:rPr>
            </w:pPr>
            <w:r w:rsidDel="00000000" w:rsidR="00000000" w:rsidRPr="00000000">
              <w:rPr>
                <w:rtl w:val="0"/>
              </w:rPr>
            </w:r>
          </w:p>
        </w:tc>
        <w:tc>
          <w:tcPr>
            <w:vMerge w:val="continue"/>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Merge w:val="continue"/>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rtl w:val="0"/>
              </w:rPr>
              <w:t xml:space="preserve">DESARROLLO SOCIAL</w:t>
            </w:r>
          </w:p>
          <w:p w:rsidR="00000000" w:rsidDel="00000000" w:rsidP="00000000" w:rsidRDefault="00000000" w:rsidRPr="00000000" w14:paraId="00000048">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49">
            <w:pPr>
              <w:rPr>
                <w:rFonts w:ascii="Arial" w:cs="Arial" w:eastAsia="Arial" w:hAnsi="Arial"/>
              </w:rPr>
            </w:pPr>
            <w:r w:rsidDel="00000000" w:rsidR="00000000" w:rsidRPr="00000000">
              <w:rPr>
                <w:rtl w:val="0"/>
              </w:rPr>
            </w:r>
          </w:p>
        </w:tc>
        <w:tc>
          <w:tcPr>
            <w:tcBorders>
              <w:top w:color="000000" w:space="0" w:sz="0" w:val="nil"/>
              <w:bottom w:color="000000" w:space="0" w:sz="0" w:val="nil"/>
            </w:tcBorders>
            <w:vAlign w:val="center"/>
          </w:tcPr>
          <w:p w:rsidR="00000000" w:rsidDel="00000000" w:rsidP="00000000" w:rsidRDefault="00000000" w:rsidRPr="00000000" w14:paraId="0000004A">
            <w:pPr>
              <w:rPr>
                <w:rFonts w:ascii="Arial" w:cs="Arial" w:eastAsia="Arial" w:hAnsi="Arial"/>
              </w:rPr>
            </w:pPr>
            <w:r w:rsidDel="00000000" w:rsidR="00000000" w:rsidRPr="00000000">
              <w:rPr>
                <w:rtl w:val="0"/>
              </w:rPr>
            </w:r>
          </w:p>
        </w:tc>
        <w:tc>
          <w:tcPr>
            <w:gridSpan w:val="2"/>
            <w:vMerge w:val="restart"/>
            <w:shd w:fill="000000" w:val="clear"/>
            <w:vAlign w:val="center"/>
          </w:tcPr>
          <w:p w:rsidR="00000000" w:rsidDel="00000000" w:rsidP="00000000" w:rsidRDefault="00000000" w:rsidRPr="00000000" w14:paraId="0000004B">
            <w:pPr>
              <w:rPr>
                <w:rFonts w:ascii="Arial" w:cs="Arial" w:eastAsia="Arial" w:hAnsi="Arial"/>
              </w:rPr>
            </w:pPr>
            <w:r w:rsidDel="00000000" w:rsidR="00000000" w:rsidRPr="00000000">
              <w:rPr>
                <w:rFonts w:ascii="Arial" w:cs="Arial" w:eastAsia="Arial" w:hAnsi="Arial"/>
                <w:b w:val="1"/>
                <w:bCs w:val="1"/>
                <w:color w:val="ffffff"/>
                <w:rtl w:val="0"/>
              </w:rPr>
              <w:t xml:space="preserve">ASESOR: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D">
            <w:pPr>
              <w:rPr>
                <w:rFonts w:ascii="Arial" w:cs="Arial" w:eastAsia="Arial" w:hAnsi="Arial"/>
              </w:rPr>
            </w:pPr>
            <w:r w:rsidDel="00000000" w:rsidR="00000000" w:rsidRPr="00000000">
              <w:rPr>
                <w:rFonts w:ascii="Arial" w:cs="Arial" w:eastAsia="Arial" w:hAnsi="Arial"/>
                <w:rtl w:val="0"/>
              </w:rPr>
              <w:t xml:space="preserve">SALUD PÚBLICA</w:t>
            </w:r>
          </w:p>
          <w:p w:rsidR="00000000" w:rsidDel="00000000" w:rsidP="00000000" w:rsidRDefault="00000000" w:rsidRPr="00000000" w14:paraId="0000004E">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4F">
            <w:pPr>
              <w:rPr>
                <w:rFonts w:ascii="Arial" w:cs="Arial" w:eastAsia="Arial" w:hAnsi="Arial"/>
              </w:rPr>
            </w:pPr>
            <w:r w:rsidDel="00000000" w:rsidR="00000000" w:rsidRPr="00000000">
              <w:rPr>
                <w:rtl w:val="0"/>
              </w:rPr>
            </w:r>
          </w:p>
        </w:tc>
        <w:tc>
          <w:tcPr>
            <w:tcBorders>
              <w:top w:color="000000" w:space="0" w:sz="0" w:val="nil"/>
              <w:bottom w:color="000000" w:space="0" w:sz="0" w:val="nil"/>
            </w:tcBorders>
            <w:vAlign w:val="center"/>
          </w:tcPr>
          <w:p w:rsidR="00000000" w:rsidDel="00000000" w:rsidP="00000000" w:rsidRDefault="00000000" w:rsidRPr="00000000" w14:paraId="00000050">
            <w:pPr>
              <w:rPr>
                <w:rFonts w:ascii="Arial" w:cs="Arial" w:eastAsia="Arial" w:hAnsi="Arial"/>
              </w:rPr>
            </w:pPr>
            <w:r w:rsidDel="00000000" w:rsidR="00000000" w:rsidRPr="00000000">
              <w:rPr>
                <w:rtl w:val="0"/>
              </w:rPr>
            </w:r>
          </w:p>
        </w:tc>
        <w:tc>
          <w:tcPr>
            <w:gridSpan w:val="2"/>
            <w:vMerge w:val="continue"/>
            <w:shd w:fill="000000" w:val="clear"/>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rtl w:val="0"/>
              </w:rPr>
              <w:t xml:space="preserve">SUSTENTABILIDAD  AMBIENTAL</w:t>
            </w:r>
          </w:p>
          <w:p w:rsidR="00000000" w:rsidDel="00000000" w:rsidP="00000000" w:rsidRDefault="00000000" w:rsidRPr="00000000" w14:paraId="00000054">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55">
            <w:pPr>
              <w:rPr>
                <w:rFonts w:ascii="Arial" w:cs="Arial" w:eastAsia="Arial" w:hAnsi="Arial"/>
              </w:rPr>
            </w:pPr>
            <w:r w:rsidDel="00000000" w:rsidR="00000000" w:rsidRPr="00000000">
              <w:rPr>
                <w:rtl w:val="0"/>
              </w:rPr>
            </w:r>
          </w:p>
        </w:tc>
        <w:tc>
          <w:tcPr>
            <w:tcBorders>
              <w:top w:color="000000" w:space="0" w:sz="0" w:val="nil"/>
              <w:bottom w:color="000000" w:space="0" w:sz="0" w:val="nil"/>
            </w:tcBorders>
            <w:vAlign w:val="center"/>
          </w:tcPr>
          <w:p w:rsidR="00000000" w:rsidDel="00000000" w:rsidP="00000000" w:rsidRDefault="00000000" w:rsidRPr="00000000" w14:paraId="00000056">
            <w:pPr>
              <w:rPr>
                <w:rFonts w:ascii="Arial" w:cs="Arial" w:eastAsia="Arial" w:hAnsi="Arial"/>
              </w:rPr>
            </w:pPr>
            <w:r w:rsidDel="00000000" w:rsidR="00000000" w:rsidRPr="00000000">
              <w:rPr>
                <w:rtl w:val="0"/>
              </w:rPr>
            </w:r>
          </w:p>
        </w:tc>
        <w:tc>
          <w:tcPr>
            <w:gridSpan w:val="2"/>
            <w:vMerge w:val="restart"/>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rtl w:val="0"/>
              </w:rPr>
              <w:t xml:space="preserve">Erick de Jesús Flores Acosta</w:t>
            </w:r>
          </w:p>
        </w:tc>
      </w:tr>
      <w:tr>
        <w:trPr>
          <w:cantSplit w:val="0"/>
          <w:tblHeader w:val="0"/>
        </w:trPr>
        <w:tc>
          <w:tcP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rtl w:val="0"/>
              </w:rPr>
              <w:t xml:space="preserve">TECNOLOGÍAS DE LA INFORMACIÓN</w:t>
            </w:r>
          </w:p>
          <w:p w:rsidR="00000000" w:rsidDel="00000000" w:rsidP="00000000" w:rsidRDefault="00000000" w:rsidRPr="00000000" w14:paraId="0000005A">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5B">
            <w:pPr>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bottom w:color="000000" w:space="0" w:sz="0" w:val="nil"/>
            </w:tcBorders>
            <w:vAlign w:val="center"/>
          </w:tcPr>
          <w:p w:rsidR="00000000" w:rsidDel="00000000" w:rsidP="00000000" w:rsidRDefault="00000000" w:rsidRPr="00000000" w14:paraId="0000005C">
            <w:pPr>
              <w:rPr>
                <w:rFonts w:ascii="Arial" w:cs="Arial" w:eastAsia="Arial" w:hAnsi="Arial"/>
              </w:rPr>
            </w:pPr>
            <w:r w:rsidDel="00000000" w:rsidR="00000000" w:rsidRPr="00000000">
              <w:rPr>
                <w:rtl w:val="0"/>
              </w:rPr>
            </w:r>
          </w:p>
        </w:tc>
        <w:tc>
          <w:tcPr>
            <w:gridSpan w:val="2"/>
            <w:vMerge w:val="continue"/>
            <w:vAlign w:val="cente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r>
      <w:tr>
        <w:trPr>
          <w:cantSplit w:val="0"/>
          <w:tblHeader w:val="0"/>
        </w:trPr>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5F">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61">
            <w:pPr>
              <w:rPr>
                <w:rFonts w:ascii="Arial" w:cs="Arial" w:eastAsia="Arial" w:hAnsi="Arial"/>
              </w:rPr>
            </w:pPr>
            <w:r w:rsidDel="00000000" w:rsidR="00000000" w:rsidRPr="00000000">
              <w:rPr>
                <w:rtl w:val="0"/>
              </w:rPr>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62">
            <w:pPr>
              <w:rPr>
                <w:rFonts w:ascii="Arial" w:cs="Arial" w:eastAsia="Arial" w:hAnsi="Arial"/>
              </w:rPr>
            </w:pPr>
            <w:r w:rsidDel="00000000" w:rsidR="00000000" w:rsidRPr="00000000">
              <w:rPr>
                <w:rtl w:val="0"/>
              </w:rPr>
            </w:r>
          </w:p>
        </w:tc>
      </w:tr>
      <w:tr>
        <w:trPr>
          <w:cantSplit w:val="0"/>
          <w:trHeight w:val="316" w:hRule="atLeast"/>
          <w:tblHeader w:val="0"/>
        </w:trPr>
        <w:tc>
          <w:tcPr>
            <w:gridSpan w:val="5"/>
            <w:tcBorders>
              <w:top w:color="000000" w:space="0" w:sz="4" w:val="single"/>
              <w:bottom w:color="000000" w:space="0" w:sz="4" w:val="single"/>
            </w:tcBorders>
            <w:shd w:fill="000000" w:val="clear"/>
            <w:vAlign w:val="center"/>
          </w:tcPr>
          <w:p w:rsidR="00000000" w:rsidDel="00000000" w:rsidP="00000000" w:rsidRDefault="00000000" w:rsidRPr="00000000" w14:paraId="00000064">
            <w:pPr>
              <w:rPr>
                <w:rFonts w:ascii="Arial" w:cs="Arial" w:eastAsia="Arial" w:hAnsi="Arial"/>
                <w:b w:val="1"/>
                <w:bCs w:val="1"/>
              </w:rPr>
            </w:pPr>
            <w:r w:rsidDel="00000000" w:rsidR="00000000" w:rsidRPr="00000000">
              <w:rPr>
                <w:rFonts w:ascii="Arial" w:cs="Arial" w:eastAsia="Arial" w:hAnsi="Arial"/>
                <w:b w:val="1"/>
                <w:bCs w:val="1"/>
                <w:color w:val="ffffff"/>
                <w:rtl w:val="0"/>
              </w:rPr>
              <w:t xml:space="preserve">INSTITUCIÓN:</w:t>
            </w:r>
            <w:r w:rsidDel="00000000" w:rsidR="00000000" w:rsidRPr="00000000">
              <w:rPr>
                <w:rtl w:val="0"/>
              </w:rPr>
            </w:r>
          </w:p>
        </w:tc>
      </w:tr>
      <w:tr>
        <w:trPr>
          <w:cantSplit w:val="0"/>
          <w:trHeight w:val="1033" w:hRule="atLeast"/>
          <w:tblHeader w:val="0"/>
        </w:trPr>
        <w:tc>
          <w:tcPr>
            <w:gridSpan w:val="5"/>
            <w:tcBorders>
              <w:top w:color="000000" w:space="0" w:sz="4" w:val="single"/>
            </w:tcBorders>
            <w:shd w:fill="ffffff" w:val="clear"/>
            <w:vAlign w:val="center"/>
          </w:tcPr>
          <w:p w:rsidR="00000000" w:rsidDel="00000000" w:rsidP="00000000" w:rsidRDefault="00000000" w:rsidRPr="00000000" w14:paraId="00000069">
            <w:pPr>
              <w:rPr>
                <w:rFonts w:ascii="Arial" w:cs="Arial" w:eastAsia="Arial" w:hAnsi="Arial"/>
                <w:b w:val="1"/>
                <w:bCs w:val="1"/>
              </w:rPr>
            </w:pPr>
            <w:r w:rsidDel="00000000" w:rsidR="00000000" w:rsidRPr="00000000">
              <w:rPr>
                <w:rFonts w:ascii="Arial" w:cs="Arial" w:eastAsia="Arial" w:hAnsi="Arial"/>
                <w:b w:val="1"/>
                <w:bCs w:val="1"/>
                <w:rtl w:val="0"/>
              </w:rPr>
              <w:t xml:space="preserve">Universidad Tecnologica del Centro de Veracruz</w:t>
            </w:r>
          </w:p>
          <w:p w:rsidR="00000000" w:rsidDel="00000000" w:rsidP="00000000" w:rsidRDefault="00000000" w:rsidRPr="00000000" w14:paraId="0000006A">
            <w:pPr>
              <w:rPr>
                <w:rFonts w:ascii="Arial" w:cs="Arial" w:eastAsia="Arial" w:hAnsi="Arial"/>
                <w:b w:val="1"/>
                <w:bCs w:val="1"/>
                <w:color w:val="ffffff"/>
              </w:rPr>
            </w:pPr>
            <w:r w:rsidDel="00000000" w:rsidR="00000000" w:rsidRPr="00000000">
              <w:rPr>
                <w:rtl w:val="0"/>
              </w:rPr>
            </w:r>
          </w:p>
        </w:tc>
      </w:tr>
    </w:tbl>
    <w:p w:rsidR="00000000" w:rsidDel="00000000" w:rsidP="00000000" w:rsidRDefault="00000000" w:rsidRPr="00000000" w14:paraId="0000006F">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70">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b w:val="1"/>
          <w:bCs w:val="1"/>
          <w:rtl w:val="0"/>
        </w:rPr>
        <w:t xml:space="preserve">LLENAR EL PROTOCOLO BAJO LA  SIGUIENTE ESTRUCTURA:</w:t>
      </w:r>
      <w:r w:rsidDel="00000000" w:rsidR="00000000" w:rsidRPr="00000000">
        <w:rPr>
          <w:rtl w:val="0"/>
        </w:rPr>
      </w:r>
    </w:p>
    <w:tbl>
      <w:tblPr>
        <w:tblStyle w:val="Table2"/>
        <w:tblW w:w="848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87"/>
        <w:tblGridChange w:id="0">
          <w:tblGrid>
            <w:gridCol w:w="8487"/>
          </w:tblGrid>
        </w:tblGridChange>
      </w:tblGrid>
      <w:tr>
        <w:trPr>
          <w:cantSplit w:val="0"/>
          <w:tblHeader w:val="0"/>
        </w:trPr>
        <w:tc>
          <w:tcPr>
            <w:shd w:fill="000000" w:val="clear"/>
          </w:tcPr>
          <w:p w:rsidR="00000000" w:rsidDel="00000000" w:rsidP="00000000" w:rsidRDefault="00000000" w:rsidRPr="00000000" w14:paraId="00000072">
            <w:pPr>
              <w:jc w:val="center"/>
              <w:rPr>
                <w:rFonts w:ascii="Arial" w:cs="Arial" w:eastAsia="Arial" w:hAnsi="Arial"/>
                <w:b w:val="1"/>
                <w:bCs w:val="1"/>
              </w:rPr>
            </w:pPr>
            <w:r w:rsidDel="00000000" w:rsidR="00000000" w:rsidRPr="00000000">
              <w:rPr>
                <w:rFonts w:ascii="Arial" w:cs="Arial" w:eastAsia="Arial" w:hAnsi="Arial"/>
                <w:b w:val="1"/>
                <w:bCs w:val="1"/>
                <w:color w:val="ffffff"/>
                <w:rtl w:val="0"/>
              </w:rPr>
              <w:t xml:space="preserve">1. TITULO</w:t>
            </w:r>
            <w:r w:rsidDel="00000000" w:rsidR="00000000" w:rsidRPr="00000000">
              <w:rPr>
                <w:rtl w:val="0"/>
              </w:rPr>
            </w:r>
          </w:p>
        </w:tc>
      </w:tr>
      <w:tr>
        <w:trPr>
          <w:cantSplit w:val="0"/>
          <w:tblHeader w:val="0"/>
        </w:trPr>
        <w:tc>
          <w:tcPr/>
          <w:p w:rsidR="00000000" w:rsidDel="00000000" w:rsidP="00000000" w:rsidRDefault="00000000" w:rsidRPr="00000000" w14:paraId="00000073">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74">
            <w:pPr>
              <w:jc w:val="both"/>
              <w:rPr>
                <w:rFonts w:ascii="Arial" w:cs="Arial" w:eastAsia="Arial" w:hAnsi="Arial"/>
                <w:b w:val="1"/>
                <w:bCs w:val="1"/>
              </w:rPr>
            </w:pPr>
            <w:r w:rsidDel="00000000" w:rsidR="00000000" w:rsidRPr="00000000">
              <w:rPr>
                <w:rFonts w:ascii="Arial" w:cs="Arial" w:eastAsia="Arial" w:hAnsi="Arial"/>
                <w:rtl w:val="0"/>
              </w:rPr>
              <w:t xml:space="preserve">Control de plagas para la caña de azúcar</w:t>
            </w:r>
            <w:r w:rsidDel="00000000" w:rsidR="00000000" w:rsidRPr="00000000">
              <w:rPr>
                <w:rFonts w:ascii="Arial" w:cs="Arial" w:eastAsia="Arial" w:hAnsi="Arial"/>
                <w:b w:val="1"/>
                <w:bCs w:val="1"/>
                <w:rtl w:val="0"/>
              </w:rPr>
              <w:t xml:space="preserve"> </w:t>
            </w:r>
          </w:p>
        </w:tc>
      </w:tr>
      <w:tr>
        <w:trPr>
          <w:cantSplit w:val="0"/>
          <w:tblHeader w:val="0"/>
        </w:trPr>
        <w:tc>
          <w:tcPr>
            <w:shd w:fill="000000" w:val="clear"/>
          </w:tcPr>
          <w:p w:rsidR="00000000" w:rsidDel="00000000" w:rsidP="00000000" w:rsidRDefault="00000000" w:rsidRPr="00000000" w14:paraId="00000075">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2. INTRODUCCIÓN (NO MÁS DE 500 PALABRAS)</w:t>
            </w:r>
          </w:p>
        </w:tc>
      </w:tr>
      <w:tr>
        <w:trPr>
          <w:cantSplit w:val="0"/>
          <w:tblHeader w:val="0"/>
        </w:trPr>
        <w:tc>
          <w:tcPr/>
          <w:p w:rsidR="00000000" w:rsidDel="00000000" w:rsidP="00000000" w:rsidRDefault="00000000" w:rsidRPr="00000000" w14:paraId="00000076">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77">
            <w:pPr>
              <w:jc w:val="both"/>
              <w:rPr>
                <w:rFonts w:ascii="Arial" w:cs="Arial" w:eastAsia="Arial" w:hAnsi="Arial"/>
              </w:rPr>
            </w:pPr>
            <w:r w:rsidDel="00000000" w:rsidR="00000000" w:rsidRPr="00000000">
              <w:rPr>
                <w:rFonts w:ascii="Arial" w:cs="Arial" w:eastAsia="Arial" w:hAnsi="Arial"/>
                <w:rtl w:val="0"/>
              </w:rPr>
              <w:t xml:space="preserve">La caña de azúcar representa un cultivo de alta relevancia estratégica para el estado de Veracruz, constituyendo la base económica de miles de familias y comunidades rurales. No obstante, su productividad se ve gravemente amenazada por el ataque del gusano barrenador (Diatraea saccharalis), considerada la plaga de mayor impacto fitosanitario en la región. Esta plaga perfora los tallos desde el interior, ocasionando una reducción significativa en la concentración de sacarosa y, por ende, en la calidad y el rendimiento del cultivo. A este daño directo se suman infecciones oportunistas por hongos entomopatógenos que ingresan a través de las perforaciones, acelerando el deterioro de la planta y agravando las pérdidas.</w:t>
            </w:r>
          </w:p>
        </w:tc>
      </w:tr>
      <w:tr>
        <w:trPr>
          <w:cantSplit w:val="0"/>
          <w:tblHeader w:val="0"/>
        </w:trPr>
        <w:tc>
          <w:tcPr>
            <w:shd w:fill="000000" w:val="clear"/>
          </w:tcPr>
          <w:p w:rsidR="00000000" w:rsidDel="00000000" w:rsidP="00000000" w:rsidRDefault="00000000" w:rsidRPr="00000000" w14:paraId="00000078">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3. ANTECEDENTES DE INVESTIGACIONES AL RESPECTO TANTO NACIONALES COMO INTERNACIONALES</w:t>
            </w:r>
          </w:p>
        </w:tc>
      </w:tr>
      <w:tr>
        <w:trPr>
          <w:cantSplit w:val="0"/>
          <w:tblHeader w:val="0"/>
        </w:trPr>
        <w:tc>
          <w:tcPr/>
          <w:p w:rsidR="00000000" w:rsidDel="00000000" w:rsidP="00000000" w:rsidRDefault="00000000" w:rsidRPr="00000000" w14:paraId="00000079">
            <w:pPr>
              <w:jc w:val="both"/>
              <w:rPr>
                <w:rFonts w:ascii="Arial" w:cs="Arial" w:eastAsia="Arial" w:hAnsi="Arial"/>
                <w:b w:val="1"/>
                <w:bCs w:val="1"/>
              </w:rPr>
            </w:pPr>
            <w:r w:rsidDel="00000000" w:rsidR="00000000" w:rsidRPr="00000000">
              <w:rPr>
                <w:rFonts w:ascii="Arial" w:cs="Arial" w:eastAsia="Arial" w:hAnsi="Arial"/>
                <w:rtl w:val="0"/>
              </w:rPr>
              <w:t xml:space="preserve">El artículo titulado </w:t>
            </w:r>
            <w:r w:rsidDel="00000000" w:rsidR="00000000" w:rsidRPr="00000000">
              <w:rPr>
                <w:rFonts w:ascii="Arial" w:cs="Arial" w:eastAsia="Arial" w:hAnsi="Arial"/>
                <w:i w:val="1"/>
                <w:iCs w:val="1"/>
                <w:rtl w:val="0"/>
              </w:rPr>
              <w:t xml:space="preserve">“Detection of Diatraea Saccharalis in Images Using Convolutional Neural Networks”</w:t>
            </w:r>
            <w:r w:rsidDel="00000000" w:rsidR="00000000" w:rsidRPr="00000000">
              <w:rPr>
                <w:rFonts w:ascii="Arial" w:cs="Arial" w:eastAsia="Arial" w:hAnsi="Arial"/>
                <w:rtl w:val="0"/>
              </w:rPr>
              <w:t xml:space="preserve">, desarrollado por González A., presenta un sistema para detectar la plaga </w:t>
            </w:r>
            <w:r w:rsidDel="00000000" w:rsidR="00000000" w:rsidRPr="00000000">
              <w:rPr>
                <w:rFonts w:ascii="Arial" w:cs="Arial" w:eastAsia="Arial" w:hAnsi="Arial"/>
                <w:i w:val="1"/>
                <w:iCs w:val="1"/>
                <w:rtl w:val="0"/>
              </w:rPr>
              <w:t xml:space="preserve">Diatraea saccharalis</w:t>
            </w:r>
            <w:r w:rsidDel="00000000" w:rsidR="00000000" w:rsidRPr="00000000">
              <w:rPr>
                <w:rFonts w:ascii="Arial" w:cs="Arial" w:eastAsia="Arial" w:hAnsi="Arial"/>
                <w:rtl w:val="0"/>
              </w:rPr>
              <w:t xml:space="preserve"> mediante el uso de redes neuronales convolucionales (CNN) y procesamiento de imágenes. La investigación fue publicada en ResearchGate y utilizó la arquitectura ResNet-50 con 50 capas profundas. Para el entrenamiento del modelo se empleó un dataset propio de aproximadamente 5000 imágenes tomadas en campo. Como resultado, el sistema alcanzó una precisión del 94.2% y un recall del 92.8%, demostrando una alta efectividad en la identificación de la plaga. Además, el trabajo propone como futuro desarrollo la ampliación del sistema para detectar otras plagas y su implementación en aplicaciones móviles.</w:t>
            </w: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7A">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4. PLANTEAMIENTO DEL PROBLEMA  </w:t>
            </w:r>
          </w:p>
        </w:tc>
      </w:tr>
      <w:tr>
        <w:trPr>
          <w:cantSplit w:val="0"/>
          <w:tblHeader w:val="0"/>
        </w:trPr>
        <w:tc>
          <w:tcPr/>
          <w:p w:rsidR="00000000" w:rsidDel="00000000" w:rsidP="00000000" w:rsidRDefault="00000000" w:rsidRPr="00000000" w14:paraId="0000007B">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7C">
            <w:pPr>
              <w:widowControl w:val="0"/>
              <w:spacing w:line="360" w:lineRule="auto"/>
              <w:ind w:left="0" w:firstLine="0"/>
              <w:jc w:val="both"/>
              <w:rPr>
                <w:rFonts w:ascii="Arial" w:cs="Arial" w:eastAsia="Arial" w:hAnsi="Arial"/>
                <w:b w:val="1"/>
                <w:bCs w:val="1"/>
              </w:rPr>
            </w:pPr>
            <w:r w:rsidDel="00000000" w:rsidR="00000000" w:rsidRPr="00000000">
              <w:rPr>
                <w:rFonts w:ascii="Arial" w:cs="Arial" w:eastAsia="Arial" w:hAnsi="Arial"/>
                <w:sz w:val="24"/>
                <w:szCs w:val="24"/>
                <w:rtl w:val="0"/>
              </w:rPr>
              <w:t xml:space="preserve">A pesar de la importancia económica de la caña de azúcar en Veracruz, el cultivo enfrenta pérdidas recurrentes provocadas por plagas de difícil detección temprana. El gusano barrenador (Diatraea saccharalis) es una de las más problemáticas: al perforar los tallos desde el interior, reduce el peso de la planta y la concentración de azúcar, afectando directamente la rentabilidad del productor y la industria. En la actualidad, no existen plataformas locales accesibles que permitan a los cañeros detectar automáticamente esta plaga, visualizar su comportamiento en mapas de incidencia o coordinarse con otros productores para enfrentarla de manera conjunta.</w:t>
            </w:r>
            <w:r w:rsidDel="00000000" w:rsidR="00000000" w:rsidRPr="00000000">
              <w:rPr>
                <w:rtl w:val="0"/>
              </w:rPr>
            </w:r>
          </w:p>
          <w:p w:rsidR="00000000" w:rsidDel="00000000" w:rsidP="00000000" w:rsidRDefault="00000000" w:rsidRPr="00000000" w14:paraId="0000007D">
            <w:pPr>
              <w:jc w:val="both"/>
              <w:rPr>
                <w:rFonts w:ascii="Arial" w:cs="Arial" w:eastAsia="Arial" w:hAnsi="Arial"/>
                <w:b w:val="1"/>
                <w:bCs w:val="1"/>
              </w:rPr>
            </w:pP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7E">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5. VALOR AGREGADO DE LA PRESENTE INVESTIGACIÓN (QUÉ LA HACE DIFERENTE A LAS ANTERIORES Y QUE APORTA DE NUEVO)</w:t>
            </w:r>
          </w:p>
        </w:tc>
      </w:tr>
      <w:tr>
        <w:trPr>
          <w:cantSplit w:val="0"/>
          <w:tblHeader w:val="0"/>
        </w:trPr>
        <w:tc>
          <w:tcPr/>
          <w:p w:rsidR="00000000" w:rsidDel="00000000" w:rsidP="00000000" w:rsidRDefault="00000000" w:rsidRPr="00000000" w14:paraId="0000007F">
            <w:pPr>
              <w:spacing w:after="200" w:lineRule="auto"/>
              <w:jc w:val="both"/>
              <w:rPr>
                <w:rFonts w:ascii="Arial" w:cs="Arial" w:eastAsia="Arial" w:hAnsi="Arial"/>
              </w:rPr>
            </w:pPr>
            <w:r w:rsidDel="00000000" w:rsidR="00000000" w:rsidRPr="00000000">
              <w:rPr>
                <w:rFonts w:ascii="Arial" w:cs="Arial" w:eastAsia="Arial" w:hAnsi="Arial"/>
                <w:rtl w:val="0"/>
              </w:rPr>
              <w:t xml:space="preserve">La presente investigación aporta una propuesta diferenciada respecto a los trabajos previos en tres dimensiones clave: enfoque local, integración tecnológica y participación comunitaria. A diferencia de estudios nacionales e internacionales que utilizan datasets genéricos o provenientes de otras regiones geográficas, esta plataforma será entrenada con imágenes reales capturadas directamente en campos cañeros de Veracruz, lo que garantiza una mayor precisión del modelo de inteligencia artificial para las condiciones climáticas, variedades y etapas de daño Propias de la región (González, 2024; Grijalva et al., 2023).</w:t>
            </w:r>
          </w:p>
          <w:p w:rsidR="00000000" w:rsidDel="00000000" w:rsidP="00000000" w:rsidRDefault="00000000" w:rsidRPr="00000000" w14:paraId="00000080">
            <w:pPr>
              <w:spacing w:after="200" w:lineRule="auto"/>
              <w:jc w:val="both"/>
              <w:rPr>
                <w:rFonts w:ascii="Arial" w:cs="Arial" w:eastAsia="Arial" w:hAnsi="Arial"/>
                <w:b w:val="1"/>
                <w:bCs w:val="1"/>
              </w:rPr>
            </w:pPr>
            <w:r w:rsidDel="00000000" w:rsidR="00000000" w:rsidRPr="00000000">
              <w:rPr>
                <w:rFonts w:ascii="Arial" w:cs="Arial" w:eastAsia="Arial" w:hAnsi="Arial"/>
                <w:rtl w:val="0"/>
              </w:rPr>
              <w:t xml:space="preserve">La arquitectura tecnológica propuesta —que combina Node.js para el backend, Python para los módulos de Machine Learning, MongoDB como base de datos y una aplicación móvil multiplataforma desarrollada con Ionic— representa una solución escalable y de bajo costo que puede ser adoptada por productores con acceso limitado a tecnología. Además, el componente de participación comunitaria, inspirado en experiencias de vigilancia colaborativa como Apple Snail Inspector (Zhang et al., 2024), fortalece la resiliencia social al convertir a los propios cañeros en agentes activos de vigilancia fitosanitaria. En conjunto, esta plataforma contribuye al cumplimiento del ODS 2 (Hambre Cero) al mejorar la productividad agrícola sostenible, y al ODS 9 (Industria, Innovación e Infraestructura) al aplicar tecnología de frontera a un sector productivo rural.</w:t>
            </w: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81">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6. OBJETIVO DE LA INVESTIGACIÓN </w:t>
            </w:r>
          </w:p>
          <w:p w:rsidR="00000000" w:rsidDel="00000000" w:rsidP="00000000" w:rsidRDefault="00000000" w:rsidRPr="00000000" w14:paraId="00000082">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(No olvidar considerar la integración del cumplimiento de algún ODS, Innovación social o promoción de la Resiliencia Social o Individual) </w:t>
            </w:r>
          </w:p>
        </w:tc>
      </w:tr>
      <w:tr>
        <w:trPr>
          <w:cantSplit w:val="0"/>
          <w:tblHeader w:val="0"/>
        </w:trPr>
        <w:tc>
          <w:tcPr/>
          <w:p w:rsidR="00000000" w:rsidDel="00000000" w:rsidP="00000000" w:rsidRDefault="00000000" w:rsidRPr="00000000" w14:paraId="00000083">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84">
            <w:pPr>
              <w:widowControl w:val="0"/>
              <w:spacing w:line="360" w:lineRule="auto"/>
              <w:ind w:left="467"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Desarrollar una plataforma colaborativa móvil y web que integre inteligencia artificial y participación comunitaria para la detección, registro y gestión del gusano barrenador de la caña de azúcar en Veracruz.</w:t>
            </w:r>
          </w:p>
          <w:p w:rsidR="00000000" w:rsidDel="00000000" w:rsidP="00000000" w:rsidRDefault="00000000" w:rsidRPr="00000000" w14:paraId="00000085">
            <w:pPr>
              <w:widowControl w:val="0"/>
              <w:numPr>
                <w:ilvl w:val="0"/>
                <w:numId w:val="1"/>
              </w:numPr>
              <w:spacing w:line="360" w:lineRule="auto"/>
              <w:ind w:left="1187"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Implementar un sistema de identificación automática del gusano barrenador mediante imágenes entrenadas con datos locales.</w:t>
            </w:r>
          </w:p>
          <w:p w:rsidR="00000000" w:rsidDel="00000000" w:rsidP="00000000" w:rsidRDefault="00000000" w:rsidRPr="00000000" w14:paraId="00000086">
            <w:pPr>
              <w:widowControl w:val="0"/>
              <w:numPr>
                <w:ilvl w:val="0"/>
                <w:numId w:val="1"/>
              </w:numPr>
              <w:spacing w:line="360" w:lineRule="auto"/>
              <w:ind w:left="1187"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Desarrollar una base de datos georreferenciada de incidencias por municipio y región.</w:t>
            </w:r>
          </w:p>
          <w:p w:rsidR="00000000" w:rsidDel="00000000" w:rsidP="00000000" w:rsidRDefault="00000000" w:rsidRPr="00000000" w14:paraId="00000087">
            <w:pPr>
              <w:widowControl w:val="0"/>
              <w:numPr>
                <w:ilvl w:val="0"/>
                <w:numId w:val="1"/>
              </w:numPr>
              <w:spacing w:line="360" w:lineRule="auto"/>
              <w:ind w:left="1187"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Diseñar un foro y buscador especializado en plagas y enfermedades de la caña, con énfasis en Diatraea saccharalis.</w:t>
            </w: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88">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7. HIPOTESIS A COMPROBAR</w:t>
            </w:r>
          </w:p>
        </w:tc>
      </w:tr>
      <w:tr>
        <w:trPr>
          <w:cantSplit w:val="0"/>
          <w:tblHeader w:val="0"/>
        </w:trPr>
        <w:tc>
          <w:tcPr/>
          <w:p w:rsidR="00000000" w:rsidDel="00000000" w:rsidP="00000000" w:rsidRDefault="00000000" w:rsidRPr="00000000" w14:paraId="00000089">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8A">
            <w:pPr>
              <w:widowControl w:val="0"/>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 se desarrolla una plataforma especializada con inteligencia artificial, georreferenciación y mecanismos de colaboración entre productores, entonces será posible lograr una detección temprana y un manejo más eficiente del gusano barrenador de la caña de azúcar, reduciendo las pérdidas económicas y fortaleciendo la rentabilidad del cultivo en Veracruz.</w:t>
            </w:r>
          </w:p>
          <w:p w:rsidR="00000000" w:rsidDel="00000000" w:rsidP="00000000" w:rsidRDefault="00000000" w:rsidRPr="00000000" w14:paraId="0000008B">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8C">
            <w:pPr>
              <w:jc w:val="both"/>
              <w:rPr>
                <w:rFonts w:ascii="Arial" w:cs="Arial" w:eastAsia="Arial" w:hAnsi="Arial"/>
                <w:b w:val="1"/>
                <w:bCs w:val="1"/>
              </w:rPr>
            </w:pP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8D">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8. METODOLOGIA </w:t>
            </w:r>
          </w:p>
        </w:tc>
      </w:tr>
      <w:tr>
        <w:trPr>
          <w:cantSplit w:val="0"/>
          <w:tblHeader w:val="0"/>
        </w:trPr>
        <w:tc>
          <w:tcPr/>
          <w:p w:rsidR="00000000" w:rsidDel="00000000" w:rsidP="00000000" w:rsidRDefault="00000000" w:rsidRPr="00000000" w14:paraId="0000008E">
            <w:pPr>
              <w:jc w:val="center"/>
              <w:rPr>
                <w:rFonts w:ascii="Arial" w:cs="Arial" w:eastAsia="Arial" w:hAnsi="Arial"/>
                <w:b w:val="1"/>
                <w:bCs w:val="1"/>
                <w:color w:val="ffffff"/>
              </w:rPr>
            </w:pPr>
            <w:r w:rsidDel="00000000" w:rsidR="00000000" w:rsidRPr="00000000">
              <w:rPr>
                <w:rtl w:val="0"/>
              </w:rPr>
            </w:r>
          </w:p>
          <w:p w:rsidR="00000000" w:rsidDel="00000000" w:rsidP="00000000" w:rsidRDefault="00000000" w:rsidRPr="00000000" w14:paraId="0000008F">
            <w:pPr>
              <w:widowControl w:val="0"/>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diseño metodológico del proyecto se fundamenta en un enfoque mixto, dado que combina elementos cuantitativos y cualitativos para abordar de manera integral la problemática del gusano barrenador, gusano cogollero, pulgón amarillo y salivazo en la caña de azúcar.</w:t>
            </w:r>
          </w:p>
          <w:p w:rsidR="00000000" w:rsidDel="00000000" w:rsidP="00000000" w:rsidRDefault="00000000" w:rsidRPr="00000000" w14:paraId="00000090">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91">
            <w:pPr>
              <w:jc w:val="center"/>
              <w:rPr>
                <w:rFonts w:ascii="Arial" w:cs="Arial" w:eastAsia="Arial" w:hAnsi="Arial"/>
                <w:b w:val="1"/>
                <w:bCs w:val="1"/>
                <w:color w:val="ffffff"/>
              </w:rPr>
            </w:pP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92">
            <w:pPr>
              <w:jc w:val="center"/>
              <w:rPr>
                <w:rFonts w:ascii="Arial" w:cs="Arial" w:eastAsia="Arial" w:hAnsi="Arial"/>
                <w:b w:val="1"/>
                <w:bCs w:val="1"/>
              </w:rPr>
            </w:pPr>
            <w:r w:rsidDel="00000000" w:rsidR="00000000" w:rsidRPr="00000000">
              <w:rPr>
                <w:rFonts w:ascii="Arial" w:cs="Arial" w:eastAsia="Arial" w:hAnsi="Arial"/>
                <w:b w:val="1"/>
                <w:bCs w:val="1"/>
                <w:color w:val="ffffff"/>
                <w:rtl w:val="0"/>
              </w:rPr>
              <w:t xml:space="preserve">9. PROCEDIMIENTOS </w:t>
            </w:r>
            <w:r w:rsidDel="00000000" w:rsidR="00000000" w:rsidRPr="00000000">
              <w:rPr>
                <w:rtl w:val="0"/>
              </w:rPr>
            </w:r>
          </w:p>
        </w:tc>
      </w:tr>
      <w:tr>
        <w:trPr>
          <w:cantSplit w:val="0"/>
          <w:tblHeader w:val="0"/>
        </w:trPr>
        <w:tc>
          <w:tcPr/>
          <w:p w:rsidR="00000000" w:rsidDel="00000000" w:rsidP="00000000" w:rsidRDefault="00000000" w:rsidRPr="00000000" w14:paraId="00000093">
            <w:pPr>
              <w:widowControl w:val="0"/>
              <w:numPr>
                <w:ilvl w:val="0"/>
                <w:numId w:val="2"/>
              </w:numPr>
              <w:spacing w:after="0" w:afterAutospacing="0" w:before="24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Presentación: Es la interfaz que usa el usuario. Muestra información de forma clara usando Android e Ionic.</w:t>
            </w:r>
          </w:p>
          <w:p w:rsidR="00000000" w:rsidDel="00000000" w:rsidP="00000000" w:rsidRDefault="00000000" w:rsidRPr="00000000" w14:paraId="00000094">
            <w:pPr>
              <w:widowControl w:val="0"/>
              <w:numPr>
                <w:ilvl w:val="0"/>
                <w:numId w:val="2"/>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Negocio: Procesa la lógica de la aplicación. Utiliza Node.js para manejar operaciones y Python para funciones de Machine Learning.</w:t>
            </w:r>
          </w:p>
          <w:p w:rsidR="00000000" w:rsidDel="00000000" w:rsidP="00000000" w:rsidRDefault="00000000" w:rsidRPr="00000000" w14:paraId="00000095">
            <w:pPr>
              <w:widowControl w:val="0"/>
              <w:numPr>
                <w:ilvl w:val="0"/>
                <w:numId w:val="2"/>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Persistencia: Conecta la lógica con la base de datos, asegurando que los datos viajen seguros mediante Mongoose y HTTPS.</w:t>
            </w:r>
          </w:p>
          <w:p w:rsidR="00000000" w:rsidDel="00000000" w:rsidP="00000000" w:rsidRDefault="00000000" w:rsidRPr="00000000" w14:paraId="00000096">
            <w:pPr>
              <w:widowControl w:val="0"/>
              <w:numPr>
                <w:ilvl w:val="0"/>
                <w:numId w:val="2"/>
              </w:numPr>
              <w:spacing w:before="0" w:beforeAutospacing="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Base de Datos: Guarda la información de forma permanente y protegida usando MongoDB con encriptación.</w:t>
            </w:r>
            <w:r w:rsidDel="00000000" w:rsidR="00000000" w:rsidRPr="00000000">
              <w:rPr>
                <w:rtl w:val="0"/>
              </w:rPr>
            </w:r>
          </w:p>
          <w:p w:rsidR="00000000" w:rsidDel="00000000" w:rsidP="00000000" w:rsidRDefault="00000000" w:rsidRPr="00000000" w14:paraId="00000097">
            <w:pPr>
              <w:jc w:val="center"/>
              <w:rPr>
                <w:rFonts w:ascii="Arial" w:cs="Arial" w:eastAsia="Arial" w:hAnsi="Arial"/>
                <w:b w:val="1"/>
                <w:bCs w:val="1"/>
                <w:color w:val="ffffff"/>
              </w:rPr>
            </w:pP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98">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10. RESULTADOS Y ANÁLISIS</w:t>
            </w:r>
          </w:p>
        </w:tc>
      </w:tr>
      <w:tr>
        <w:trPr>
          <w:cantSplit w:val="0"/>
          <w:tblHeader w:val="0"/>
        </w:trPr>
        <w:tc>
          <w:tcPr/>
          <w:p w:rsidR="00000000" w:rsidDel="00000000" w:rsidP="00000000" w:rsidRDefault="00000000" w:rsidRPr="00000000" w14:paraId="00000099">
            <w:pPr>
              <w:widowControl w:val="0"/>
              <w:spacing w:line="360" w:lineRule="auto"/>
              <w:ind w:left="467"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tiene un alcance descriptivo, explicativo y de desarrollo tecnológico, debido a las características del problema y los objetivos planteados:</w:t>
            </w:r>
          </w:p>
          <w:p w:rsidR="00000000" w:rsidDel="00000000" w:rsidP="00000000" w:rsidRDefault="00000000" w:rsidRPr="00000000" w14:paraId="0000009A">
            <w:pPr>
              <w:widowControl w:val="0"/>
              <w:spacing w:line="360" w:lineRule="auto"/>
              <w:ind w:left="467"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Alcance descriptivo</w:t>
              <w:br w:type="textWrapping"/>
              <w:t xml:space="preserve">Permite describir la situación actual de las cuatro plagas clave en las regiones cañeras de Veracruz: su distribución geográfica, síntomas más frecuentes, tipo de daño que generan en la caña y condiciones que favorecen su presencia. También describe el nivel de acceso a tecnología de los productores y sus prácticas de monitoreo.</w:t>
            </w:r>
          </w:p>
          <w:p w:rsidR="00000000" w:rsidDel="00000000" w:rsidP="00000000" w:rsidRDefault="00000000" w:rsidRPr="00000000" w14:paraId="0000009B">
            <w:pPr>
              <w:widowControl w:val="0"/>
              <w:spacing w:line="360" w:lineRule="auto"/>
              <w:ind w:left="467"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 Alcance explicativo</w:t>
              <w:br w:type="textWrapping"/>
              <w:t xml:space="preserve">Busca identificar y explicar factores asociados a la aparición y dispersión del gusano barrenador, el gusano cogollero, el pulgón amarillo y el salivazo, así como los motivos por los cuales su detección es tardía en la mayoría de los casos.</w:t>
              <w:br w:type="textWrapping"/>
              <w:t xml:space="preserve">También explica cómo la falta de herramientas digitales obstaculiza la respuesta oportuna.</w:t>
            </w:r>
          </w:p>
          <w:p w:rsidR="00000000" w:rsidDel="00000000" w:rsidP="00000000" w:rsidRDefault="00000000" w:rsidRPr="00000000" w14:paraId="0000009C">
            <w:pPr>
              <w:widowControl w:val="0"/>
              <w:spacing w:line="360" w:lineRule="auto"/>
              <w:ind w:left="467"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 Alcance de desarrollo tecnológico (investigación aplicada)</w:t>
              <w:br w:type="textWrapping"/>
              <w:t xml:space="preserve">Este es el núcleo del estudio.</w:t>
              <w:br w:type="textWrapping"/>
              <w:t xml:space="preserve">La investigación busca crear, implementar y validar una solución tecnológica innovadora basada en inteligencia artificial, georreferenciación y colaboración comunitaria.</w:t>
              <w:br w:type="textWrapping"/>
              <w:t xml:space="preserve">Es un proyecto de I+D (investigación y desarrollo), ya que produce un prototipo funcional de una plataforma que responde a un problema real del sector productivo.</w:t>
            </w:r>
          </w:p>
          <w:p w:rsidR="00000000" w:rsidDel="00000000" w:rsidP="00000000" w:rsidRDefault="00000000" w:rsidRPr="00000000" w14:paraId="0000009D">
            <w:pPr>
              <w:widowControl w:val="0"/>
              <w:spacing w:before="240" w:line="276" w:lineRule="auto"/>
              <w:ind w:left="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009E">
            <w:pPr>
              <w:jc w:val="center"/>
              <w:rPr>
                <w:rFonts w:ascii="Arial" w:cs="Arial" w:eastAsia="Arial" w:hAnsi="Arial"/>
                <w:b w:val="1"/>
                <w:bCs w:val="1"/>
                <w:color w:val="ffffff"/>
              </w:rPr>
            </w:pP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9F">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11. BIBLIOGRAFÍA</w:t>
            </w:r>
          </w:p>
        </w:tc>
      </w:tr>
      <w:tr>
        <w:trPr>
          <w:cantSplit w:val="0"/>
          <w:tblHeader w:val="0"/>
        </w:trPr>
        <w:tc>
          <w:tcPr/>
          <w:p w:rsidR="00000000" w:rsidDel="00000000" w:rsidP="00000000" w:rsidRDefault="00000000" w:rsidRPr="00000000" w14:paraId="000000A0">
            <w:pPr>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A1">
            <w:pPr>
              <w:widowControl w:val="0"/>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Comisión Nacional de Desarrollo Sustentable de la Caña de Azúcar [CONADESUCA]. (2023). Informe anual de la agroindustria de la caña de azúcar en México. Gobierno de México. https://www.gob.mx/conadesuca</w:t>
            </w:r>
          </w:p>
          <w:p w:rsidR="00000000" w:rsidDel="00000000" w:rsidP="00000000" w:rsidRDefault="00000000" w:rsidRPr="00000000" w14:paraId="000000A2">
            <w:pPr>
              <w:widowControl w:val="0"/>
              <w:ind w:left="4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3">
            <w:pPr>
              <w:widowControl w:val="0"/>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Food and Agriculture Organization of the United Nations [FAO]. (2018). Manejo integrado de plagas y cultivos sostenibles. FAO. http://www.fao.org</w:t>
            </w:r>
          </w:p>
          <w:p w:rsidR="00000000" w:rsidDel="00000000" w:rsidP="00000000" w:rsidRDefault="00000000" w:rsidRPr="00000000" w14:paraId="000000A4">
            <w:pPr>
              <w:widowControl w:val="0"/>
              <w:ind w:left="4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5">
            <w:pPr>
              <w:widowControl w:val="0"/>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Ferentinos, K. P. (2018). Deep learning models for plant disease detection and diagnosis. Computers and Electronics in Agriculture, 145, 311–318. https://doi.org/10.1016/j.compag.2018.01.009</w:t>
            </w:r>
          </w:p>
          <w:p w:rsidR="00000000" w:rsidDel="00000000" w:rsidP="00000000" w:rsidRDefault="00000000" w:rsidRPr="00000000" w14:paraId="000000A6">
            <w:pPr>
              <w:widowControl w:val="0"/>
              <w:ind w:left="4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7">
            <w:pPr>
              <w:widowControl w:val="0"/>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Instituto Interamericano de Cooperación para la Agricultura [IICA]. (2020). Agricultura digital: Innovación con datos y tecnologías para el sector agropecuario. IICA. https://www.iica.int</w:t>
            </w:r>
          </w:p>
          <w:p w:rsidR="00000000" w:rsidDel="00000000" w:rsidP="00000000" w:rsidRDefault="00000000" w:rsidRPr="00000000" w14:paraId="000000A8">
            <w:pPr>
              <w:widowControl w:val="0"/>
              <w:ind w:left="4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9">
            <w:pPr>
              <w:widowControl w:val="0"/>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Mendoza, A., Pérez, R., &amp; López, J. (2019). Plagas clave en caña de azúcar y su manejo. Revista Mexicana de Fitopatología, 37(2), 245–258. https://doi.org/10.18781/R.MEX.FIT.1904-2</w:t>
            </w:r>
          </w:p>
          <w:p w:rsidR="00000000" w:rsidDel="00000000" w:rsidP="00000000" w:rsidRDefault="00000000" w:rsidRPr="00000000" w14:paraId="000000AA">
            <w:pPr>
              <w:widowControl w:val="0"/>
              <w:ind w:left="4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B">
            <w:pPr>
              <w:widowControl w:val="0"/>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Pretty, J. (2002). Agri-Culture: Reconnecting people, land and nature. Earthscan.</w:t>
            </w:r>
          </w:p>
          <w:p w:rsidR="00000000" w:rsidDel="00000000" w:rsidP="00000000" w:rsidRDefault="00000000" w:rsidRPr="00000000" w14:paraId="000000AC">
            <w:pPr>
              <w:widowControl w:val="0"/>
              <w:ind w:left="4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widowControl w:val="0"/>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Servicio Nacional de Sanidad, Inocuidad y Calidad Agroalimentaria [SENASICA]. (2021). Manual técnico sobre plagas de la caña de azúcar en México. Secretaría de Agricultura y Desarrollo Rural (SADER). https://www.gob.mx/senasica</w:t>
            </w:r>
          </w:p>
          <w:p w:rsidR="00000000" w:rsidDel="00000000" w:rsidP="00000000" w:rsidRDefault="00000000" w:rsidRPr="00000000" w14:paraId="000000AE">
            <w:pPr>
              <w:widowControl w:val="0"/>
              <w:ind w:left="4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F">
            <w:pPr>
              <w:widowControl w:val="0"/>
              <w:ind w:left="0" w:firstLine="0"/>
              <w:rPr>
                <w:rFonts w:ascii="Arial" w:cs="Arial" w:eastAsia="Arial" w:hAnsi="Arial"/>
                <w:b w:val="1"/>
                <w:bCs w:val="1"/>
              </w:rPr>
            </w:pPr>
            <w:r w:rsidDel="00000000" w:rsidR="00000000" w:rsidRPr="00000000">
              <w:rPr>
                <w:rFonts w:ascii="Arial" w:cs="Arial" w:eastAsia="Arial" w:hAnsi="Arial"/>
                <w:sz w:val="24"/>
                <w:szCs w:val="24"/>
                <w:rtl w:val="0"/>
              </w:rPr>
              <w:t xml:space="preserve">Wolfert, S., Ge, L., Verdouw, C., &amp; Bogaardt, M. J. (2017). Big data in smart farming – A review. Agricultural Systems, 153, 69–80. https://doi.org/10.1016/j.agsy.2017.01.023</w:t>
            </w:r>
            <w:r w:rsidDel="00000000" w:rsidR="00000000" w:rsidRPr="00000000">
              <w:rPr>
                <w:rtl w:val="0"/>
              </w:rPr>
            </w:r>
          </w:p>
          <w:p w:rsidR="00000000" w:rsidDel="00000000" w:rsidP="00000000" w:rsidRDefault="00000000" w:rsidRPr="00000000" w14:paraId="000000B0">
            <w:pPr>
              <w:jc w:val="center"/>
              <w:rPr>
                <w:rFonts w:ascii="Arial" w:cs="Arial" w:eastAsia="Arial" w:hAnsi="Arial"/>
                <w:b w:val="1"/>
                <w:bCs w:val="1"/>
                <w:color w:val="ffffff"/>
              </w:rPr>
            </w:pPr>
            <w:r w:rsidDel="00000000" w:rsidR="00000000" w:rsidRPr="00000000">
              <w:rPr>
                <w:rtl w:val="0"/>
              </w:rPr>
            </w:r>
          </w:p>
        </w:tc>
      </w:tr>
    </w:tbl>
    <w:p w:rsidR="00000000" w:rsidDel="00000000" w:rsidP="00000000" w:rsidRDefault="00000000" w:rsidRPr="00000000" w14:paraId="000000B1">
      <w:pPr>
        <w:rPr>
          <w:rFonts w:ascii="Arial" w:cs="Arial" w:eastAsia="Arial" w:hAnsi="Arial"/>
          <w:b w:val="1"/>
          <w:bCs w:val="1"/>
        </w:rPr>
      </w:pPr>
      <w:r w:rsidDel="00000000" w:rsidR="00000000" w:rsidRPr="00000000">
        <w:rPr>
          <w:rFonts w:ascii="Arial" w:cs="Arial" w:eastAsia="Arial" w:hAnsi="Arial"/>
          <w:b w:val="1"/>
          <w:bCs w:val="1"/>
          <w:rtl w:val="0"/>
        </w:rPr>
        <w:t xml:space="preserve">EL PROTOCOLO DE INVESTIGACIÓN EN EXTENSO, NO DEBERÁ EXCEDER DE 20 CUARTILLAS.  </w:t>
      </w:r>
      <w:r w:rsidDel="00000000" w:rsidR="00000000" w:rsidRPr="00000000">
        <w:rPr>
          <w:rFonts w:ascii="Arial" w:cs="Arial" w:eastAsia="Arial" w:hAnsi="Arial"/>
          <w:b w:val="1"/>
          <w:bCs w:val="1"/>
          <w:highlight w:val="yellow"/>
          <w:rtl w:val="0"/>
        </w:rPr>
        <w:t xml:space="preserve">TIENES HASTA EL 24 DE MAYO PARA ENVIAR TODO LO SOLICITADO.</w:t>
      </w:r>
      <w:r w:rsidDel="00000000" w:rsidR="00000000" w:rsidRPr="00000000">
        <w:rPr>
          <w:rtl w:val="0"/>
        </w:rPr>
      </w:r>
    </w:p>
    <w:p w:rsidR="00000000" w:rsidDel="00000000" w:rsidP="00000000" w:rsidRDefault="00000000" w:rsidRPr="00000000" w14:paraId="000000B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SUBIR EN PDF EN EL SIGUIENTE LINK:</w:t>
      </w:r>
    </w:p>
    <w:p w:rsidR="00000000" w:rsidDel="00000000" w:rsidP="00000000" w:rsidRDefault="00000000" w:rsidRPr="00000000" w14:paraId="000000B3">
      <w:pPr>
        <w:spacing w:after="0" w:lineRule="auto"/>
        <w:jc w:val="center"/>
        <w:rPr>
          <w:rFonts w:ascii="Arial" w:cs="Arial" w:eastAsia="Arial" w:hAnsi="Arial"/>
          <w:b w:val="1"/>
          <w:bCs w:val="1"/>
          <w:color w:val="1f497d"/>
          <w:sz w:val="40"/>
          <w:szCs w:val="40"/>
        </w:rPr>
      </w:pPr>
      <w:r w:rsidDel="00000000" w:rsidR="00000000" w:rsidRPr="00000000">
        <w:rPr>
          <w:rFonts w:ascii="Arial" w:cs="Arial" w:eastAsia="Arial" w:hAnsi="Arial"/>
          <w:b w:val="1"/>
          <w:bCs w:val="1"/>
          <w:color w:val="1f497d"/>
          <w:sz w:val="40"/>
          <w:szCs w:val="40"/>
          <w:rtl w:val="0"/>
        </w:rPr>
        <w:t xml:space="preserve">expociencias.utcv.edu.mx</w:t>
      </w:r>
    </w:p>
    <w:p w:rsidR="00000000" w:rsidDel="00000000" w:rsidP="00000000" w:rsidRDefault="00000000" w:rsidRPr="00000000" w14:paraId="000000B4">
      <w:pPr>
        <w:jc w:val="center"/>
        <w:rPr>
          <w:rFonts w:ascii="Arial" w:cs="Arial" w:eastAsia="Arial" w:hAnsi="Arial"/>
          <w:b w:val="1"/>
          <w:bCs w:val="1"/>
          <w:color w:val="7030a0"/>
          <w:sz w:val="52"/>
          <w:szCs w:val="52"/>
        </w:rPr>
      </w:pP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tl w:val="0"/>
        </w:rPr>
      </w:r>
    </w:p>
    <w:sectPr>
      <w:headerReference r:id="rId8" w:type="first"/>
      <w:footerReference r:id="rId9" w:type="first"/>
      <w:pgSz w:h="15840" w:w="12240" w:orient="portrait"/>
      <w:pgMar w:bottom="1417" w:top="1417" w:left="1701" w:right="170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5018405" cy="329565"/>
          <wp:effectExtent b="0" l="0" r="0" t="0"/>
          <wp:docPr descr="C:\Users\admin\Dropbox\Mi PC (victor-pc)\Desktop\EXPOCIENCIAS - centro 2026\PNG\logos.png" id="3" name="image3.png"/>
          <a:graphic>
            <a:graphicData uri="http://schemas.openxmlformats.org/drawingml/2006/picture">
              <pic:pic>
                <pic:nvPicPr>
                  <pic:cNvPr descr="C:\Users\admin\Dropbox\Mi PC (victor-pc)\Desktop\EXPOCIENCIAS - centro 2026\PNG\logos.png" id="0" name="image3.png"/>
                  <pic:cNvPicPr preferRelativeResize="0"/>
                </pic:nvPicPr>
                <pic:blipFill>
                  <a:blip r:embed="rId1"/>
                  <a:srcRect b="0" l="0" r="0" t="0"/>
                  <a:stretch>
                    <a:fillRect/>
                  </a:stretch>
                </pic:blipFill>
                <pic:spPr>
                  <a:xfrm>
                    <a:off x="0" y="0"/>
                    <a:ext cx="5018405" cy="329565"/>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5164996</wp:posOffset>
          </wp:positionH>
          <wp:positionV relativeFrom="paragraph">
            <wp:posOffset>-195032</wp:posOffset>
          </wp:positionV>
          <wp:extent cx="1066089" cy="235744"/>
          <wp:effectExtent b="0" l="0" r="0" t="0"/>
          <wp:wrapNone/>
          <wp:docPr descr="C:\Users\admin\Dropbox\Mi PC (victor-pc)\Desktop\ECV 2023\png\10.png" id="2" name="image2.png"/>
          <a:graphic>
            <a:graphicData uri="http://schemas.openxmlformats.org/drawingml/2006/picture">
              <pic:pic>
                <pic:nvPicPr>
                  <pic:cNvPr descr="C:\Users\admin\Dropbox\Mi PC (victor-pc)\Desktop\ECV 2023\png\10.png" id="0" name="image2.png"/>
                  <pic:cNvPicPr preferRelativeResize="0"/>
                </pic:nvPicPr>
                <pic:blipFill>
                  <a:blip r:embed="rId1"/>
                  <a:srcRect b="0" l="0" r="0" t="0"/>
                  <a:stretch>
                    <a:fillRect/>
                  </a:stretch>
                </pic:blipFill>
                <pic:spPr>
                  <a:xfrm>
                    <a:off x="0" y="0"/>
                    <a:ext cx="1066089" cy="235744"/>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La3O+ntRuSt/qFc9RBGK5y7vLA==">CgMxLjA4AHIhMXFEX2FIamhuVmVKVnpmeWV5alAyMTRLMDJUXzlCVW9M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