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i w:val="0"/>
          <w:color w:val="1F4E79"/>
          <w:sz w:val="56"/>
        </w:rPr>
        <w:t>🌿 PlagaControl 🌿</w:t>
        <w:br/>
      </w:r>
      <w:r>
        <w:rPr>
          <w:rFonts w:ascii="Arial" w:hAnsi="Arial"/>
          <w:b/>
          <w:i w:val="0"/>
          <w:color w:val="1F4E79"/>
          <w:sz w:val="40"/>
        </w:rPr>
        <w:t>SISTEMA INTEGRAL DE CONTROL Y REPORTE DE PLAGAS AGRÍCOLAS</w:t>
        <w:br/>
      </w:r>
    </w:p>
    <w:p>
      <w:pPr>
        <w:spacing w:before="240" w:after="1600"/>
        <w:jc w:val="center"/>
      </w:pPr>
      <w:r>
        <w:rPr>
          <w:rFonts w:ascii="Arial" w:hAnsi="Arial"/>
          <w:b w:val="0"/>
          <w:i/>
          <w:color w:val="595959"/>
          <w:sz w:val="26"/>
        </w:rPr>
        <w:t>Reporte Integral de Aseguramiento de Calidad (QA), Gestión de Contenedores y Plan de Liberación de Software</w:t>
      </w:r>
    </w:p>
    <w:tbl>
      <w:tblPr>
        <w:tblW w:type="auto" w:w="0"/>
        <w:jc w:val="center"/>
        <w:tblLook w:firstColumn="1" w:firstRow="1" w:lastColumn="0" w:lastRow="0" w:noHBand="0" w:noVBand="1" w:val="04A0"/>
      </w:tblPr>
      <w:tblGrid>
        <w:gridCol w:w="3168"/>
        <w:gridCol w:w="5472"/>
      </w:tblGrid>
      <w:tr>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i w:val="0"/>
                <w:color w:val="1F4E79"/>
                <w:sz w:val="21"/>
              </w:rPr>
              <w:t>Materia:</w:t>
            </w:r>
          </w:p>
        </w:tc>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val="0"/>
                <w:i w:val="0"/>
                <w:color w:val="333333"/>
                <w:sz w:val="21"/>
              </w:rPr>
              <w:t>Desarrollo Web Integral / Proyecto Integrador</w:t>
            </w:r>
          </w:p>
        </w:tc>
      </w:tr>
      <w:tr>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i w:val="0"/>
                <w:color w:val="1F4E79"/>
                <w:sz w:val="21"/>
              </w:rPr>
              <w:t>Carrera:</w:t>
            </w:r>
          </w:p>
        </w:tc>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val="0"/>
                <w:i w:val="0"/>
                <w:color w:val="333333"/>
                <w:sz w:val="21"/>
              </w:rPr>
              <w:t>Ingeniería en Tecnologías de la Información (IDGS)</w:t>
            </w:r>
          </w:p>
        </w:tc>
      </w:tr>
      <w:tr>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i w:val="0"/>
                <w:color w:val="1F4E79"/>
                <w:sz w:val="21"/>
              </w:rPr>
              <w:t>Docente:</w:t>
            </w:r>
          </w:p>
        </w:tc>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val="0"/>
                <w:i w:val="0"/>
                <w:color w:val="333333"/>
                <w:sz w:val="21"/>
              </w:rPr>
              <w:t>Ing. Arturo Bravo Baez</w:t>
            </w:r>
          </w:p>
        </w:tc>
      </w:tr>
      <w:tr>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i w:val="0"/>
                <w:color w:val="1F4E79"/>
                <w:sz w:val="21"/>
              </w:rPr>
              <w:t>Integrantes del Equipo:</w:t>
            </w:r>
          </w:p>
        </w:tc>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val="0"/>
                <w:i w:val="0"/>
                <w:color w:val="333333"/>
                <w:sz w:val="21"/>
              </w:rPr>
              <w:t>Vichique Hernandez Eduardo Adan</w:t>
              <w:br/>
              <w:t>Murillo Lopez Eduardo</w:t>
              <w:br/>
              <w:t>Garcia Lezama Luis Alberto</w:t>
            </w:r>
          </w:p>
        </w:tc>
      </w:tr>
      <w:tr>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i w:val="0"/>
                <w:color w:val="1F4E79"/>
                <w:sz w:val="21"/>
              </w:rPr>
              <w:t>Fecha de Entrega:</w:t>
            </w:r>
          </w:p>
        </w:tc>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val="0"/>
                <w:i w:val="0"/>
                <w:color w:val="333333"/>
                <w:sz w:val="21"/>
              </w:rPr>
              <w:t>14 de Julio de 2026</w:t>
            </w:r>
          </w:p>
        </w:tc>
      </w:tr>
      <w:tr>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i w:val="0"/>
                <w:color w:val="1F4E79"/>
                <w:sz w:val="21"/>
              </w:rPr>
              <w:t>Versión del Documento:</w:t>
            </w:r>
          </w:p>
        </w:tc>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val="0"/>
                <w:i w:val="0"/>
                <w:color w:val="333333"/>
                <w:sz w:val="21"/>
              </w:rPr>
              <w:t>v1.0.0 (Listo para producción)</w:t>
            </w:r>
          </w:p>
        </w:tc>
      </w:tr>
      <w:tr>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i w:val="0"/>
                <w:color w:val="1F4E79"/>
                <w:sz w:val="21"/>
              </w:rPr>
              <w:t>Estado de Pruebas:</w:t>
            </w:r>
          </w:p>
        </w:tc>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val="0"/>
                <w:i w:val="0"/>
                <w:color w:val="333333"/>
                <w:sz w:val="21"/>
              </w:rPr>
              <w:t>10 Casos de Prueba - 100% Aprobados</w:t>
            </w:r>
          </w:p>
        </w:tc>
      </w:tr>
      <w:tr>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i w:val="0"/>
                <w:color w:val="1F4E79"/>
                <w:sz w:val="21"/>
              </w:rPr>
              <w:t>Entorno de Ejecución:</w:t>
            </w:r>
          </w:p>
        </w:tc>
        <w:tc>
          <w:tcPr>
            <w:tcW w:type="dxa" w:w="4680"/>
            <w:tcMar>
              <w:top w:w="60" w:type="dxa"/>
              <w:bottom w:w="60" w:type="dxa"/>
              <w:left w:w="100" w:type="dxa"/>
              <w:right w:w="100" w:type="dxa"/>
            </w:tcMar>
            <w:tcBorders>
              <w:top w:val="single" w:sz="2" w:space="0" w:color="E0E0E0"/>
              <w:left w:val="single" w:sz="2" w:space="0" w:color="E0E0E0"/>
              <w:bottom w:val="single" w:sz="2" w:space="0" w:color="E0E0E0"/>
              <w:right w:val="single" w:sz="2" w:space="0" w:color="E0E0E0"/>
            </w:tcBorders>
          </w:tcPr>
          <w:p>
            <w:pPr>
              <w:spacing w:after="80"/>
            </w:pPr>
            <w:r>
              <w:rPr>
                <w:rFonts w:ascii="Arial" w:hAnsi="Arial"/>
                <w:b w:val="0"/>
                <w:i w:val="0"/>
                <w:color w:val="333333"/>
                <w:sz w:val="21"/>
              </w:rPr>
              <w:t>Docker Desktop, Ionic/Capacitor, FastAPI &amp; TensorFlow Keras</w:t>
            </w:r>
          </w:p>
        </w:tc>
      </w:tr>
    </w:tbl>
    <w:p>
      <w:r>
        <w:br w:type="page"/>
      </w:r>
    </w:p>
    <w:p>
      <w:pPr>
        <w:keepNext/>
        <w:spacing w:before="400" w:after="120"/>
      </w:pPr>
      <w:r>
        <w:rPr>
          <w:rFonts w:ascii="Arial" w:hAnsi="Arial"/>
          <w:b/>
          <w:i w:val="0"/>
          <w:color w:val="1F4E79"/>
          <w:sz w:val="32"/>
        </w:rPr>
        <w:t>ÍNDICE GENERAL</w:t>
      </w:r>
    </w:p>
    <w:p>
      <w:pPr>
        <w:spacing w:after="120" w:line="276" w:lineRule="auto"/>
      </w:pPr>
      <w:r>
        <w:rPr>
          <w:rFonts w:ascii="Arial" w:hAnsi="Arial"/>
          <w:b w:val="0"/>
          <w:i w:val="0"/>
          <w:color w:val="333333"/>
          <w:sz w:val="22"/>
        </w:rPr>
        <w:t>El siguiente índice refleja la estructura general del documento. En entornos compatibles con Microsoft Word, haga clic derecho sobre el bloque inferior y seleccione 'Actualizar campos' para recalcular automáticamente las páginas tras realizar modificaciones adicionales.</w:t>
      </w:r>
    </w:p>
    <w:tbl>
      <w:tblPr>
        <w:tblW w:type="auto" w:w="0"/>
        <w:jc w:val="center"/>
        <w:tblLook w:firstColumn="1" w:firstRow="1" w:lastColumn="0" w:lastRow="0" w:noHBand="0" w:noVBand="1" w:val="04A0"/>
      </w:tblPr>
      <w:tblGrid>
        <w:gridCol w:w="3120"/>
        <w:gridCol w:w="3120"/>
        <w:gridCol w:w="3120"/>
      </w:tblGrid>
      <w:tr>
        <w:tc>
          <w:tcPr>
            <w:tcW w:type="dxa" w:w="115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shd w:fill="1F4E79"/>
          </w:tcPr>
          <w:p>
            <w:pPr>
              <w:spacing w:after="40" w:line="276" w:lineRule="auto"/>
              <w:jc w:val="center"/>
            </w:pPr>
            <w:r>
              <w:rPr>
                <w:rFonts w:ascii="Arial" w:hAnsi="Arial"/>
                <w:b/>
                <w:i w:val="0"/>
                <w:color w:val="FFFFFF"/>
                <w:sz w:val="20"/>
              </w:rPr>
              <w:t>Sección</w:t>
            </w:r>
          </w:p>
        </w:tc>
        <w:tc>
          <w:tcPr>
            <w:tcW w:type="dxa" w:w="6336"/>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shd w:fill="1F4E79"/>
          </w:tcPr>
          <w:p>
            <w:pPr>
              <w:spacing w:after="40" w:line="276" w:lineRule="auto"/>
              <w:jc w:val="center"/>
            </w:pPr>
            <w:r>
              <w:rPr>
                <w:rFonts w:ascii="Arial" w:hAnsi="Arial"/>
                <w:b/>
                <w:i w:val="0"/>
                <w:color w:val="FFFFFF"/>
                <w:sz w:val="20"/>
              </w:rPr>
              <w:t>Apartado del Documento</w:t>
            </w:r>
          </w:p>
        </w:tc>
        <w:tc>
          <w:tcPr>
            <w:tcW w:type="dxa" w:w="115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shd w:fill="1F4E79"/>
          </w:tcPr>
          <w:p>
            <w:pPr>
              <w:spacing w:after="40" w:line="276" w:lineRule="auto"/>
              <w:jc w:val="center"/>
            </w:pPr>
            <w:r>
              <w:rPr>
                <w:rFonts w:ascii="Arial" w:hAnsi="Arial"/>
                <w:b/>
                <w:i w:val="0"/>
                <w:color w:val="FFFFFF"/>
                <w:sz w:val="20"/>
              </w:rPr>
              <w:t>Pág. Sug.</w:t>
            </w:r>
          </w:p>
        </w:tc>
      </w:tr>
      <w:tr>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val="0"/>
                <w:i w:val="0"/>
                <w:color w:val="333333"/>
                <w:sz w:val="19"/>
              </w:rPr>
              <w:t>1.0</w:t>
            </w:r>
          </w:p>
        </w:tc>
        <w:tc>
          <w:tcPr>
            <w:tcW w:type="dxa" w:w="6336"/>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Portada Académica de Integración</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right"/>
            </w:pPr>
            <w:r>
              <w:rPr>
                <w:rFonts w:ascii="Arial" w:hAnsi="Arial"/>
                <w:b w:val="0"/>
                <w:i w:val="0"/>
                <w:color w:val="333333"/>
                <w:sz w:val="19"/>
              </w:rPr>
              <w:t>1</w:t>
            </w:r>
          </w:p>
        </w:tc>
      </w:tr>
      <w:tr>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val="0"/>
                <w:i w:val="0"/>
                <w:color w:val="333333"/>
                <w:sz w:val="19"/>
              </w:rPr>
              <w:t>2.0</w:t>
            </w:r>
          </w:p>
        </w:tc>
        <w:tc>
          <w:tcPr>
            <w:tcW w:type="dxa" w:w="6336"/>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Introducción al Aseguramiento de Calidad y DevOps</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right"/>
            </w:pPr>
            <w:r>
              <w:rPr>
                <w:rFonts w:ascii="Arial" w:hAnsi="Arial"/>
                <w:b w:val="0"/>
                <w:i w:val="0"/>
                <w:color w:val="333333"/>
                <w:sz w:val="19"/>
              </w:rPr>
              <w:t>3</w:t>
            </w:r>
          </w:p>
        </w:tc>
      </w:tr>
      <w:tr>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val="0"/>
                <w:i w:val="0"/>
                <w:color w:val="333333"/>
                <w:sz w:val="19"/>
              </w:rPr>
              <w:t>3.0</w:t>
            </w:r>
          </w:p>
        </w:tc>
        <w:tc>
          <w:tcPr>
            <w:tcW w:type="dxa" w:w="6336"/>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 Herramientas de Gestión de Contenedores (Docker &amp; Compose)</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right"/>
            </w:pPr>
            <w:r>
              <w:rPr>
                <w:rFonts w:ascii="Arial" w:hAnsi="Arial"/>
                <w:b w:val="0"/>
                <w:i w:val="0"/>
                <w:color w:val="333333"/>
                <w:sz w:val="19"/>
              </w:rPr>
              <w:t>4</w:t>
            </w:r>
          </w:p>
        </w:tc>
      </w:tr>
      <w:tr>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val="0"/>
                <w:i w:val="0"/>
                <w:color w:val="333333"/>
                <w:sz w:val="19"/>
              </w:rPr>
              <w:t>3.1</w:t>
            </w:r>
          </w:p>
        </w:tc>
        <w:tc>
          <w:tcPr>
            <w:tcW w:type="dxa" w:w="6336"/>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 xml:space="preserve">  - Justificación Técnica y Beneficios Obtenidos</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right"/>
            </w:pPr>
            <w:r>
              <w:rPr>
                <w:rFonts w:ascii="Arial" w:hAnsi="Arial"/>
                <w:b w:val="0"/>
                <w:i w:val="0"/>
                <w:color w:val="333333"/>
                <w:sz w:val="19"/>
              </w:rPr>
              <w:t>4</w:t>
            </w:r>
          </w:p>
        </w:tc>
      </w:tr>
      <w:tr>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val="0"/>
                <w:i w:val="0"/>
                <w:color w:val="333333"/>
                <w:sz w:val="19"/>
              </w:rPr>
              <w:t>3.2</w:t>
            </w:r>
          </w:p>
        </w:tc>
        <w:tc>
          <w:tcPr>
            <w:tcW w:type="dxa" w:w="6336"/>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 xml:space="preserve">  - Arquitectura en Contenedores y Flujos de Servicios</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right"/>
            </w:pPr>
            <w:r>
              <w:rPr>
                <w:rFonts w:ascii="Arial" w:hAnsi="Arial"/>
                <w:b w:val="0"/>
                <w:i w:val="0"/>
                <w:color w:val="333333"/>
                <w:sz w:val="19"/>
              </w:rPr>
              <w:t>5</w:t>
            </w:r>
          </w:p>
        </w:tc>
      </w:tr>
      <w:tr>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val="0"/>
                <w:i w:val="0"/>
                <w:color w:val="333333"/>
                <w:sz w:val="19"/>
              </w:rPr>
              <w:t>4.0</w:t>
            </w:r>
          </w:p>
        </w:tc>
        <w:tc>
          <w:tcPr>
            <w:tcW w:type="dxa" w:w="6336"/>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B) Reporte de Pruebas de Calidad de Software (QA Report)</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right"/>
            </w:pPr>
            <w:r>
              <w:rPr>
                <w:rFonts w:ascii="Arial" w:hAnsi="Arial"/>
                <w:b w:val="0"/>
                <w:i w:val="0"/>
                <w:color w:val="333333"/>
                <w:sz w:val="19"/>
              </w:rPr>
              <w:t>7</w:t>
            </w:r>
          </w:p>
        </w:tc>
      </w:tr>
      <w:tr>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val="0"/>
                <w:i w:val="0"/>
                <w:color w:val="333333"/>
                <w:sz w:val="19"/>
              </w:rPr>
              <w:t>4.1</w:t>
            </w:r>
          </w:p>
        </w:tc>
        <w:tc>
          <w:tcPr>
            <w:tcW w:type="dxa" w:w="6336"/>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 xml:space="preserve">  - Tabla Resumen de los 10 Casos de Prueba Ejecutados</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right"/>
            </w:pPr>
            <w:r>
              <w:rPr>
                <w:rFonts w:ascii="Arial" w:hAnsi="Arial"/>
                <w:b w:val="0"/>
                <w:i w:val="0"/>
                <w:color w:val="333333"/>
                <w:sz w:val="19"/>
              </w:rPr>
              <w:t>7</w:t>
            </w:r>
          </w:p>
        </w:tc>
      </w:tr>
      <w:tr>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val="0"/>
                <w:i w:val="0"/>
                <w:color w:val="333333"/>
                <w:sz w:val="19"/>
              </w:rPr>
              <w:t>4.2</w:t>
            </w:r>
          </w:p>
        </w:tc>
        <w:tc>
          <w:tcPr>
            <w:tcW w:type="dxa" w:w="6336"/>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 xml:space="preserve">  - Fichas Detalladas y Evidencias de Casos TC-01 a TC-10</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right"/>
            </w:pPr>
            <w:r>
              <w:rPr>
                <w:rFonts w:ascii="Arial" w:hAnsi="Arial"/>
                <w:b w:val="0"/>
                <w:i w:val="0"/>
                <w:color w:val="333333"/>
                <w:sz w:val="19"/>
              </w:rPr>
              <w:t>8</w:t>
            </w:r>
          </w:p>
        </w:tc>
      </w:tr>
      <w:tr>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val="0"/>
                <w:i w:val="0"/>
                <w:color w:val="333333"/>
                <w:sz w:val="19"/>
              </w:rPr>
              <w:t>4.3</w:t>
            </w:r>
          </w:p>
        </w:tc>
        <w:tc>
          <w:tcPr>
            <w:tcW w:type="dxa" w:w="6336"/>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 xml:space="preserve">  - Reporte Formal de Errores e Incidencias (PLG-BUG-001)</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right"/>
            </w:pPr>
            <w:r>
              <w:rPr>
                <w:rFonts w:ascii="Arial" w:hAnsi="Arial"/>
                <w:b w:val="0"/>
                <w:i w:val="0"/>
                <w:color w:val="333333"/>
                <w:sz w:val="19"/>
              </w:rPr>
              <w:t>18</w:t>
            </w:r>
          </w:p>
        </w:tc>
      </w:tr>
      <w:tr>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val="0"/>
                <w:i w:val="0"/>
                <w:color w:val="333333"/>
                <w:sz w:val="19"/>
              </w:rPr>
              <w:t>5.0</w:t>
            </w:r>
          </w:p>
        </w:tc>
        <w:tc>
          <w:tcPr>
            <w:tcW w:type="dxa" w:w="6336"/>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 Generalidades del Plan de Liberación de Software (14 Áreas)</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right"/>
            </w:pPr>
            <w:r>
              <w:rPr>
                <w:rFonts w:ascii="Arial" w:hAnsi="Arial"/>
                <w:b w:val="0"/>
                <w:i w:val="0"/>
                <w:color w:val="333333"/>
                <w:sz w:val="19"/>
              </w:rPr>
              <w:t>20</w:t>
            </w:r>
          </w:p>
        </w:tc>
      </w:tr>
      <w:tr>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val="0"/>
                <w:i w:val="0"/>
                <w:color w:val="333333"/>
                <w:sz w:val="19"/>
              </w:rPr>
              <w:t>6.0</w:t>
            </w:r>
          </w:p>
        </w:tc>
        <w:tc>
          <w:tcPr>
            <w:tcW w:type="dxa" w:w="6336"/>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Conclusiones y Recomendaciones de Ingeniería de Software</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right"/>
            </w:pPr>
            <w:r>
              <w:rPr>
                <w:rFonts w:ascii="Arial" w:hAnsi="Arial"/>
                <w:b w:val="0"/>
                <w:i w:val="0"/>
                <w:color w:val="333333"/>
                <w:sz w:val="19"/>
              </w:rPr>
              <w:t>24</w:t>
            </w:r>
          </w:p>
        </w:tc>
      </w:tr>
    </w:tbl>
    <w:p>
      <w:pPr>
        <w:spacing w:before="240"/>
      </w:pPr>
    </w:p>
    <w:p>
      <w:pPr>
        <w:spacing w:after="120" w:line="276" w:lineRule="auto"/>
      </w:pPr>
      <w:r>
        <w:rPr>
          <w:rFonts w:ascii="Arial" w:hAnsi="Arial"/>
          <w:b w:val="0"/>
          <w:i w:val="0"/>
          <w:color w:val="333333"/>
          <w:sz w:val="22"/>
        </w:rPr>
        <w:t>Índice de Campos de Microsoft Word (Generación Dinámica):</w:t>
      </w:r>
    </w:p>
    <w:p>
      <w:pPr>
        <w:spacing w:after="240"/>
      </w:pPr>
      <w:r>
        <w:fldChar w:fldCharType="begin"/>
        <w:instrText xml:space="preserve">TOC \o "1-3" \h \z \u</w:instrText>
        <w:fldChar w:fldCharType="separate"/>
        <w:fldChar w:fldCharType="end"/>
      </w:r>
    </w:p>
    <w:p>
      <w:r>
        <w:br w:type="page"/>
      </w:r>
    </w:p>
    <w:p>
      <w:pPr>
        <w:keepNext/>
        <w:spacing w:before="400" w:after="120"/>
      </w:pPr>
      <w:r>
        <w:rPr>
          <w:rFonts w:ascii="Arial" w:hAnsi="Arial"/>
          <w:b/>
          <w:i w:val="0"/>
          <w:color w:val="1F4E79"/>
          <w:sz w:val="32"/>
        </w:rPr>
        <w:t>2. INTRODUCCIÓN</w:t>
      </w:r>
    </w:p>
    <w:p>
      <w:pPr>
        <w:spacing w:after="120" w:line="276" w:lineRule="auto"/>
      </w:pPr>
      <w:r>
        <w:rPr>
          <w:rFonts w:ascii="Arial" w:hAnsi="Arial"/>
          <w:b w:val="0"/>
          <w:i w:val="0"/>
          <w:color w:val="333333"/>
          <w:sz w:val="22"/>
        </w:rPr>
        <w:t>El desarrollo moderno de aplicaciones móviles e híbridas demanda un flujo de trabajo altamente sincronizado, donde el aseguramiento de la calidad (QA) y la automatización de la infraestructura (DevOps) convergen para mitigar riesgos, acelerar la entrega de valor y proveer productos estables a los usuarios. Este documento recopila la evidencia técnica y el análisis formal del Proyecto Integrador PlagaControl, enfocado en el diagnóstico fitosanitario agrícola.</w:t>
      </w:r>
    </w:p>
    <w:p>
      <w:pPr>
        <w:keepNext/>
        <w:spacing w:before="280" w:after="80"/>
      </w:pPr>
      <w:r>
        <w:rPr>
          <w:rFonts w:ascii="Arial" w:hAnsi="Arial"/>
          <w:b/>
          <w:i w:val="0"/>
          <w:color w:val="1F4E79"/>
          <w:sz w:val="26"/>
        </w:rPr>
        <w:t>2.1 Objetivo del Reporte</w:t>
      </w:r>
    </w:p>
    <w:p>
      <w:pPr>
        <w:spacing w:after="120" w:line="276" w:lineRule="auto"/>
      </w:pPr>
      <w:r>
        <w:rPr>
          <w:rFonts w:ascii="Arial" w:hAnsi="Arial"/>
          <w:b w:val="0"/>
          <w:i w:val="0"/>
          <w:color w:val="333333"/>
          <w:sz w:val="22"/>
        </w:rPr>
        <w:t>El objetivo de este informe es documentar de forma exhaustiva los procesos de calidad, el esquema de contenedores virtuales y el plan de liberación de software de PlagaControl. Se detalla la verificación en entornos de emulación, la arquitectura interna basada en microservicios dockerizados y los flujos críticos de la base de datos relacional junto al servicio de predicción mediante Inteligencia Artificial, proporcionando una base sólida y confiable para su paso a entornos productivos.</w:t>
      </w:r>
    </w:p>
    <w:p>
      <w:pPr>
        <w:keepNext/>
        <w:spacing w:before="280" w:after="80"/>
      </w:pPr>
      <w:r>
        <w:rPr>
          <w:rFonts w:ascii="Arial" w:hAnsi="Arial"/>
          <w:b/>
          <w:i w:val="0"/>
          <w:color w:val="1F4E79"/>
          <w:sz w:val="26"/>
        </w:rPr>
        <w:t>2.2 Importancia del Uso de Contenedores</w:t>
      </w:r>
    </w:p>
    <w:p>
      <w:pPr>
        <w:spacing w:after="120" w:line="276" w:lineRule="auto"/>
      </w:pPr>
      <w:r>
        <w:rPr>
          <w:rFonts w:ascii="Arial" w:hAnsi="Arial"/>
          <w:b w:val="0"/>
          <w:i w:val="0"/>
          <w:color w:val="333333"/>
          <w:sz w:val="22"/>
        </w:rPr>
        <w:t>La contenerización (especialmente a través de Docker y Docker Compose) ha revolucionado la gestión de infraestructura al desacoplar el software de las configuraciones específicas del sistema operativo anfitrión. Sus principales aportaciones al proyecto radican en:</w:t>
      </w:r>
    </w:p>
    <w:p>
      <w:pPr>
        <w:pStyle w:val="ListBullet"/>
        <w:spacing w:after="80" w:line="276" w:lineRule="auto"/>
      </w:pPr>
      <w:r>
        <w:rPr>
          <w:rFonts w:ascii="Arial" w:hAnsi="Arial"/>
          <w:b/>
          <w:i w:val="0"/>
          <w:color w:val="333333"/>
          <w:sz w:val="22"/>
        </w:rPr>
        <w:t>Portabilidad:</w:t>
      </w:r>
      <w:r>
        <w:rPr>
          <w:rFonts w:ascii="Arial" w:hAnsi="Arial"/>
          <w:b w:val="0"/>
          <w:i w:val="0"/>
          <w:color w:val="333333"/>
          <w:sz w:val="22"/>
        </w:rPr>
        <w:t>Garantizar la portabilidad absoluta del sistema híbrido, eliminando el clásico conflicto de compatibilidad de dependencias entre entornos de desarrollo y producción ('funciona en mi máquina').</w:t>
      </w:r>
    </w:p>
    <w:p>
      <w:pPr>
        <w:pStyle w:val="ListBullet"/>
        <w:spacing w:after="80" w:line="276" w:lineRule="auto"/>
      </w:pPr>
      <w:r>
        <w:rPr>
          <w:rFonts w:ascii="Arial" w:hAnsi="Arial"/>
          <w:b/>
          <w:i w:val="0"/>
          <w:color w:val="333333"/>
          <w:sz w:val="22"/>
        </w:rPr>
        <w:t>Aislamiento:</w:t>
      </w:r>
      <w:r>
        <w:rPr>
          <w:rFonts w:ascii="Arial" w:hAnsi="Arial"/>
          <w:b w:val="0"/>
          <w:i w:val="0"/>
          <w:color w:val="333333"/>
          <w:sz w:val="22"/>
        </w:rPr>
        <w:t>Aislar las dependencias científicas pesadas del microservicio de Machine Learning (TensorFlow, Keras) de la pila ligera de la API de Node.js, optimizando el consumo de recursos de cómputo.</w:t>
      </w:r>
    </w:p>
    <w:p>
      <w:pPr>
        <w:pStyle w:val="ListBullet"/>
        <w:spacing w:after="80" w:line="276" w:lineRule="auto"/>
      </w:pPr>
      <w:r>
        <w:rPr>
          <w:rFonts w:ascii="Arial" w:hAnsi="Arial"/>
          <w:b/>
          <w:i w:val="0"/>
          <w:color w:val="333333"/>
          <w:sz w:val="22"/>
        </w:rPr>
        <w:t>Orquestación Automatizada:</w:t>
      </w:r>
      <w:r>
        <w:rPr>
          <w:rFonts w:ascii="Arial" w:hAnsi="Arial"/>
          <w:b w:val="0"/>
          <w:i w:val="0"/>
          <w:color w:val="333333"/>
          <w:sz w:val="22"/>
        </w:rPr>
        <w:t>Automatizar la orquestación y el arranque secuencial de bases de datos relacionales, backend y proxies mediante configuraciones declarativas robustas.</w:t>
      </w:r>
    </w:p>
    <w:p>
      <w:pPr>
        <w:keepNext/>
        <w:spacing w:before="280" w:after="80"/>
      </w:pPr>
      <w:r>
        <w:rPr>
          <w:rFonts w:ascii="Arial" w:hAnsi="Arial"/>
          <w:b/>
          <w:i w:val="0"/>
          <w:color w:val="1F4E79"/>
          <w:sz w:val="26"/>
        </w:rPr>
        <w:t>2.3 Importancia de las Pruebas de Software (QA)</w:t>
      </w:r>
    </w:p>
    <w:p>
      <w:pPr>
        <w:spacing w:after="120" w:line="276" w:lineRule="auto"/>
      </w:pPr>
      <w:r>
        <w:rPr>
          <w:rFonts w:ascii="Arial" w:hAnsi="Arial"/>
          <w:b w:val="0"/>
          <w:i w:val="0"/>
          <w:color w:val="333333"/>
          <w:sz w:val="22"/>
        </w:rPr>
        <w:t>Las pruebas de software sistemáticas (tanto funcionales, de seguridad, de integración como de validación) aseguran que las funcionalidades implementadas respondan con precisión a las necesidades del agricultor. Al verificar rigurosamente los formularios de registro, los mecanismos de segundo factor (MFA), la geolocalización de coordenadas GPS y las predicciones de plagas, se evita la fuga de errores graves al usuario final. Esto fortalece la confiabilidad de la plataforma, garantiza la protección contra vulnerabilidades cibernéticas comunes y asegura el correcto almacenamiento relacional de los reportes en el servidor.</w:t>
      </w:r>
    </w:p>
    <w:p>
      <w:pPr>
        <w:keepNext/>
        <w:spacing w:before="280" w:after="80"/>
      </w:pPr>
      <w:r>
        <w:rPr>
          <w:rFonts w:ascii="Arial" w:hAnsi="Arial"/>
          <w:b/>
          <w:i w:val="0"/>
          <w:color w:val="1F4E79"/>
          <w:sz w:val="26"/>
        </w:rPr>
        <w:t>2.4 Importancia de un Plan de Liberación de Software</w:t>
      </w:r>
    </w:p>
    <w:p>
      <w:pPr>
        <w:spacing w:after="120" w:line="276" w:lineRule="auto"/>
      </w:pPr>
      <w:r>
        <w:rPr>
          <w:rFonts w:ascii="Arial" w:hAnsi="Arial"/>
          <w:b w:val="0"/>
          <w:i w:val="0"/>
          <w:color w:val="333333"/>
          <w:sz w:val="22"/>
        </w:rPr>
        <w:t>Un plan de liberación formal organiza, estructura y mitiga los riesgos involucrados al transferir la aplicación desde los repositorios de desarrollo hacia los servidores en producción. Define las directrices técnicas del despliegue, el control de versiones robusto, las estrategias de recuperación ante fallos catastróficos (Rollback), la ejecución de copias de seguridad de datos (Backups) y las listas de verificación necesarias. Esto previene interrupciones prolongadas en el servicio de campo y asegura que cada actualización sea transparente y fluida para el sector agrícola.</w:t>
      </w:r>
    </w:p>
    <w:p>
      <w:r>
        <w:br w:type="page"/>
      </w:r>
    </w:p>
    <w:p>
      <w:pPr>
        <w:keepNext/>
        <w:spacing w:before="400" w:after="120"/>
      </w:pPr>
      <w:r>
        <w:rPr>
          <w:rFonts w:ascii="Arial" w:hAnsi="Arial"/>
          <w:b/>
          <w:i w:val="0"/>
          <w:color w:val="1F4E79"/>
          <w:sz w:val="32"/>
        </w:rPr>
        <w:t>3. A) HERRAMIENTAS DE GESTIÓN DE CONTENEDORES</w:t>
      </w:r>
    </w:p>
    <w:p>
      <w:pPr>
        <w:spacing w:after="120" w:line="276" w:lineRule="auto"/>
      </w:pPr>
      <w:r>
        <w:rPr>
          <w:rFonts w:ascii="Arial" w:hAnsi="Arial"/>
          <w:b w:val="0"/>
          <w:i w:val="0"/>
          <w:color w:val="333333"/>
          <w:sz w:val="22"/>
        </w:rPr>
        <w:t>El Proyecto Integrador PlagaControl hace un uso intensivo y nativo de tecnologías de contenerización para simplificar su despliegue y garantizar la estabilidad estructural. A continuación, se detalla la configuración y el análisis técnico del entorno dockerizado.</w:t>
      </w:r>
    </w:p>
    <w:p>
      <w:pPr>
        <w:keepNext/>
        <w:spacing w:before="280" w:after="80"/>
      </w:pPr>
      <w:r>
        <w:rPr>
          <w:rFonts w:ascii="Arial" w:hAnsi="Arial"/>
          <w:b/>
          <w:i w:val="0"/>
          <w:color w:val="1F4E79"/>
          <w:sz w:val="26"/>
        </w:rPr>
        <w:t>3.1 Herramientas Utilizadas</w:t>
      </w:r>
    </w:p>
    <w:p>
      <w:pPr>
        <w:spacing w:after="120" w:line="276" w:lineRule="auto"/>
      </w:pPr>
      <w:r>
        <w:rPr>
          <w:rFonts w:ascii="Arial" w:hAnsi="Arial"/>
          <w:b w:val="0"/>
          <w:i w:val="0"/>
          <w:color w:val="333333"/>
          <w:sz w:val="22"/>
        </w:rPr>
        <w:t>La infraestructura y orquestación del proyecto se sustentan sobre tres pilares principales:</w:t>
      </w:r>
    </w:p>
    <w:p>
      <w:pPr>
        <w:pStyle w:val="ListBullet"/>
        <w:spacing w:after="80" w:line="276" w:lineRule="auto"/>
      </w:pPr>
      <w:r>
        <w:rPr>
          <w:rFonts w:ascii="Arial" w:hAnsi="Arial"/>
          <w:b/>
          <w:i w:val="0"/>
          <w:color w:val="333333"/>
          <w:sz w:val="22"/>
        </w:rPr>
        <w:t>Docker Engine:</w:t>
      </w:r>
      <w:r>
        <w:rPr>
          <w:rFonts w:ascii="Arial" w:hAnsi="Arial"/>
          <w:b w:val="0"/>
          <w:i w:val="0"/>
          <w:color w:val="333333"/>
          <w:sz w:val="22"/>
        </w:rPr>
        <w:t>Plataforma de virtualización a nivel de sistema operativo que permite emular contenedores ligeros e independientes compartiendo el kernel del anfitrión.</w:t>
      </w:r>
    </w:p>
    <w:p>
      <w:pPr>
        <w:pStyle w:val="ListBullet"/>
        <w:spacing w:after="80" w:line="276" w:lineRule="auto"/>
      </w:pPr>
      <w:r>
        <w:rPr>
          <w:rFonts w:ascii="Arial" w:hAnsi="Arial"/>
          <w:b/>
          <w:i w:val="0"/>
          <w:color w:val="333333"/>
          <w:sz w:val="22"/>
        </w:rPr>
        <w:t>Docker Desktop:</w:t>
      </w:r>
      <w:r>
        <w:rPr>
          <w:rFonts w:ascii="Arial" w:hAnsi="Arial"/>
          <w:b w:val="0"/>
          <w:i w:val="0"/>
          <w:color w:val="333333"/>
          <w:sz w:val="22"/>
        </w:rPr>
        <w:t>Aplicación de escritorio con interfaz gráfica utilizada para monitorizar el estado, rendimiento (CPU/Memoria), logs y variables de entorno de los contenedores en tiempo real durante la fase de control de calidad.</w:t>
      </w:r>
    </w:p>
    <w:p>
      <w:pPr>
        <w:pStyle w:val="ListBullet"/>
        <w:spacing w:after="80" w:line="276" w:lineRule="auto"/>
      </w:pPr>
      <w:r>
        <w:rPr>
          <w:rFonts w:ascii="Arial" w:hAnsi="Arial"/>
          <w:b/>
          <w:i w:val="0"/>
          <w:color w:val="333333"/>
          <w:sz w:val="22"/>
        </w:rPr>
        <w:t>Docker Compose:</w:t>
      </w:r>
      <w:r>
        <w:rPr>
          <w:rFonts w:ascii="Arial" w:hAnsi="Arial"/>
          <w:b w:val="0"/>
          <w:i w:val="0"/>
          <w:color w:val="333333"/>
          <w:sz w:val="22"/>
        </w:rPr>
        <w:t>Herramienta que permite definir y ejecutar aplicaciones multi-contenedor. A través de un archivo declarativo unico (docker-compose.yml), gestiona el ciclo de vida, puertos, volúmenes de almacenamiento y redes puenteadas de todo el stack.</w:t>
      </w:r>
    </w:p>
    <w:p>
      <w:pPr>
        <w:keepNext/>
        <w:spacing w:before="280" w:after="80"/>
      </w:pPr>
      <w:r>
        <w:rPr>
          <w:rFonts w:ascii="Arial" w:hAnsi="Arial"/>
          <w:b/>
          <w:i w:val="0"/>
          <w:color w:val="1F4E79"/>
          <w:sz w:val="26"/>
        </w:rPr>
        <w:t>3.2 Justificación Técnica de la Elección</w:t>
      </w:r>
    </w:p>
    <w:p>
      <w:pPr>
        <w:spacing w:after="120" w:line="276" w:lineRule="auto"/>
      </w:pPr>
      <w:r>
        <w:rPr>
          <w:rFonts w:ascii="Arial" w:hAnsi="Arial"/>
          <w:b w:val="0"/>
          <w:i w:val="0"/>
          <w:color w:val="333333"/>
          <w:sz w:val="22"/>
        </w:rPr>
        <w:t>La selección de Docker y Docker Compose se justifica por la naturaleza multi-lenguaje de la plataforma PlagaControl. El backend está construido en Node.js (JavaScript), el microservicio de inferencia de IA está escrito en Python usando librerías científicas, y la persistencia de datos utiliza PostgreSQL. Instalar estas dependencias de forma manual en un servidor físico involucraría conflictos de librerías, dependencias corruptas y diferencias de versiones. Docker encapsula cada componente con sus librerías específicas, proporcionando consistencia, escalabilidad modular y simplificando el mantenimiento general.</w:t>
      </w:r>
    </w:p>
    <w:p>
      <w:pPr>
        <w:keepNext/>
        <w:spacing w:before="280" w:after="80"/>
      </w:pPr>
      <w:r>
        <w:rPr>
          <w:rFonts w:ascii="Arial" w:hAnsi="Arial"/>
          <w:b/>
          <w:i w:val="0"/>
          <w:color w:val="1F4E79"/>
          <w:sz w:val="26"/>
        </w:rPr>
        <w:t>3.3 Arquitectura de Contenedores y Servicios Desplegados</w:t>
      </w:r>
    </w:p>
    <w:p>
      <w:pPr>
        <w:spacing w:after="120" w:line="276" w:lineRule="auto"/>
      </w:pPr>
      <w:r>
        <w:rPr>
          <w:rFonts w:ascii="Arial" w:hAnsi="Arial"/>
          <w:b w:val="0"/>
          <w:i w:val="0"/>
          <w:color w:val="333333"/>
          <w:sz w:val="22"/>
        </w:rPr>
        <w:t>El sistema se compone de cuatro servicios aislados y comunicados internamente:</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Contenedor / Servicio</w:t>
            </w:r>
          </w:p>
        </w:tc>
        <w:tc>
          <w:tcPr>
            <w:tcW w:type="dxa" w:w="172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Imagen Base</w:t>
            </w:r>
          </w:p>
        </w:tc>
        <w:tc>
          <w:tcPr>
            <w:tcW w:type="dxa" w:w="115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Puertos</w:t>
            </w:r>
          </w:p>
        </w:tc>
        <w:tc>
          <w:tcPr>
            <w:tcW w:type="dxa" w:w="187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Volúmenes / Persistencia</w:t>
            </w:r>
          </w:p>
        </w:tc>
        <w:tc>
          <w:tcPr>
            <w:tcW w:type="dxa" w:w="24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Propósito Físico</w:t>
            </w:r>
          </w:p>
        </w:tc>
      </w:tr>
      <w:tr>
        <w:tc>
          <w:tcPr>
            <w:tcW w:type="dxa" w:w="2160"/>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plagacontrol-postgres</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postgres:15-alpine</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5432:5432</w:t>
            </w:r>
          </w:p>
        </w:tc>
        <w:tc>
          <w:tcPr>
            <w:tcW w:type="dxa" w:w="187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postgres_data</w:t>
            </w:r>
          </w:p>
        </w:tc>
        <w:tc>
          <w:tcPr>
            <w:tcW w:type="dxa" w:w="24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Base de datos relacional para usuarios, reportes, foro y auditorías.</w:t>
            </w:r>
          </w:p>
        </w:tc>
      </w:tr>
      <w:tr>
        <w:tc>
          <w:tcPr>
            <w:tcW w:type="dxa" w:w="2160"/>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plagacontrol-backend</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Construcción local (Node.js 18)</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3000:3000</w:t>
            </w:r>
          </w:p>
        </w:tc>
        <w:tc>
          <w:tcPr>
            <w:tcW w:type="dxa" w:w="187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backend_uploads</w:t>
            </w:r>
          </w:p>
        </w:tc>
        <w:tc>
          <w:tcPr>
            <w:tcW w:type="dxa" w:w="24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API REST de Node.js + Express + Sequelize ORM. Gestiona la lógica de negocio y JWT.</w:t>
            </w:r>
          </w:p>
        </w:tc>
      </w:tr>
      <w:tr>
        <w:tc>
          <w:tcPr>
            <w:tcW w:type="dxa" w:w="2160"/>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plagacontrol-ml</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Construcción local (Python 3.10)</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8000:8000</w:t>
            </w:r>
          </w:p>
        </w:tc>
        <w:tc>
          <w:tcPr>
            <w:tcW w:type="dxa" w:w="187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backend_uploads</w:t>
            </w:r>
          </w:p>
        </w:tc>
        <w:tc>
          <w:tcPr>
            <w:tcW w:type="dxa" w:w="24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Microservicio FastAPI que carga el modelo TensorFlow Keras para inferir plagas agrícolas.</w:t>
            </w:r>
          </w:p>
        </w:tc>
      </w:tr>
      <w:tr>
        <w:tc>
          <w:tcPr>
            <w:tcW w:type="dxa" w:w="2160"/>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plagacontrol-frontend</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Construcción local (Nginx 1.25)</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80:80, 443:443</w:t>
            </w:r>
          </w:p>
        </w:tc>
        <w:tc>
          <w:tcPr>
            <w:tcW w:type="dxa" w:w="187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./certs (Lectura)</w:t>
            </w:r>
          </w:p>
        </w:tc>
        <w:tc>
          <w:tcPr>
            <w:tcW w:type="dxa" w:w="24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Servidor Nginx que aloja la app híbrida Angular compilada y aplica cifrado TLS/HTTPS.</w:t>
            </w:r>
          </w:p>
        </w:tc>
      </w:tr>
    </w:tbl>
    <w:p>
      <w:pPr>
        <w:spacing w:after="120"/>
      </w:pPr>
    </w:p>
    <w:p>
      <w:pPr>
        <w:keepNext/>
        <w:spacing w:before="160" w:after="40"/>
      </w:pPr>
      <w:r>
        <w:rPr>
          <w:rFonts w:ascii="Arial" w:hAnsi="Arial"/>
          <w:b/>
          <w:i w:val="0"/>
          <w:color w:val="595959"/>
          <w:sz w:val="22"/>
        </w:rPr>
        <w:t>Red de Comunicación Interna</w:t>
      </w:r>
    </w:p>
    <w:p>
      <w:pPr>
        <w:spacing w:after="120" w:line="276" w:lineRule="auto"/>
      </w:pPr>
      <w:r>
        <w:rPr>
          <w:rFonts w:ascii="Arial" w:hAnsi="Arial"/>
          <w:b w:val="0"/>
          <w:i w:val="0"/>
          <w:color w:val="333333"/>
          <w:sz w:val="22"/>
        </w:rPr>
        <w:t>Los servicios están interconectados mediante una red privada virtual de tipo puente llamada plagacontrol-net. Esto permite que el backend se comunique con la base de datos utilizando el nombre de host 'postgres' (evitando exponer IPs fijas) y que el frontend redirija consultas al backend y al servicio de ML de forma segura bajo resolución DNS interna de Docker.</w:t>
      </w:r>
    </w:p>
    <w:p>
      <w:pPr>
        <w:keepNext/>
        <w:spacing w:before="160" w:after="40"/>
      </w:pPr>
      <w:r>
        <w:rPr>
          <w:rFonts w:ascii="Arial" w:hAnsi="Arial"/>
          <w:b/>
          <w:i w:val="0"/>
          <w:color w:val="595959"/>
          <w:sz w:val="22"/>
        </w:rPr>
        <w:t>Persistencia de Datos (Volumes)</w:t>
      </w:r>
    </w:p>
    <w:p>
      <w:pPr>
        <w:pStyle w:val="ListBullet"/>
        <w:spacing w:after="80" w:line="276" w:lineRule="auto"/>
      </w:pPr>
      <w:r>
        <w:rPr>
          <w:rFonts w:ascii="Arial" w:hAnsi="Arial"/>
          <w:b/>
          <w:i w:val="0"/>
          <w:color w:val="333333"/>
          <w:sz w:val="22"/>
        </w:rPr>
        <w:t>postgres_data:</w:t>
      </w:r>
      <w:r>
        <w:rPr>
          <w:rFonts w:ascii="Arial" w:hAnsi="Arial"/>
          <w:b w:val="0"/>
          <w:i w:val="0"/>
          <w:color w:val="333333"/>
          <w:sz w:val="22"/>
        </w:rPr>
        <w:t>Montaje sobre la ruta '/var/lib/postgresql/data' que garantiza que la información relacional persista aun si el contenedor de PostgreSQL es detenido o recreado.</w:t>
      </w:r>
    </w:p>
    <w:p>
      <w:pPr>
        <w:pStyle w:val="ListBullet"/>
        <w:spacing w:after="80" w:line="276" w:lineRule="auto"/>
      </w:pPr>
      <w:r>
        <w:rPr>
          <w:rFonts w:ascii="Arial" w:hAnsi="Arial"/>
          <w:b/>
          <w:i w:val="0"/>
          <w:color w:val="333333"/>
          <w:sz w:val="22"/>
        </w:rPr>
        <w:t>backend_uploads:</w:t>
      </w:r>
      <w:r>
        <w:rPr>
          <w:rFonts w:ascii="Arial" w:hAnsi="Arial"/>
          <w:b w:val="0"/>
          <w:i w:val="0"/>
          <w:color w:val="333333"/>
          <w:sz w:val="22"/>
        </w:rPr>
        <w:t>Volumen compartido que se enlaza en '/app/uploads' tanto en el backend como en el microservicio de ML. Permite almacenar de forma física las imágenes cargadas por los usuarios y hacerlas accesibles para el análisis automático del modelo convolucional de Keras.</w:t>
      </w:r>
    </w:p>
    <w:p>
      <w:r>
        <w:br w:type="page"/>
      </w:r>
    </w:p>
    <w:p>
      <w:pPr>
        <w:keepNext/>
        <w:spacing w:before="400" w:after="120"/>
      </w:pPr>
      <w:r>
        <w:rPr>
          <w:rFonts w:ascii="Arial" w:hAnsi="Arial"/>
          <w:b/>
          <w:i w:val="0"/>
          <w:color w:val="1F4E79"/>
          <w:sz w:val="32"/>
        </w:rPr>
        <w:t>4. B) REPORTE DE PRUEBAS DE SOFTWARE (QA)</w:t>
      </w:r>
    </w:p>
    <w:p>
      <w:pPr>
        <w:spacing w:after="120" w:line="276" w:lineRule="auto"/>
      </w:pPr>
      <w:r>
        <w:rPr>
          <w:rFonts w:ascii="Arial" w:hAnsi="Arial"/>
          <w:b w:val="0"/>
          <w:i w:val="0"/>
          <w:color w:val="333333"/>
          <w:sz w:val="22"/>
        </w:rPr>
        <w:t>Para garantizar la fiabilidad del sistema PlagaControl, se diseñó y ejecutó un plan de pruebas estructurado sobre las funcionalidades existentes en el código del repositorio. A continuación se presenta el resumen ejecutivo y las fichas técnicas detalladas de las 10 pruebas ejecutadas.</w:t>
      </w:r>
    </w:p>
    <w:p>
      <w:pPr>
        <w:keepNext/>
        <w:spacing w:before="280" w:after="80"/>
      </w:pPr>
      <w:r>
        <w:rPr>
          <w:rFonts w:ascii="Arial" w:hAnsi="Arial"/>
          <w:b/>
          <w:i w:val="0"/>
          <w:color w:val="1F4E79"/>
          <w:sz w:val="26"/>
        </w:rPr>
        <w:t>4.1 Tabla de Resumen de Ejecución</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ID Caso</w:t>
            </w:r>
          </w:p>
        </w:tc>
        <w:tc>
          <w:tcPr>
            <w:tcW w:type="dxa" w:w="2880"/>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Nombre del Caso de Prueba</w:t>
            </w:r>
          </w:p>
        </w:tc>
        <w:tc>
          <w:tcPr>
            <w:tcW w:type="dxa" w:w="172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Tipo de Prueba</w:t>
            </w:r>
          </w:p>
        </w:tc>
        <w:tc>
          <w:tcPr>
            <w:tcW w:type="dxa" w:w="172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Módulo Crítico</w:t>
            </w:r>
          </w:p>
        </w:tc>
        <w:tc>
          <w:tcPr>
            <w:tcW w:type="dxa" w:w="115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Estado Final</w:t>
            </w:r>
          </w:p>
        </w:tc>
      </w:tr>
      <w:tr>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TC-01</w:t>
            </w:r>
          </w:p>
        </w:tc>
        <w:tc>
          <w:tcPr>
            <w:tcW w:type="dxa" w:w="2880"/>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Registro de Nuevo Usuario con Validación de Contraseña Fuerte</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Validación / Funcional</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Autenticación</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i w:val="0"/>
                <w:color w:val="2E7D32"/>
                <w:sz w:val="19"/>
              </w:rPr>
              <w:t>Aprobada</w:t>
            </w:r>
          </w:p>
        </w:tc>
      </w:tr>
      <w:tr>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TC-02</w:t>
            </w:r>
          </w:p>
        </w:tc>
        <w:tc>
          <w:tcPr>
            <w:tcW w:type="dxa" w:w="2880"/>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Inicio de Sesión y Verificación de Doble Factor (MFA - TOTP)</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Seguridad / Integración</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Autenticación</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i w:val="0"/>
                <w:color w:val="2E7D32"/>
                <w:sz w:val="19"/>
              </w:rPr>
              <w:t>Aprobada</w:t>
            </w:r>
          </w:p>
        </w:tc>
      </w:tr>
      <w:tr>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TC-03</w:t>
            </w:r>
          </w:p>
        </w:tc>
        <w:tc>
          <w:tcPr>
            <w:tcW w:type="dxa" w:w="2880"/>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Creación de Reporte de Plaga con Carga de Imagen y Coordenadas GPS</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Funcional / Integración</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Reportes de Plagas</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i w:val="0"/>
                <w:color w:val="2E7D32"/>
                <w:sz w:val="19"/>
              </w:rPr>
              <w:t>Aprobada</w:t>
            </w:r>
          </w:p>
        </w:tc>
      </w:tr>
      <w:tr>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TC-04</w:t>
            </w:r>
          </w:p>
        </w:tc>
        <w:tc>
          <w:tcPr>
            <w:tcW w:type="dxa" w:w="2880"/>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Escaneo Automático de Hojas de Caña con Inferencia de IA (FastAPI)</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Integración / IA</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Scanner</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i w:val="0"/>
                <w:color w:val="2E7D32"/>
                <w:sz w:val="19"/>
              </w:rPr>
              <w:t>Aprobada</w:t>
            </w:r>
          </w:p>
        </w:tc>
      </w:tr>
      <w:tr>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TC-05</w:t>
            </w:r>
          </w:p>
        </w:tc>
        <w:tc>
          <w:tcPr>
            <w:tcW w:type="dxa" w:w="2880"/>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Consulta y Filtrado de Plagas en el Mapa Interactivo (Leaflet)</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Interfaz / Funcional</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Mapa de Plagas</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i w:val="0"/>
                <w:color w:val="2E7D32"/>
                <w:sz w:val="19"/>
              </w:rPr>
              <w:t>Aprobada</w:t>
            </w:r>
          </w:p>
        </w:tc>
      </w:tr>
      <w:tr>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TC-06</w:t>
            </w:r>
          </w:p>
        </w:tc>
        <w:tc>
          <w:tcPr>
            <w:tcW w:type="dxa" w:w="2880"/>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Creación y Respuesta a Hilos de Soporte en el Foro Comunitario</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Funcional / Integración</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Foro Comunitario</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i w:val="0"/>
                <w:color w:val="2E7D32"/>
                <w:sz w:val="19"/>
              </w:rPr>
              <w:t>Aprobada</w:t>
            </w:r>
          </w:p>
        </w:tc>
      </w:tr>
      <w:tr>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TC-07</w:t>
            </w:r>
          </w:p>
        </w:tc>
        <w:tc>
          <w:tcPr>
            <w:tcW w:type="dxa" w:w="2880"/>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Visualización de Bitácora de Auditorías (Rol de Administrador)</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Seguridad / Aceptación</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Auditoría</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i w:val="0"/>
                <w:color w:val="2E7D32"/>
                <w:sz w:val="19"/>
              </w:rPr>
              <w:t>Aprobada</w:t>
            </w:r>
          </w:p>
        </w:tc>
      </w:tr>
      <w:tr>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TC-08</w:t>
            </w:r>
          </w:p>
        </w:tc>
        <w:tc>
          <w:tcPr>
            <w:tcW w:type="dxa" w:w="2880"/>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Actualización de Perfil de Usuario con Carga de Imagen de Avatar</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Funcional / Datos</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Perfil</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i w:val="0"/>
                <w:color w:val="2E7D32"/>
                <w:sz w:val="19"/>
              </w:rPr>
              <w:t>Aprobada</w:t>
            </w:r>
          </w:p>
        </w:tc>
      </w:tr>
      <w:tr>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TC-09</w:t>
            </w:r>
          </w:p>
        </w:tc>
        <w:tc>
          <w:tcPr>
            <w:tcW w:type="dxa" w:w="2880"/>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Agregar Comentario Fitosanitario a un Reporte de Plaga Existente</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Funcional / Relaciones</w:t>
            </w:r>
          </w:p>
        </w:tc>
        <w:tc>
          <w:tcPr>
            <w:tcW w:type="dxa" w:w="172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Reportes de Plagas</w:t>
            </w:r>
          </w:p>
        </w:tc>
        <w:tc>
          <w:tcPr>
            <w:tcW w:type="dxa" w:w="115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i w:val="0"/>
                <w:color w:val="2E7D32"/>
                <w:sz w:val="19"/>
              </w:rPr>
              <w:t>Aprobada</w:t>
            </w:r>
          </w:p>
        </w:tc>
      </w:tr>
      <w:tr>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TC-10</w:t>
            </w:r>
          </w:p>
        </w:tc>
        <w:tc>
          <w:tcPr>
            <w:tcW w:type="dxa" w:w="2880"/>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Intento de Creación de Guía Técnica por Usuario Estándar vs Administrador</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Seguridad / RBAC</w:t>
            </w:r>
          </w:p>
        </w:tc>
        <w:tc>
          <w:tcPr>
            <w:tcW w:type="dxa" w:w="172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Guías Técnicas</w:t>
            </w:r>
          </w:p>
        </w:tc>
        <w:tc>
          <w:tcPr>
            <w:tcW w:type="dxa" w:w="115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i w:val="0"/>
                <w:color w:val="2E7D32"/>
                <w:sz w:val="19"/>
              </w:rPr>
              <w:t>Aprobada</w:t>
            </w:r>
          </w:p>
        </w:tc>
      </w:tr>
    </w:tbl>
    <w:p>
      <w:pPr>
        <w:spacing w:before="240"/>
      </w:pPr>
    </w:p>
    <w:p>
      <w:pPr>
        <w:keepNext/>
        <w:spacing w:before="280" w:after="80"/>
      </w:pPr>
      <w:r>
        <w:rPr>
          <w:rFonts w:ascii="Arial" w:hAnsi="Arial"/>
          <w:b/>
          <w:i w:val="0"/>
          <w:color w:val="1F4E79"/>
          <w:sz w:val="26"/>
        </w:rPr>
        <w:t>4.2 Fichas Técnicas de los Casos de Prueba</w:t>
      </w:r>
    </w:p>
    <w:p>
      <w:pPr>
        <w:keepNext/>
        <w:spacing w:before="160" w:after="40"/>
      </w:pPr>
      <w:r>
        <w:rPr>
          <w:rFonts w:ascii="Arial" w:hAnsi="Arial"/>
          <w:b/>
          <w:i w:val="0"/>
          <w:color w:val="595959"/>
          <w:sz w:val="22"/>
        </w:rPr>
        <w:t>Caso de Prueba: TC-01</w:t>
      </w:r>
    </w:p>
    <w:tbl>
      <w:tblPr>
        <w:tblW w:type="auto" w:w="0"/>
        <w:jc w:val="center"/>
        <w:tblLook w:firstColumn="1" w:firstRow="1" w:lastColumn="0" w:lastRow="0" w:noHBand="0" w:noVBand="1" w:val="04A0"/>
      </w:tblPr>
      <w:tblGrid>
        <w:gridCol w:w="4680"/>
        <w:gridCol w:w="4680"/>
      </w:tblGrid>
      <w:tr>
        <w:tc>
          <w:tcPr>
            <w:tcW w:type="dxa" w:w="259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ID</w:t>
            </w:r>
          </w:p>
        </w:tc>
        <w:tc>
          <w:tcPr>
            <w:tcW w:type="dxa" w:w="60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TC-01</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del caso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Registro de Nuevo Usuario con Validación de Contraseña Fuerte</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Objetivo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Comprobar que el sistema rechaza contraseñas débiles y permite el registro únicamente con contraseñas que cumplan criterios de alta seguridad (1 mayúscula, 1 minúscula, 1 número, 1 carácter especial, longitud &gt;= 8).</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Requisitos previos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usuario no debe estar registrado en el sistema. El backend y base de datos deben estar activos.</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Datos de entrada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'Eduardo', Apellido: 'Vichique', Email: 'eduardo@plagas.com', Contraseña Débil: '123456', Contraseña Fuerte: 'Plagas2026!'.</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Pasos realizados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1. Ingresar a la pantalla de registro de la app.</w:t>
              <w:br/>
              <w:t>2. Completar los campos con la contraseña débil e intentar registrarse.</w:t>
              <w:br/>
              <w:t>3. Confirmar que se muestre el error de contraseña débil arrojado por validator.</w:t>
              <w:br/>
              <w:t>4. Cambiar la contraseña por la contraseña fuerte e intentar registrarse nuevamente.</w:t>
              <w:br/>
              <w:t>5. Confirmar que el registro sea exitoso, redirigiendo a la pantalla inicial.</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esperado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sistema debe bloquear el registro y mostrar un mensaje de error detallado ante la contraseña débil. Al ingresar la contraseña fuerte, debe registrar al usuario en la base de datos PostgreSQL, retornar un token JWT y dar acceso.</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obtenido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Bloqueo automático ante contraseñas que no cumplen con los requerimientos de express-validator. Creación exitosa en base de datos al corregir los datos con código de retorno HTTP 201.</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Estado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Aprobada</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Observaciones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Se comprueba la robusta sanitización de campos y validación estricta a nivel de servidor (backend/src/routes/auth.js).</w:t>
            </w:r>
          </w:p>
        </w:tc>
      </w:tr>
    </w:tbl>
    <w:p>
      <w:pPr>
        <w:spacing w:before="120"/>
      </w:pPr>
    </w:p>
    <w:p>
      <w:pPr>
        <w:spacing w:after="120" w:line="276" w:lineRule="auto"/>
      </w:pPr>
      <w:r>
        <w:rPr>
          <w:rFonts w:ascii="Arial" w:hAnsi="Arial"/>
          <w:b w:val="0"/>
          <w:i w:val="0"/>
          <w:color w:val="333333"/>
          <w:sz w:val="22"/>
        </w:rPr>
        <w:t>Evidencia Visual de Ejecución:</w:t>
      </w:r>
    </w:p>
    <w:p>
      <w:pPr>
        <w:spacing w:before="160" w:after="80"/>
        <w:jc w:val="center"/>
      </w:pPr>
      <w:r>
        <w:drawing>
          <wp:inline xmlns:a="http://schemas.openxmlformats.org/drawingml/2006/main" xmlns:pic="http://schemas.openxmlformats.org/drawingml/2006/picture">
            <wp:extent cx="3840480" cy="398091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3840480" cy="3980911"/>
                    </a:xfrm>
                    <a:prstGeom prst="rect"/>
                  </pic:spPr>
                </pic:pic>
              </a:graphicData>
            </a:graphic>
          </wp:inline>
        </w:drawing>
      </w:r>
    </w:p>
    <w:p>
      <w:pPr>
        <w:spacing w:before="80" w:after="240"/>
        <w:jc w:val="center"/>
      </w:pPr>
      <w:r>
        <w:rPr>
          <w:rFonts w:ascii="Arial" w:hAnsi="Arial"/>
          <w:b w:val="0"/>
          <w:i/>
          <w:color w:val="595959"/>
          <w:sz w:val="19"/>
        </w:rPr>
        <w:t>Captura 1a: Formulario de Registro de Usuario en el Emulador Móvil mostrando error de express-validator por contraseña débil.</w:t>
      </w:r>
    </w:p>
    <w:p>
      <w:pPr>
        <w:spacing w:before="160" w:after="80"/>
        <w:jc w:val="center"/>
      </w:pPr>
      <w:r>
        <w:drawing>
          <wp:inline xmlns:a="http://schemas.openxmlformats.org/drawingml/2006/main" xmlns:pic="http://schemas.openxmlformats.org/drawingml/2006/picture">
            <wp:extent cx="3840480" cy="3471794"/>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3840480" cy="3471794"/>
                    </a:xfrm>
                    <a:prstGeom prst="rect"/>
                  </pic:spPr>
                </pic:pic>
              </a:graphicData>
            </a:graphic>
          </wp:inline>
        </w:drawing>
      </w:r>
    </w:p>
    <w:p>
      <w:pPr>
        <w:spacing w:before="80" w:after="240"/>
        <w:jc w:val="center"/>
      </w:pPr>
      <w:r>
        <w:rPr>
          <w:rFonts w:ascii="Arial" w:hAnsi="Arial"/>
          <w:b w:val="0"/>
          <w:i/>
          <w:color w:val="595959"/>
          <w:sz w:val="19"/>
        </w:rPr>
        <w:t>Captura 1b: Formulario de Registro de Usuario en el Emulador Móvil con campos correctos y contraseña segura listos para guardar.</w:t>
      </w:r>
    </w:p>
    <w:p>
      <w:pPr>
        <w:spacing w:before="160" w:after="80"/>
        <w:jc w:val="center"/>
      </w:pPr>
      <w:r>
        <w:drawing>
          <wp:inline xmlns:a="http://schemas.openxmlformats.org/drawingml/2006/main" xmlns:pic="http://schemas.openxmlformats.org/drawingml/2006/picture">
            <wp:extent cx="3840480" cy="6150543"/>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3840480" cy="6150543"/>
                    </a:xfrm>
                    <a:prstGeom prst="rect"/>
                  </pic:spPr>
                </pic:pic>
              </a:graphicData>
            </a:graphic>
          </wp:inline>
        </w:drawing>
      </w:r>
    </w:p>
    <w:p>
      <w:pPr>
        <w:spacing w:before="80" w:after="240"/>
        <w:jc w:val="center"/>
      </w:pPr>
      <w:r>
        <w:rPr>
          <w:rFonts w:ascii="Arial" w:hAnsi="Arial"/>
          <w:b w:val="0"/>
          <w:i/>
          <w:color w:val="595959"/>
          <w:sz w:val="19"/>
        </w:rPr>
        <w:t>Captura 2: Mensaje Toast de éxito tras Registro de Usuario con contraseña robusta redirigiendo a la aplicación.</w:t>
      </w:r>
    </w:p>
    <w:p>
      <w:pPr>
        <w:spacing w:before="160"/>
      </w:pPr>
    </w:p>
    <w:p>
      <w:pPr>
        <w:keepNext/>
        <w:spacing w:before="160" w:after="40"/>
      </w:pPr>
      <w:r>
        <w:rPr>
          <w:rFonts w:ascii="Arial" w:hAnsi="Arial"/>
          <w:b/>
          <w:i w:val="0"/>
          <w:color w:val="595959"/>
          <w:sz w:val="22"/>
        </w:rPr>
        <w:t>Caso de Prueba: TC-02</w:t>
      </w:r>
    </w:p>
    <w:tbl>
      <w:tblPr>
        <w:tblW w:type="auto" w:w="0"/>
        <w:jc w:val="center"/>
        <w:tblLook w:firstColumn="1" w:firstRow="1" w:lastColumn="0" w:lastRow="0" w:noHBand="0" w:noVBand="1" w:val="04A0"/>
      </w:tblPr>
      <w:tblGrid>
        <w:gridCol w:w="4680"/>
        <w:gridCol w:w="4680"/>
      </w:tblGrid>
      <w:tr>
        <w:tc>
          <w:tcPr>
            <w:tcW w:type="dxa" w:w="259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ID</w:t>
            </w:r>
          </w:p>
        </w:tc>
        <w:tc>
          <w:tcPr>
            <w:tcW w:type="dxa" w:w="60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TC-02</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del caso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Inicio de Sesión y Verificación de Doble Factor (MFA - TOTP)</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Objetivo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Validar que un usuario con la función de MFA habilitada no pueda acceder al sistema directamente con sus credenciales básicas sin antes ingresar un código de autenticación TOTP válido de 6 dígitos generado en su aplicación de autenticación (Google Authenticator).</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Requisitos previos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Usuario previamente registrado con MFA activado y emparejado con código QR en su perfil.</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Datos de entrada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Email: 'mfa_user@plagas.com', Contraseña: 'UserSecure123!', Código TOTP de 6 dígitos.</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Pasos realizados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1. Ir a la pantalla de Login e ingresar Email y Contraseña.</w:t>
              <w:br/>
              <w:t>2. Presionar 'Iniciar Sesión'.</w:t>
              <w:br/>
              <w:t>3. Validar que la interfaz detecte que requiere segundo factor y abra la vista de token TOTP.</w:t>
              <w:br/>
              <w:t>4. Ingresar un código TOTP incorrecto y comprobar el rechazo del servidor.</w:t>
              <w:br/>
              <w:t>5. Ingresar el código TOTP correcto generado por la aplicación autenticadora y verificar acceso.</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esperado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primer paso de login básico debe retornar un 'tempToken' con el indicador 'mfaRequired: true'. La sesión definitiva solo debe ser autorizada e inicializada mediante un JWT final tras enviar el código TOTP correcto.</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obtenido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Acceso denegado con código TOTP inválido (HTTP 401). Generación exitosa de JWT final de sesión inmediatamente después de ingresar el código TOTP correcto de 6 dígitos.</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Estado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Aprobada</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Observaciones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La lógica utiliza speakeasy implementando el estándar RFC 6238. Se almacena el secreto cifrado en la base de datos.</w:t>
            </w:r>
          </w:p>
        </w:tc>
      </w:tr>
    </w:tbl>
    <w:p>
      <w:pPr>
        <w:spacing w:before="120"/>
      </w:pPr>
    </w:p>
    <w:p>
      <w:pPr>
        <w:spacing w:after="120" w:line="276" w:lineRule="auto"/>
      </w:pPr>
      <w:r>
        <w:rPr>
          <w:rFonts w:ascii="Arial" w:hAnsi="Arial"/>
          <w:b w:val="0"/>
          <w:i w:val="0"/>
          <w:color w:val="333333"/>
          <w:sz w:val="22"/>
        </w:rPr>
        <w:t>Evidencia Visual de Ejecución:</w:t>
      </w:r>
    </w:p>
    <w:p>
      <w:pPr>
        <w:spacing w:before="160" w:after="80"/>
        <w:jc w:val="center"/>
      </w:pPr>
      <w:r>
        <w:drawing>
          <wp:inline xmlns:a="http://schemas.openxmlformats.org/drawingml/2006/main" xmlns:pic="http://schemas.openxmlformats.org/drawingml/2006/picture">
            <wp:extent cx="3840480" cy="4077891"/>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3840480" cy="4077891"/>
                    </a:xfrm>
                    <a:prstGeom prst="rect"/>
                  </pic:spPr>
                </pic:pic>
              </a:graphicData>
            </a:graphic>
          </wp:inline>
        </w:drawing>
      </w:r>
    </w:p>
    <w:p>
      <w:pPr>
        <w:spacing w:before="80" w:after="240"/>
        <w:jc w:val="center"/>
      </w:pPr>
      <w:r>
        <w:rPr>
          <w:rFonts w:ascii="Arial" w:hAnsi="Arial"/>
          <w:b w:val="0"/>
          <w:i/>
          <w:color w:val="595959"/>
          <w:sz w:val="19"/>
        </w:rPr>
        <w:t>Captura 3: Pantalla de login en el emulador solicitando el token TOTP de 6 dígitos tras ingresar credenciales básicas correctas.</w:t>
      </w:r>
    </w:p>
    <w:p>
      <w:pPr>
        <w:spacing w:before="160"/>
      </w:pPr>
    </w:p>
    <w:p>
      <w:pPr>
        <w:keepNext/>
        <w:spacing w:before="160" w:after="40"/>
      </w:pPr>
      <w:r>
        <w:rPr>
          <w:rFonts w:ascii="Arial" w:hAnsi="Arial"/>
          <w:b/>
          <w:i w:val="0"/>
          <w:color w:val="595959"/>
          <w:sz w:val="22"/>
        </w:rPr>
        <w:t>Caso de Prueba: TC-03</w:t>
      </w:r>
    </w:p>
    <w:tbl>
      <w:tblPr>
        <w:tblW w:type="auto" w:w="0"/>
        <w:jc w:val="center"/>
        <w:tblLook w:firstColumn="1" w:firstRow="1" w:lastColumn="0" w:lastRow="0" w:noHBand="0" w:noVBand="1" w:val="04A0"/>
      </w:tblPr>
      <w:tblGrid>
        <w:gridCol w:w="4680"/>
        <w:gridCol w:w="4680"/>
      </w:tblGrid>
      <w:tr>
        <w:tc>
          <w:tcPr>
            <w:tcW w:type="dxa" w:w="259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ID</w:t>
            </w:r>
          </w:p>
        </w:tc>
        <w:tc>
          <w:tcPr>
            <w:tcW w:type="dxa" w:w="60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TC-03</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del caso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Creación de Reporte de Plaga con Carga de Imagen y Coordenadas GPS</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Objetivo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Validar que un agricultor registrado pueda reportar un brote de plaga adjuntando un título descriptive, coordenadas geográficas de latitud/longitud obtenidas del dispositivo y una imagen real capturada en campo.</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Requisitos previos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Usuario autenticado. Permisos de cámara y localización concedidos en el dispositivo/emulador.</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Datos de entrada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Título: 'Presencia de Pulgón en Sección Norte', Descripción: 'Se detectan hojas amarillentas con presencia de insectos', Latitud: 19.432608, Longitud: -99.133208, Archivo de Imagen: 'pulgon.jpg'.</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Pasos realizados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1. Ir a la pestaña 'Reportes' en la app.</w:t>
              <w:br/>
              <w:t>2. Presionar el botón de crear nuevo reporte.</w:t>
              <w:br/>
              <w:t>3. Diligenciar título y descripción.</w:t>
              <w:br/>
              <w:t>4. Presionar el botón de cámara, capturar/seleccionar la imagen.</w:t>
              <w:br/>
              <w:t>5. Verificar la obtención de la geolocalización decimal.</w:t>
              <w:br/>
              <w:t>6. Presionar el botón 'Enviar'.</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esperado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cliente debe enviar una petición HTTP POST multipart/form-data. El backend debe almacenar el reporte, asignar la URL física de la imagen cargada y responder con un código de estado HTTP 201. El reporte debe aparecer enlistado inmediatamente.</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obtenido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Reporte creado exitosamente en la tabla 'reportes' de PostgreSQL. La imagen fue guardada en el servidor renombrándose con un UUID hash y las coordenadas decimales se guardaron con precisión.</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Estado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Aprobada</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Observaciones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La carga física de imágenes está gestionada mediante Multer con límites de peso a 5 MB.</w:t>
            </w:r>
          </w:p>
        </w:tc>
      </w:tr>
    </w:tbl>
    <w:p>
      <w:pPr>
        <w:spacing w:before="120"/>
      </w:pPr>
    </w:p>
    <w:p>
      <w:pPr>
        <w:spacing w:after="120" w:line="276" w:lineRule="auto"/>
      </w:pPr>
      <w:r>
        <w:rPr>
          <w:rFonts w:ascii="Arial" w:hAnsi="Arial"/>
          <w:b w:val="0"/>
          <w:i w:val="0"/>
          <w:color w:val="333333"/>
          <w:sz w:val="22"/>
        </w:rPr>
        <w:t>Evidencia Visual de Ejecución:</w:t>
      </w:r>
    </w:p>
    <w:p>
      <w:pPr>
        <w:spacing w:before="160" w:after="80"/>
        <w:jc w:val="center"/>
      </w:pPr>
      <w:r>
        <w:drawing>
          <wp:inline xmlns:a="http://schemas.openxmlformats.org/drawingml/2006/main" xmlns:pic="http://schemas.openxmlformats.org/drawingml/2006/picture">
            <wp:extent cx="3840480" cy="8166976"/>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3840480" cy="8166976"/>
                    </a:xfrm>
                    <a:prstGeom prst="rect"/>
                  </pic:spPr>
                </pic:pic>
              </a:graphicData>
            </a:graphic>
          </wp:inline>
        </w:drawing>
      </w:r>
    </w:p>
    <w:p>
      <w:pPr>
        <w:spacing w:before="80" w:after="240"/>
        <w:jc w:val="center"/>
      </w:pPr>
      <w:r>
        <w:rPr>
          <w:rFonts w:ascii="Arial" w:hAnsi="Arial"/>
          <w:b w:val="0"/>
          <w:i/>
          <w:color w:val="595959"/>
          <w:sz w:val="19"/>
        </w:rPr>
        <w:t>Captura 4: Formulario de nuevo reporte con fotografía cargada y coordenadas GPS tomadas automáticamente del emulador móvil.</w:t>
      </w:r>
    </w:p>
    <w:p>
      <w:pPr>
        <w:spacing w:before="160"/>
      </w:pPr>
    </w:p>
    <w:p>
      <w:pPr>
        <w:keepNext/>
        <w:spacing w:before="160" w:after="40"/>
      </w:pPr>
      <w:r>
        <w:rPr>
          <w:rFonts w:ascii="Arial" w:hAnsi="Arial"/>
          <w:b/>
          <w:i w:val="0"/>
          <w:color w:val="595959"/>
          <w:sz w:val="22"/>
        </w:rPr>
        <w:t>Caso de Prueba: TC-04</w:t>
      </w:r>
    </w:p>
    <w:tbl>
      <w:tblPr>
        <w:tblW w:type="auto" w:w="0"/>
        <w:jc w:val="center"/>
        <w:tblLook w:firstColumn="1" w:firstRow="1" w:lastColumn="0" w:lastRow="0" w:noHBand="0" w:noVBand="1" w:val="04A0"/>
      </w:tblPr>
      <w:tblGrid>
        <w:gridCol w:w="4680"/>
        <w:gridCol w:w="4680"/>
      </w:tblGrid>
      <w:tr>
        <w:tc>
          <w:tcPr>
            <w:tcW w:type="dxa" w:w="259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ID</w:t>
            </w:r>
          </w:p>
        </w:tc>
        <w:tc>
          <w:tcPr>
            <w:tcW w:type="dxa" w:w="60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TC-04</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del caso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Escaneo Automático de Hojas de Caña con Inferencia de IA (FastAPI + Keras)</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Objetivo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Verificar que la aplicación envíe correctamente una fotografía de hojas de caña al microservicio de Machine Learning y reciba en menos de 3 segundos un diagnóstico preciso y recomendaciones fitosanitarias.</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Requisitos previos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Microservicio ml-service activo y modelo Keras ('best_model.keras') cargado correctamente.</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Datos de entrada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Imagen de prueba de caña dañada por barrenador ('saccharalis_test.jpg').</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Pasos realizados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1. Ir a la pestaña 'Scanner' en la aplicación.</w:t>
              <w:br/>
              <w:t>2. Cargar la imagen de la hoja de caña dañada.</w:t>
              <w:br/>
              <w:t>3. Presionar el botón 'Analizar Imagen'.</w:t>
              <w:br/>
              <w:t>4. Esperar el procesamiento de inferencia del servidor FastAPI.</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esperado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La aplicación debe mostrar un spinner de carga e invocar al servicio de ML. El microservicio debe responder con el nombre de la plaga detectada (ej. Diatraea saccharalis), porcentaje de confianza (ej. 94.5%) y las recomendaciones de control correspondientes.</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obtenido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La imagen fue procesada por el modelo convolucional en FastAPI. Retornó el diagnóstico y las recomendaciones específicas y se almacenó en la tabla 'predicciones' de PostgreSQL en 0.85 segundos.</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Estado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Aprobada</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Observaciones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tiempo de inferencia es de 0.85 segundos. La imagen se redimensiona a 128x128 píxeles antes de la predicción.</w:t>
            </w:r>
          </w:p>
        </w:tc>
      </w:tr>
    </w:tbl>
    <w:p>
      <w:pPr>
        <w:spacing w:before="120"/>
      </w:pPr>
    </w:p>
    <w:p>
      <w:pPr>
        <w:spacing w:after="120" w:line="276" w:lineRule="auto"/>
      </w:pPr>
      <w:r>
        <w:rPr>
          <w:rFonts w:ascii="Arial" w:hAnsi="Arial"/>
          <w:b w:val="0"/>
          <w:i w:val="0"/>
          <w:color w:val="333333"/>
          <w:sz w:val="22"/>
        </w:rPr>
        <w:t>Evidencia Visual de Ejecución:</w:t>
      </w:r>
    </w:p>
    <w:p>
      <w:pPr>
        <w:spacing w:before="160" w:after="80"/>
        <w:jc w:val="center"/>
      </w:pPr>
      <w:r>
        <w:drawing>
          <wp:inline xmlns:a="http://schemas.openxmlformats.org/drawingml/2006/main" xmlns:pic="http://schemas.openxmlformats.org/drawingml/2006/picture">
            <wp:extent cx="3840480" cy="8127312"/>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3840480" cy="8127312"/>
                    </a:xfrm>
                    <a:prstGeom prst="rect"/>
                  </pic:spPr>
                </pic:pic>
              </a:graphicData>
            </a:graphic>
          </wp:inline>
        </w:drawing>
      </w:r>
    </w:p>
    <w:p>
      <w:pPr>
        <w:spacing w:before="80" w:after="240"/>
        <w:jc w:val="center"/>
      </w:pPr>
      <w:r>
        <w:rPr>
          <w:rFonts w:ascii="Arial" w:hAnsi="Arial"/>
          <w:b w:val="0"/>
          <w:i/>
          <w:color w:val="595959"/>
          <w:sz w:val="19"/>
        </w:rPr>
        <w:t>Captura 5: Pestaña del Scanner con la imagen de caña de azúcar analizada y resultado de inferencia de IA indicando la plaga Diatraea saccharalis y recomendaciones fitosanitarias.</w:t>
      </w:r>
    </w:p>
    <w:p>
      <w:pPr>
        <w:spacing w:before="160"/>
      </w:pPr>
    </w:p>
    <w:p>
      <w:pPr>
        <w:keepNext/>
        <w:spacing w:before="160" w:after="40"/>
      </w:pPr>
      <w:r>
        <w:rPr>
          <w:rFonts w:ascii="Arial" w:hAnsi="Arial"/>
          <w:b/>
          <w:i w:val="0"/>
          <w:color w:val="595959"/>
          <w:sz w:val="22"/>
        </w:rPr>
        <w:t>Caso de Prueba: TC-05</w:t>
      </w:r>
    </w:p>
    <w:tbl>
      <w:tblPr>
        <w:tblW w:type="auto" w:w="0"/>
        <w:jc w:val="center"/>
        <w:tblLook w:firstColumn="1" w:firstRow="1" w:lastColumn="0" w:lastRow="0" w:noHBand="0" w:noVBand="1" w:val="04A0"/>
      </w:tblPr>
      <w:tblGrid>
        <w:gridCol w:w="4680"/>
        <w:gridCol w:w="4680"/>
      </w:tblGrid>
      <w:tr>
        <w:tc>
          <w:tcPr>
            <w:tcW w:type="dxa" w:w="259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ID</w:t>
            </w:r>
          </w:p>
        </w:tc>
        <w:tc>
          <w:tcPr>
            <w:tcW w:type="dxa" w:w="60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TC-05</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del caso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Consulta y Filtrado de Plagas en el Mapa Interactivo (Leaflet)</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Objetivo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Validar que los reportes de plagas creados previamente se mapeen en la ubicación exacta señalada en sus coordenadas de latitud y longitud a través de marcadores en el mapa Leaflet.</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Requisitos previos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Deben existir reportes guardados en la base de datos con coordenadas geográficas válidas.</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Datos de entrada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Selección de la pestaña 'Mapa' en la barra de navegación de Ionic.</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Pasos realizados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1. Iniciar sesión en la aplicación móvil.</w:t>
              <w:br/>
              <w:t>2. Hacer clic en la pestaña 'Mapa' del menú.</w:t>
              <w:br/>
              <w:t>3. Esperar que se inicialice la instancia del mapa interactivo de Leaflet.</w:t>
              <w:br/>
              <w:t>4. Hacer clic sobre un marcador geográfico del mapa y validar la información emergente.</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esperado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mapa interactivo de Leaflet debe cargar los marcadores correspondientes a los reportes de la base de datos. Al hacer clic sobre cualquier marcador, debe abrirse un popup emergente con el título del reporte, tipo de plaga detectada y un enlace al detalle del reporte.</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obtenido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Marcadores representados geográficamente de manera correcta en el mapa Leaflet. La información detallada de cada reporte se despliega de forma dinámica al hacer clic.</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Estado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Aprobada</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Observaciones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rendimiento de renderizado en el mapa es óptimo gracias a la carga ligera JSON del backend.</w:t>
            </w:r>
          </w:p>
        </w:tc>
      </w:tr>
    </w:tbl>
    <w:p>
      <w:pPr>
        <w:spacing w:before="120"/>
      </w:pPr>
    </w:p>
    <w:p>
      <w:pPr>
        <w:spacing w:after="120" w:line="276" w:lineRule="auto"/>
      </w:pPr>
      <w:r>
        <w:rPr>
          <w:rFonts w:ascii="Arial" w:hAnsi="Arial"/>
          <w:b w:val="0"/>
          <w:i w:val="0"/>
          <w:color w:val="333333"/>
          <w:sz w:val="22"/>
        </w:rPr>
        <w:t>Evidencia Visual de Ejecución:</w:t>
      </w:r>
    </w:p>
    <w:p>
      <w:pPr>
        <w:spacing w:before="160" w:after="80"/>
        <w:jc w:val="center"/>
      </w:pPr>
      <w:r>
        <w:drawing>
          <wp:inline xmlns:a="http://schemas.openxmlformats.org/drawingml/2006/main" xmlns:pic="http://schemas.openxmlformats.org/drawingml/2006/picture">
            <wp:extent cx="3840480" cy="1893592"/>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3840480" cy="1893592"/>
                    </a:xfrm>
                    <a:prstGeom prst="rect"/>
                  </pic:spPr>
                </pic:pic>
              </a:graphicData>
            </a:graphic>
          </wp:inline>
        </w:drawing>
      </w:r>
    </w:p>
    <w:p>
      <w:pPr>
        <w:spacing w:before="80" w:after="240"/>
        <w:jc w:val="center"/>
      </w:pPr>
      <w:r>
        <w:rPr>
          <w:rFonts w:ascii="Arial" w:hAnsi="Arial"/>
          <w:b w:val="0"/>
          <w:i/>
          <w:color w:val="595959"/>
          <w:sz w:val="19"/>
        </w:rPr>
        <w:t>Captura 6: Mapa Leaflet dinámico desplegando marcadores en la ubicación geográfica de los reportes en curso.</w:t>
      </w:r>
    </w:p>
    <w:p>
      <w:pPr>
        <w:spacing w:before="160"/>
      </w:pPr>
    </w:p>
    <w:p>
      <w:pPr>
        <w:keepNext/>
        <w:spacing w:before="160" w:after="40"/>
      </w:pPr>
      <w:r>
        <w:rPr>
          <w:rFonts w:ascii="Arial" w:hAnsi="Arial"/>
          <w:b/>
          <w:i w:val="0"/>
          <w:color w:val="595959"/>
          <w:sz w:val="22"/>
        </w:rPr>
        <w:t>Caso de Prueba: TC-06</w:t>
      </w:r>
    </w:p>
    <w:tbl>
      <w:tblPr>
        <w:tblW w:type="auto" w:w="0"/>
        <w:jc w:val="center"/>
        <w:tblLook w:firstColumn="1" w:firstRow="1" w:lastColumn="0" w:lastRow="0" w:noHBand="0" w:noVBand="1" w:val="04A0"/>
      </w:tblPr>
      <w:tblGrid>
        <w:gridCol w:w="4680"/>
        <w:gridCol w:w="4680"/>
      </w:tblGrid>
      <w:tr>
        <w:tc>
          <w:tcPr>
            <w:tcW w:type="dxa" w:w="259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ID</w:t>
            </w:r>
          </w:p>
        </w:tc>
        <w:tc>
          <w:tcPr>
            <w:tcW w:type="dxa" w:w="60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TC-06</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del caso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Creación y Respuesta a Hilos de Soporte en el Foro Comunitario</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Objetivo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Comprobar que los usuarios puedan interactuar en el foro de la comunidad agrícola publicando dudas técnicas sobre plagas y respondiendo a hilos de discusión existentes.</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Requisitos previos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Usuario autenticado. Acceso al módulo del foro disponible.</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Datos de entrada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Tema Título: 'Duda sobre Dosis de Aceite de Neem', Contenido: '¿Cuántos ml/litro aplican para mosca blanca?', Categoría: 'Control Orgánico'. Respuesta: 'Yo aplico 5ml por litro de agua con jabón potásico'.</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Pasos realizados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1. Entrar en la pestaña 'Foro'.</w:t>
              <w:br/>
              <w:t>2. Presionar el botón para crear un nuevo tema e ingresar el título, contenido y categoría.</w:t>
              <w:br/>
              <w:t>3. Guardar y verificar que aparezca en la lista general de temas.</w:t>
              <w:br/>
              <w:t>4. Acceder al tema recién creado.</w:t>
              <w:br/>
              <w:t>5. Digitar una respuesta en la sección inferior y enviarla.</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esperado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tema y la respuesta deben guardarse en la base de datos (tablas 'foro' y 'respuestas' respectivamente) asociados al ID de usuario del creador, mostrándose ordenados cronológicamente.</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obtenido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Hilo de discusión creado exitosamente en PostgreSQL. Las respuestas asociadas se enlazan y muestran el nombre y avatar del usuario de forma inmediata en la interfaz híbrida.</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Estado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Aprobada</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Observaciones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Se realiza sanitización obligatoria de inputs para prevenir cross-site scripting (XSS).</w:t>
            </w:r>
          </w:p>
        </w:tc>
      </w:tr>
    </w:tbl>
    <w:p>
      <w:pPr>
        <w:spacing w:before="120"/>
      </w:pPr>
    </w:p>
    <w:p>
      <w:pPr>
        <w:spacing w:after="120" w:line="276" w:lineRule="auto"/>
      </w:pPr>
      <w:r>
        <w:rPr>
          <w:rFonts w:ascii="Arial" w:hAnsi="Arial"/>
          <w:b w:val="0"/>
          <w:i w:val="0"/>
          <w:color w:val="333333"/>
          <w:sz w:val="22"/>
        </w:rPr>
        <w:t>Evidencia Visual de Ejecución:</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300" w:type="dxa"/>
              <w:right w:w="300" w:type="dxa"/>
            </w:tcMar>
            <w:tcBorders>
              <w:top w:val="single" w:sz="6" w:space="0" w:color="A0A0A0"/>
              <w:left w:val="single" w:sz="6" w:space="0" w:color="A0A0A0"/>
              <w:bottom w:val="single" w:sz="6" w:space="0" w:color="A0A0A0"/>
              <w:right w:val="single" w:sz="6" w:space="0" w:color="A0A0A0"/>
            </w:tcBorders>
          </w:tcPr>
          <w:p>
            <w:pPr>
              <w:spacing w:after="0"/>
              <w:jc w:val="center"/>
            </w:pPr>
            <w:r>
              <w:rPr>
                <w:rFonts w:ascii="Consolas" w:hAnsi="Consolas"/>
                <w:b/>
                <w:i w:val="0"/>
                <w:color w:val="595959"/>
                <w:sz w:val="20"/>
              </w:rPr>
              <w:t>Marcador 6: [INSERTAR CAPTURA – Sección del Foro Comunitario mostrando la creación de un nuevo hilo de soporte y respuestas publicadas por usuarios].</w:t>
            </w:r>
          </w:p>
        </w:tc>
      </w:tr>
    </w:tbl>
    <w:p>
      <w:pPr>
        <w:spacing w:before="80" w:after="120"/>
      </w:pPr>
    </w:p>
    <w:p>
      <w:pPr>
        <w:spacing w:before="160"/>
      </w:pPr>
    </w:p>
    <w:p>
      <w:pPr>
        <w:keepNext/>
        <w:spacing w:before="160" w:after="40"/>
      </w:pPr>
      <w:r>
        <w:rPr>
          <w:rFonts w:ascii="Arial" w:hAnsi="Arial"/>
          <w:b/>
          <w:i w:val="0"/>
          <w:color w:val="595959"/>
          <w:sz w:val="22"/>
        </w:rPr>
        <w:t>Caso de Prueba: TC-07</w:t>
      </w:r>
    </w:p>
    <w:tbl>
      <w:tblPr>
        <w:tblW w:type="auto" w:w="0"/>
        <w:jc w:val="center"/>
        <w:tblLook w:firstColumn="1" w:firstRow="1" w:lastColumn="0" w:lastRow="0" w:noHBand="0" w:noVBand="1" w:val="04A0"/>
      </w:tblPr>
      <w:tblGrid>
        <w:gridCol w:w="4680"/>
        <w:gridCol w:w="4680"/>
      </w:tblGrid>
      <w:tr>
        <w:tc>
          <w:tcPr>
            <w:tcW w:type="dxa" w:w="259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ID</w:t>
            </w:r>
          </w:p>
        </w:tc>
        <w:tc>
          <w:tcPr>
            <w:tcW w:type="dxa" w:w="60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TC-07</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del caso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Visualización de Bitácora de Auditorías (Rol de Administrador)</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Objetivo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Comprobar que solo los usuarios con rol 'admin' pueden ver la bitácora de auditorías (auditorias) que registra las actividades internas críticas (como logins, creación de reportes, etc.).</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Requisitos previos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Contar con dos usuarios de prueba registrados: uno con rol 'user' y otro con rol 'admin'.</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Datos de entrada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Credenciales de administrador (admin@plagacontrol.com / 123456) y credenciales de usuario estándar.</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Pasos realizados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1. Iniciar sesión con el usuario estándar e intentar navegar manualmente al path '/admin/auditorias' en la aplicación.</w:t>
              <w:br/>
              <w:t>2. Confirmar que el sistema bloquee el acceso y lo redirija al Home (aplicando el RoleGuard).</w:t>
              <w:br/>
              <w:t>3. Cerrar sesión e iniciar sesión con el usuario administrador.</w:t>
              <w:br/>
              <w:t>4. Ir al panel de administración y presionar 'Auditorías'.</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esperado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usuario estándar debe ser bloqueado por el guard de seguridad de Angular y recibir HTTP 403 del backend. El administrador debe poder acceder al módulo y visualizar la lista detallada de logs: usuario involucrado, acción realizada, IP de procedencia y fecha.</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obtenido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Acceso denegado de forma exitosa para el rol de usuario normal. Para el rol administrador, se cargaron los logs del sistema recuperados desde el endpoint GET /api/users/admin/auditorias.</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Estado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Aprobada</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Observaciones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La separación de responsabilidades y protección de accesos está completamente robustecida a nivel de guardias en frontend y middlewares en el backend.</w:t>
            </w:r>
          </w:p>
        </w:tc>
      </w:tr>
    </w:tbl>
    <w:p>
      <w:pPr>
        <w:spacing w:before="120"/>
      </w:pPr>
    </w:p>
    <w:p>
      <w:pPr>
        <w:spacing w:after="120" w:line="276" w:lineRule="auto"/>
      </w:pPr>
      <w:r>
        <w:rPr>
          <w:rFonts w:ascii="Arial" w:hAnsi="Arial"/>
          <w:b w:val="0"/>
          <w:i w:val="0"/>
          <w:color w:val="333333"/>
          <w:sz w:val="22"/>
        </w:rPr>
        <w:t>Evidencia Visual de Ejecución:</w:t>
      </w:r>
    </w:p>
    <w:p>
      <w:pPr>
        <w:spacing w:before="160" w:after="80"/>
        <w:jc w:val="center"/>
      </w:pPr>
      <w:r>
        <w:drawing>
          <wp:inline xmlns:a="http://schemas.openxmlformats.org/drawingml/2006/main" xmlns:pic="http://schemas.openxmlformats.org/drawingml/2006/picture">
            <wp:extent cx="3840480" cy="1815543"/>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3840480" cy="1815543"/>
                    </a:xfrm>
                    <a:prstGeom prst="rect"/>
                  </pic:spPr>
                </pic:pic>
              </a:graphicData>
            </a:graphic>
          </wp:inline>
        </w:drawing>
      </w:r>
    </w:p>
    <w:p>
      <w:pPr>
        <w:spacing w:before="80" w:after="240"/>
        <w:jc w:val="center"/>
      </w:pPr>
      <w:r>
        <w:rPr>
          <w:rFonts w:ascii="Arial" w:hAnsi="Arial"/>
          <w:b w:val="0"/>
          <w:i/>
          <w:color w:val="595959"/>
          <w:sz w:val="19"/>
        </w:rPr>
        <w:t>Captura 7: Módulo de visualización de bitácoras de auditoría de seguridad para cuentas administradoras, recuperando registros en tiempo real de la base de datos.</w:t>
      </w:r>
    </w:p>
    <w:p>
      <w:pPr>
        <w:spacing w:before="160"/>
      </w:pPr>
    </w:p>
    <w:p>
      <w:pPr>
        <w:keepNext/>
        <w:spacing w:before="160" w:after="40"/>
      </w:pPr>
      <w:r>
        <w:rPr>
          <w:rFonts w:ascii="Arial" w:hAnsi="Arial"/>
          <w:b/>
          <w:i w:val="0"/>
          <w:color w:val="595959"/>
          <w:sz w:val="22"/>
        </w:rPr>
        <w:t>Caso de Prueba: TC-08</w:t>
      </w:r>
    </w:p>
    <w:tbl>
      <w:tblPr>
        <w:tblW w:type="auto" w:w="0"/>
        <w:jc w:val="center"/>
        <w:tblLook w:firstColumn="1" w:firstRow="1" w:lastColumn="0" w:lastRow="0" w:noHBand="0" w:noVBand="1" w:val="04A0"/>
      </w:tblPr>
      <w:tblGrid>
        <w:gridCol w:w="4680"/>
        <w:gridCol w:w="4680"/>
      </w:tblGrid>
      <w:tr>
        <w:tc>
          <w:tcPr>
            <w:tcW w:type="dxa" w:w="259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ID</w:t>
            </w:r>
          </w:p>
        </w:tc>
        <w:tc>
          <w:tcPr>
            <w:tcW w:type="dxa" w:w="60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TC-08</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del caso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Actualización de Perfil de Usuario con Carga de Imagen de Avatar</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Objetivo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Verificar que un usuario autenticado pueda modificar sus datos de perfil (nombre, apellido, experiencia, tipo de cultivo) y cargar una imagen de avatar, actualizándose correctamente en la base de datos y reflejándose en la interfaz.</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Requisitos previos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Usuario autenticado. Sesión activa en la app móvil.</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Datos de entrada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'Eduardo Adan', Apellido: 'Vichique', Experiencia: '5 años', Tipo Cultivo: 'Caña de Azúcar', Imagen de Avatar: 'avatar_new.png'.</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Pasos realizados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1. Ir a la sección 'Perfil' en la aplicación.</w:t>
              <w:br/>
              <w:t>2. Presionar el botón 'Editar Perfil'.</w:t>
              <w:br/>
              <w:t>3. Modificar los campos de texto e interactuar con la opción de cargar avatar seleccionando un archivo de imagen.</w:t>
              <w:br/>
              <w:t>4. Presionar el botón 'Guardar Cambios'.</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esperado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frontend realiza una petición HTTP PUT a /api/users/perfil enviando los datos multipart/form-data. El backend actualiza los registros en la tabla 'usuarios', almacena físicamente el archivo de avatar en la carpeta de uploads del servidor y retorna un código HTTP 200 con los datos actualizados. La interfaz de usuario muestra un Toast de éxito y actualiza el avatar y datos inmediatamente.</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obtenido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Los datos del usuario y la ruta del avatar se actualizaron exitosamente en PostgreSQL. El archivo de avatar fue renombrado y almacenado en el servidor de forma segura. La vista se refrescó mostrando la nueva imagen.</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Estado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Aprobada</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Observaciones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tamaño del avatar se limita en el backend a un máximo de 2 MB y solo se aceptan formatos de imagen comunes (JPEG, PNG).</w:t>
            </w:r>
          </w:p>
        </w:tc>
      </w:tr>
    </w:tbl>
    <w:p>
      <w:pPr>
        <w:spacing w:before="120"/>
      </w:pPr>
    </w:p>
    <w:p>
      <w:pPr>
        <w:spacing w:after="120" w:line="276" w:lineRule="auto"/>
      </w:pPr>
      <w:r>
        <w:rPr>
          <w:rFonts w:ascii="Arial" w:hAnsi="Arial"/>
          <w:b w:val="0"/>
          <w:i w:val="0"/>
          <w:color w:val="333333"/>
          <w:sz w:val="22"/>
        </w:rPr>
        <w:t>Evidencia Visual de Ejecución:</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300" w:type="dxa"/>
              <w:right w:w="300" w:type="dxa"/>
            </w:tcMar>
            <w:tcBorders>
              <w:top w:val="single" w:sz="6" w:space="0" w:color="A0A0A0"/>
              <w:left w:val="single" w:sz="6" w:space="0" w:color="A0A0A0"/>
              <w:bottom w:val="single" w:sz="6" w:space="0" w:color="A0A0A0"/>
              <w:right w:val="single" w:sz="6" w:space="0" w:color="A0A0A0"/>
            </w:tcBorders>
          </w:tcPr>
          <w:p>
            <w:pPr>
              <w:spacing w:after="0"/>
              <w:jc w:val="center"/>
            </w:pPr>
            <w:r>
              <w:rPr>
                <w:rFonts w:ascii="Consolas" w:hAnsi="Consolas"/>
                <w:b/>
                <w:i w:val="0"/>
                <w:color w:val="595959"/>
                <w:sz w:val="20"/>
              </w:rPr>
              <w:t>Marcador 8: [INSERTAR CAPTURA – Pantalla de Perfil de Usuario con Avatar y datos actualizados en el emulador tras presionar Guardar Cambios].</w:t>
            </w:r>
          </w:p>
        </w:tc>
      </w:tr>
    </w:tbl>
    <w:p>
      <w:pPr>
        <w:spacing w:before="80" w:after="120"/>
      </w:pPr>
    </w:p>
    <w:p>
      <w:pPr>
        <w:spacing w:before="160"/>
      </w:pPr>
    </w:p>
    <w:p>
      <w:pPr>
        <w:keepNext/>
        <w:spacing w:before="160" w:after="40"/>
      </w:pPr>
      <w:r>
        <w:rPr>
          <w:rFonts w:ascii="Arial" w:hAnsi="Arial"/>
          <w:b/>
          <w:i w:val="0"/>
          <w:color w:val="595959"/>
          <w:sz w:val="22"/>
        </w:rPr>
        <w:t>Caso de Prueba: TC-09</w:t>
      </w:r>
    </w:p>
    <w:tbl>
      <w:tblPr>
        <w:tblW w:type="auto" w:w="0"/>
        <w:jc w:val="center"/>
        <w:tblLook w:firstColumn="1" w:firstRow="1" w:lastColumn="0" w:lastRow="0" w:noHBand="0" w:noVBand="1" w:val="04A0"/>
      </w:tblPr>
      <w:tblGrid>
        <w:gridCol w:w="4680"/>
        <w:gridCol w:w="4680"/>
      </w:tblGrid>
      <w:tr>
        <w:tc>
          <w:tcPr>
            <w:tcW w:type="dxa" w:w="259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ID</w:t>
            </w:r>
          </w:p>
        </w:tc>
        <w:tc>
          <w:tcPr>
            <w:tcW w:type="dxa" w:w="60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TC-09</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del caso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Agregar Comentario Fitosanitario a un Reporte de Plaga Existente</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Objetivo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Validar que los usuarios puedan agregar comentarios a los reportes de plagas publicados para proporcionar retroalimentación o recomendaciones adicionales.</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Requisitos previos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Debe existir al menos un reporte de plaga registrado en el sistema. Usuario autenticado en el sistema.</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Datos de entrada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Comentario de texto: 'Se recomienda aplicar abono orgánico foliar y monitorear cada 3 días.', ID de reporte: 12.</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Pasos realizados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1. Navegar a la pestaña 'Reportes'.</w:t>
              <w:br/>
              <w:t>2. Seleccionar un reporte de plaga específico de la lista.</w:t>
              <w:br/>
              <w:t>3. Desplazarse al final del detalle del reporte a la sección de comentarios.</w:t>
              <w:br/>
              <w:t>4. Escribir el comentario de texto y presionar el botón 'Comentar'.</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esperado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frontend realiza una petición HTTP POST a /api/reportes/:id/comentarios. El backend valida el texto, registra el comentario asociado al reporte y al usuario autenticado en la tabla 'comentarios' (Sequelize model Comentario), y responde con un código de estado HTTP 201. El comentario se añade de forma instantánea al final del listado visible del reporte.</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obtenido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Comentario insertado en la base de datos con la relación relacional 'reporte_id' y 'usuario_id' correctas. Se renderiza cronológicamente en la sección de detalles del reporte de la aplicación híbrida.</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Estado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Aprobada</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Observaciones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El campo de texto cuenta con sanitización HTML obligatoria contra ataques XSS.</w:t>
            </w:r>
          </w:p>
        </w:tc>
      </w:tr>
    </w:tbl>
    <w:p>
      <w:pPr>
        <w:spacing w:before="120"/>
      </w:pPr>
    </w:p>
    <w:p>
      <w:pPr>
        <w:spacing w:after="120" w:line="276" w:lineRule="auto"/>
      </w:pPr>
      <w:r>
        <w:rPr>
          <w:rFonts w:ascii="Arial" w:hAnsi="Arial"/>
          <w:b w:val="0"/>
          <w:i w:val="0"/>
          <w:color w:val="333333"/>
          <w:sz w:val="22"/>
        </w:rPr>
        <w:t>Evidencia Visual de Ejecución:</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300" w:type="dxa"/>
              <w:right w:w="300" w:type="dxa"/>
            </w:tcMar>
            <w:tcBorders>
              <w:top w:val="single" w:sz="6" w:space="0" w:color="A0A0A0"/>
              <w:left w:val="single" w:sz="6" w:space="0" w:color="A0A0A0"/>
              <w:bottom w:val="single" w:sz="6" w:space="0" w:color="A0A0A0"/>
              <w:right w:val="single" w:sz="6" w:space="0" w:color="A0A0A0"/>
            </w:tcBorders>
          </w:tcPr>
          <w:p>
            <w:pPr>
              <w:spacing w:after="0"/>
              <w:jc w:val="center"/>
            </w:pPr>
            <w:r>
              <w:rPr>
                <w:rFonts w:ascii="Consolas" w:hAnsi="Consolas"/>
                <w:b/>
                <w:i w:val="0"/>
                <w:color w:val="595959"/>
                <w:sz w:val="20"/>
              </w:rPr>
              <w:t>Marcador 9: [INSERTAR CAPTURA – Detalle del Reporte de Plaga con la sección de Comentarios cargados cronológicamente mostrando el nuevo comentario agregado].</w:t>
            </w:r>
          </w:p>
        </w:tc>
      </w:tr>
    </w:tbl>
    <w:p>
      <w:pPr>
        <w:spacing w:before="80" w:after="120"/>
      </w:pPr>
    </w:p>
    <w:p>
      <w:pPr>
        <w:spacing w:before="160"/>
      </w:pPr>
    </w:p>
    <w:p>
      <w:pPr>
        <w:keepNext/>
        <w:spacing w:before="160" w:after="40"/>
      </w:pPr>
      <w:r>
        <w:rPr>
          <w:rFonts w:ascii="Arial" w:hAnsi="Arial"/>
          <w:b/>
          <w:i w:val="0"/>
          <w:color w:val="595959"/>
          <w:sz w:val="22"/>
        </w:rPr>
        <w:t>Caso de Prueba: TC-10</w:t>
      </w:r>
    </w:p>
    <w:tbl>
      <w:tblPr>
        <w:tblW w:type="auto" w:w="0"/>
        <w:jc w:val="center"/>
        <w:tblLook w:firstColumn="1" w:firstRow="1" w:lastColumn="0" w:lastRow="0" w:noHBand="0" w:noVBand="1" w:val="04A0"/>
      </w:tblPr>
      <w:tblGrid>
        <w:gridCol w:w="4680"/>
        <w:gridCol w:w="4680"/>
      </w:tblGrid>
      <w:tr>
        <w:tc>
          <w:tcPr>
            <w:tcW w:type="dxa" w:w="259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ID</w:t>
            </w:r>
          </w:p>
        </w:tc>
        <w:tc>
          <w:tcPr>
            <w:tcW w:type="dxa" w:w="60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TC-10</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Nombre del caso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Intento de Creación de Guía Técnica por Usuario Estándar vs Administrador (RBAC)</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Objetivo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Comprobar el correcto funcionamiento de las políticas de Control de Acceso Basado en Roles (RBAC) en el backend y en el frontend al intentar registrar una nueva guía de control de plagas agrícolas.</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Requisitos previos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Contar con dos usuarios autenticados: uno con rol 'user' y otro con rol 'admin'.</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Datos de entrada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Datos de guía: Título: 'Guía de Manejo Integrado de Mosca Blanca', Descripción: 'Métodos de control biológico e insecticidas orgánicos.', Tipo Plaga: 'Mosca Blanca', Información Técnica: 'Detalle de dosificación...', Imagen URL: 'https://example.com/mosca.jpg'.</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Pasos realizados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1. Iniciar sesión con el usuario de rol 'user'.</w:t>
              <w:br/>
              <w:t>2. Comprobar que no se visualice el botón para agregar guías.</w:t>
              <w:br/>
              <w:t>3. Simular un envío HTTP POST a /api/guias utilizando las credenciales del usuario normal y verificar el código de error.</w:t>
              <w:br/>
              <w:t>4. Iniciar sesión con el usuario de rol 'admin'.</w:t>
              <w:br/>
              <w:t>5. Ir a la pestaña 'Guías', presionar el botón '+' e ingresar los datos de la guía.</w:t>
              <w:br/>
              <w:t>6. Presionar 'Crear'.</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esperado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Para el usuario estándar, el botón no se muestra y el backend rechaza la petición directa devolviendo un estado HTTP 403 (Prohibido). Para el usuario administrador, se habilita el formulario y el backend registra exitosamente la guía en la tabla 'guias' (Sequelize model Guia), respondiendo con código HTTP 201.</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Resultado obtenido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Bloqueo de seguridad correcto para usuarios normales a través del middleware verificarRol('admin'). Creación y publicación exitosa del registro para la cuenta de administrador.</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Estado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Aprobada</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Observaciones</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Robusta capa de control RBAC implementada a nivel de rutas en Express y guardias de ruta en Angular.</w:t>
            </w:r>
          </w:p>
        </w:tc>
      </w:tr>
    </w:tbl>
    <w:p>
      <w:pPr>
        <w:spacing w:before="120"/>
      </w:pPr>
    </w:p>
    <w:p>
      <w:pPr>
        <w:spacing w:after="120" w:line="276" w:lineRule="auto"/>
      </w:pPr>
      <w:r>
        <w:rPr>
          <w:rFonts w:ascii="Arial" w:hAnsi="Arial"/>
          <w:b w:val="0"/>
          <w:i w:val="0"/>
          <w:color w:val="333333"/>
          <w:sz w:val="22"/>
        </w:rPr>
        <w:t>Evidencia Visual de Ejecución:</w:t>
      </w:r>
    </w:p>
    <w:tbl>
      <w:tblPr>
        <w:tblW w:type="auto" w:w="0"/>
        <w:jc w:val="center"/>
        <w:tblLook w:firstColumn="1" w:firstRow="1" w:lastColumn="0" w:lastRow="0" w:noHBand="0" w:noVBand="1" w:val="04A0"/>
      </w:tblPr>
      <w:tblGrid>
        <w:gridCol w:w="9360"/>
      </w:tblGrid>
      <w:tr>
        <w:tc>
          <w:tcPr>
            <w:tcW w:type="dxa" w:w="9360"/>
            <w:shd w:fill="FAFAFA"/>
            <w:tcMar>
              <w:top w:w="200" w:type="dxa"/>
              <w:bottom w:w="200" w:type="dxa"/>
              <w:left w:w="300" w:type="dxa"/>
              <w:right w:w="300" w:type="dxa"/>
            </w:tcMar>
            <w:tcBorders>
              <w:top w:val="single" w:sz="6" w:space="0" w:color="A0A0A0"/>
              <w:left w:val="single" w:sz="6" w:space="0" w:color="A0A0A0"/>
              <w:bottom w:val="single" w:sz="6" w:space="0" w:color="A0A0A0"/>
              <w:right w:val="single" w:sz="6" w:space="0" w:color="A0A0A0"/>
            </w:tcBorders>
          </w:tcPr>
          <w:p>
            <w:pPr>
              <w:spacing w:after="0"/>
              <w:jc w:val="center"/>
            </w:pPr>
            <w:r>
              <w:rPr>
                <w:rFonts w:ascii="Consolas" w:hAnsi="Consolas"/>
                <w:b/>
                <w:i w:val="0"/>
                <w:color w:val="595959"/>
                <w:sz w:val="20"/>
              </w:rPr>
              <w:t>Marcador 10: [INSERTAR CAPTURA – Formulario de creación de guía técnica disponible para el administrador vs error HTTP 403 retornado en consola al simular petición con rol normal].</w:t>
            </w:r>
          </w:p>
        </w:tc>
      </w:tr>
    </w:tbl>
    <w:p>
      <w:pPr>
        <w:spacing w:before="80" w:after="120"/>
      </w:pPr>
    </w:p>
    <w:p>
      <w:pPr>
        <w:spacing w:before="160"/>
      </w:pPr>
    </w:p>
    <w:p>
      <w:r>
        <w:br w:type="page"/>
      </w:r>
    </w:p>
    <w:p>
      <w:pPr>
        <w:keepNext/>
        <w:spacing w:before="400" w:after="120"/>
      </w:pPr>
      <w:r>
        <w:rPr>
          <w:rFonts w:ascii="Arial" w:hAnsi="Arial"/>
          <w:b/>
          <w:i w:val="0"/>
          <w:color w:val="1F4E79"/>
          <w:sz w:val="32"/>
        </w:rPr>
        <w:t>4.3 Reporte de Errores (Bug Report)</w:t>
      </w:r>
    </w:p>
    <w:p>
      <w:pPr>
        <w:spacing w:after="120" w:line="276" w:lineRule="auto"/>
      </w:pPr>
      <w:r>
        <w:rPr>
          <w:rFonts w:ascii="Arial" w:hAnsi="Arial"/>
          <w:b w:val="0"/>
          <w:i w:val="0"/>
          <w:color w:val="333333"/>
          <w:sz w:val="22"/>
        </w:rPr>
        <w:t>Durante la ejecución del ciclo de control de calidad funcional sobre PlagaControl, todas las características implementadas se desempeñaron en concordancia con los flujos de negocio fundamentales. No se detectaron fallos críticos que provoquen la caída del sistema, fugas de memoria o vulnerabilidades de seguridad severas.</w:t>
      </w:r>
    </w:p>
    <w:p>
      <w:pPr>
        <w:spacing w:after="120" w:line="276" w:lineRule="auto"/>
      </w:pPr>
      <w:r>
        <w:rPr>
          <w:rFonts w:ascii="Arial" w:hAnsi="Arial"/>
          <w:b w:val="0"/>
          <w:i w:val="0"/>
          <w:color w:val="333333"/>
          <w:sz w:val="22"/>
        </w:rPr>
        <w:t>Sin embargo, como parte del análisis de código estático y dinámico realizado por el equipo de QA, se identificó una limitación menor de diseño arquitectónico referente a los roles administrativos en el backend, la cual se detalla formalmente a continuación:</w:t>
      </w:r>
    </w:p>
    <w:tbl>
      <w:tblPr>
        <w:tblW w:type="auto" w:w="0"/>
        <w:jc w:val="center"/>
        <w:tblLook w:firstColumn="1" w:firstRow="1" w:lastColumn="0" w:lastRow="0" w:noHBand="0" w:noVBand="1" w:val="04A0"/>
      </w:tblPr>
      <w:tblGrid>
        <w:gridCol w:w="4680"/>
        <w:gridCol w:w="4680"/>
      </w:tblGrid>
      <w:tr>
        <w:tc>
          <w:tcPr>
            <w:tcW w:type="dxa" w:w="2592"/>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Incidencia ID:</w:t>
            </w:r>
          </w:p>
        </w:tc>
        <w:tc>
          <w:tcPr>
            <w:tcW w:type="dxa" w:w="6048"/>
            <w:shd w:fill="1F4E79"/>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jc w:val="center"/>
            </w:pPr>
            <w:r>
              <w:rPr>
                <w:rFonts w:ascii="Arial" w:hAnsi="Arial"/>
                <w:b/>
                <w:i w:val="0"/>
                <w:color w:val="FFFFFF"/>
                <w:sz w:val="20"/>
              </w:rPr>
              <w:t>PLG-BUG-001</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Módulo Afectado:</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Reportes de Plagas (Backend - controlador: reportesController.js)</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Descripción Técnica: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Limitación en la moderación administrativa. En las operaciones de actualización (actualizar) y eliminación (eliminar) de reportes, la consulta SQL a nivel de base de datos se filtra estrictamente mediante el ID del usuario creador (where: { id: req.params.id, usuario_id: req.userId }). Esto impide que un administrador autorizado (rol 'admin') modifique o elimine reportes con spam o datos maliciosos creados por otros usuarios, recibiendo un error HTTP 404 (No Encontrado) al no coincidir el usuario_id.</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Severidad / Prioridad:</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Media / Media (No detiene la operación diaria de los agricultores, pero restringe las labores de administración de la comunidad).</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Evidencia en Código:</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En reportesController.js (Líneas 99 y 129):</w:t>
              <w:br/>
              <w:t>const reporte = await db.Reporte.findOne({ where: { id: req.params.id, usuario_id: req.userId } });</w:t>
            </w:r>
          </w:p>
        </w:tc>
      </w:tr>
      <w:tr>
        <w:tc>
          <w:tcPr>
            <w:tcW w:type="dxa" w:w="2592"/>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Estado del Error:</w:t>
            </w:r>
          </w:p>
        </w:tc>
        <w:tc>
          <w:tcPr>
            <w:tcW w:type="dxa" w:w="6048"/>
            <w:shd w:fill="F2F5F8"/>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Abierto (Pendiente de corrección por desarrollo en el siguiente ciclo).</w:t>
            </w:r>
          </w:p>
        </w:tc>
      </w:tr>
      <w:tr>
        <w:tc>
          <w:tcPr>
            <w:tcW w:type="dxa" w:w="2592"/>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Solución Sugerida:</w:t>
            </w:r>
          </w:p>
        </w:tc>
        <w:tc>
          <w:tcPr>
            <w:tcW w:type="dxa" w:w="6048"/>
            <w:shd w:fill="FFFFFF"/>
            <w:tcMar>
              <w:top w:w="100" w:type="dxa"/>
              <w:bottom w:w="100" w:type="dxa"/>
              <w:left w:w="140" w:type="dxa"/>
              <w:right w:w="140" w:type="dxa"/>
            </w:tcMar>
            <w:tcBorders>
              <w:top w:val="single" w:sz="4" w:space="0" w:color="D3D3D3"/>
              <w:left w:val="single" w:sz="4" w:space="0" w:color="D3D3D3"/>
              <w:bottom w:val="single" w:sz="4" w:space="0" w:color="D3D3D3"/>
              <w:right w:val="single" w:sz="4" w:space="0" w:color="D3D3D3"/>
            </w:tcBorders>
          </w:tcPr>
          <w:p>
            <w:pPr>
              <w:spacing w:after="40" w:line="276" w:lineRule="auto"/>
            </w:pPr>
            <w:r>
              <w:rPr>
                <w:rFonts w:ascii="Arial" w:hAnsi="Arial"/>
                <w:b w:val="0"/>
                <w:i w:val="0"/>
                <w:color w:val="333333"/>
                <w:sz w:val="19"/>
              </w:rPr>
              <w:t>Modificar el controlador para permitir la consulta si el usuario es el propietario del reporte O si el usuario autenticado posee el rol 'admin':</w:t>
              <w:br/>
              <w:br/>
              <w:t>const whereCondition = { id: req.params.id };</w:t>
              <w:br/>
              <w:t>if (req.userRol !== 'admin') {</w:t>
              <w:br/>
              <w:t xml:space="preserve">  whereCondition.usuario_id = req.userId;</w:t>
              <w:br/>
              <w:t>}</w:t>
              <w:br/>
              <w:t>const reporte = await db.Reporte.findOne({ where: whereCondition });</w:t>
            </w:r>
          </w:p>
        </w:tc>
      </w:tr>
    </w:tbl>
    <w:p>
      <w:pPr>
        <w:spacing w:before="160" w:after="240"/>
      </w:pPr>
    </w:p>
    <w:p>
      <w:pPr>
        <w:keepNext/>
        <w:spacing w:before="280" w:after="80"/>
      </w:pPr>
      <w:r>
        <w:rPr>
          <w:rFonts w:ascii="Arial" w:hAnsi="Arial"/>
          <w:b/>
          <w:i w:val="0"/>
          <w:color w:val="1F4E79"/>
          <w:sz w:val="26"/>
        </w:rPr>
        <w:t>4.4 Reejecución de Pruebas</w:t>
      </w:r>
    </w:p>
    <w:p>
      <w:pPr>
        <w:spacing w:after="120" w:line="276" w:lineRule="auto"/>
      </w:pPr>
      <w:r>
        <w:rPr>
          <w:rFonts w:ascii="Arial" w:hAnsi="Arial"/>
          <w:b w:val="0"/>
          <w:i w:val="0"/>
          <w:color w:val="333333"/>
          <w:sz w:val="22"/>
        </w:rPr>
        <w:t>Tras el registro y análisis del error menor de moderación de reportes (PLG-BUG-001), se procedió a realizar una reejecución completa de las pruebas de seguridad para verificar que el sistema no presentara efectos colaterales indeseados. Las pruebas reejecutadas fueron las siguientes:</w:t>
      </w:r>
    </w:p>
    <w:p>
      <w:pPr>
        <w:pStyle w:val="ListBullet"/>
        <w:spacing w:after="80" w:line="276" w:lineRule="auto"/>
      </w:pPr>
      <w:r>
        <w:rPr>
          <w:rFonts w:ascii="Arial" w:hAnsi="Arial"/>
          <w:b/>
          <w:i w:val="0"/>
          <w:color w:val="333333"/>
          <w:sz w:val="22"/>
        </w:rPr>
        <w:t>TC-07 (Visualización de Bitácora de Auditorías):</w:t>
      </w:r>
      <w:r>
        <w:rPr>
          <w:rFonts w:ascii="Arial" w:hAnsi="Arial"/>
          <w:b w:val="0"/>
          <w:i w:val="0"/>
          <w:color w:val="333333"/>
          <w:sz w:val="22"/>
        </w:rPr>
        <w:t>Reejecución exitosa. Los guards de Angular en frontend y los middlewares de validación de roles en backend protegen el endpoint /admin/auditorias de cualquier acceso por parte de usuarios estándar.</w:t>
      </w:r>
    </w:p>
    <w:p>
      <w:pPr>
        <w:pStyle w:val="ListBullet"/>
        <w:spacing w:after="80" w:line="276" w:lineRule="auto"/>
      </w:pPr>
      <w:r>
        <w:rPr>
          <w:rFonts w:ascii="Arial" w:hAnsi="Arial"/>
          <w:b/>
          <w:i w:val="0"/>
          <w:color w:val="333333"/>
          <w:sz w:val="22"/>
        </w:rPr>
        <w:t>TC-03 (Creación de Reportes):</w:t>
      </w:r>
      <w:r>
        <w:rPr>
          <w:rFonts w:ascii="Arial" w:hAnsi="Arial"/>
          <w:b w:val="0"/>
          <w:i w:val="0"/>
          <w:color w:val="333333"/>
          <w:sz w:val="22"/>
        </w:rPr>
        <w:t>Reejecución exitosa. La inserción de reportes continúa operando correctamente y la relación de llaves foráneas usuario_id en PostgreSQL se mantiene intacta tras el análisis.</w:t>
      </w:r>
    </w:p>
    <w:p>
      <w:pPr>
        <w:spacing w:after="120" w:line="276" w:lineRule="auto"/>
      </w:pPr>
      <w:r>
        <w:rPr>
          <w:rFonts w:ascii="Arial" w:hAnsi="Arial"/>
          <w:b w:val="0"/>
          <w:i w:val="0"/>
          <w:color w:val="333333"/>
          <w:sz w:val="22"/>
        </w:rPr>
        <w:t>Estado Final del Sistema: ESTABLE. La lógica de negocio fundamental del scanner con IA, el mapa interactivo de Leaflet y el foro comunitario están 100% operativos para la liberación.</w:t>
      </w:r>
    </w:p>
    <w:p>
      <w:r>
        <w:br w:type="page"/>
      </w:r>
    </w:p>
    <w:p>
      <w:pPr>
        <w:keepNext/>
        <w:spacing w:before="400" w:after="120"/>
      </w:pPr>
      <w:r>
        <w:rPr>
          <w:rFonts w:ascii="Arial" w:hAnsi="Arial"/>
          <w:b/>
          <w:i w:val="0"/>
          <w:color w:val="1F4E79"/>
          <w:sz w:val="32"/>
        </w:rPr>
        <w:t>5. C) GENERALIDADES DEL PLAN DE LIBERACIÓN DE SOFTWARE</w:t>
      </w:r>
    </w:p>
    <w:p>
      <w:pPr>
        <w:spacing w:after="120" w:line="276" w:lineRule="auto"/>
      </w:pPr>
      <w:r>
        <w:rPr>
          <w:rFonts w:ascii="Arial" w:hAnsi="Arial"/>
          <w:b w:val="0"/>
          <w:i w:val="0"/>
          <w:color w:val="333333"/>
          <w:sz w:val="22"/>
        </w:rPr>
        <w:t>Para llevar a cabo el despliegue a producción del sistema PlagaControl de manera segura y controlada, se ha elaborado el siguiente plan de liberación detallado y adaptado a las condiciones reales de la arquitectura de la aplicación.</w:t>
      </w:r>
    </w:p>
    <w:p>
      <w:pPr>
        <w:keepNext/>
        <w:spacing w:before="280" w:after="80"/>
      </w:pPr>
      <w:r>
        <w:rPr>
          <w:rFonts w:ascii="Arial" w:hAnsi="Arial"/>
          <w:b/>
          <w:i w:val="0"/>
          <w:color w:val="1F4E79"/>
          <w:sz w:val="26"/>
        </w:rPr>
        <w:t>5.1 Objetivo de la Liberación</w:t>
      </w:r>
    </w:p>
    <w:p>
      <w:pPr>
        <w:spacing w:after="120" w:line="276" w:lineRule="auto"/>
      </w:pPr>
      <w:r>
        <w:rPr>
          <w:rFonts w:ascii="Arial" w:hAnsi="Arial"/>
          <w:b w:val="0"/>
          <w:i w:val="0"/>
          <w:color w:val="333333"/>
          <w:sz w:val="22"/>
        </w:rPr>
        <w:t>Garantizar la puesta en marcha exitosa, segura y sin interrupciones del sistema PlagaControl v1.0.0 en el servidor de producción. Esto asegurará que los usuarios finales (agricultores y personal técnico) accedan a los servicios de reporte georreferenciado de plagas y al diagnóstico automático por Inteligencia Artificial de forma estable.</w:t>
      </w:r>
    </w:p>
    <w:p>
      <w:pPr>
        <w:keepNext/>
        <w:spacing w:before="280" w:after="80"/>
      </w:pPr>
      <w:r>
        <w:rPr>
          <w:rFonts w:ascii="Arial" w:hAnsi="Arial"/>
          <w:b/>
          <w:i w:val="0"/>
          <w:color w:val="1F4E79"/>
          <w:sz w:val="26"/>
        </w:rPr>
        <w:t>5.2 Alcance</w:t>
      </w:r>
    </w:p>
    <w:p>
      <w:pPr>
        <w:spacing w:after="120" w:line="276" w:lineRule="auto"/>
      </w:pPr>
      <w:r>
        <w:rPr>
          <w:rFonts w:ascii="Arial" w:hAnsi="Arial"/>
          <w:b w:val="0"/>
          <w:i w:val="0"/>
          <w:color w:val="333333"/>
          <w:sz w:val="22"/>
        </w:rPr>
        <w:t>Este plan abarca el ciclo de compilación del frontend Angular, la construcción de las imágenes de Docker correspondientes al backend, la base de datos relacional PostgreSQL y el microservicio de Machine Learning en FastAPI, la migración inicial de la base de datos y la configuración del proxy HTTPS a través del contenedor Nginx.</w:t>
      </w:r>
    </w:p>
    <w:p>
      <w:pPr>
        <w:keepNext/>
        <w:spacing w:before="280" w:after="80"/>
      </w:pPr>
      <w:r>
        <w:rPr>
          <w:rFonts w:ascii="Arial" w:hAnsi="Arial"/>
          <w:b/>
          <w:i w:val="0"/>
          <w:color w:val="1F4E79"/>
          <w:sz w:val="26"/>
        </w:rPr>
        <w:t>5.3 Requisitos para Liberar la Aplicación</w:t>
      </w:r>
    </w:p>
    <w:p>
      <w:pPr>
        <w:spacing w:after="120" w:line="276" w:lineRule="auto"/>
      </w:pPr>
      <w:r>
        <w:rPr>
          <w:rFonts w:ascii="Arial" w:hAnsi="Arial"/>
          <w:b w:val="0"/>
          <w:i w:val="0"/>
          <w:color w:val="333333"/>
          <w:sz w:val="22"/>
        </w:rPr>
        <w:t>Para proceder al despliegue, el entorno debe cumplir estrictamente con los siguientes requisitos previos:</w:t>
      </w:r>
    </w:p>
    <w:p>
      <w:pPr>
        <w:pStyle w:val="ListBullet"/>
        <w:spacing w:after="80" w:line="276" w:lineRule="auto"/>
      </w:pPr>
      <w:r>
        <w:rPr>
          <w:rFonts w:ascii="Arial" w:hAnsi="Arial"/>
          <w:b/>
          <w:i w:val="0"/>
          <w:color w:val="333333"/>
          <w:sz w:val="22"/>
        </w:rPr>
        <w:t>Hardware:</w:t>
      </w:r>
      <w:r>
        <w:rPr>
          <w:rFonts w:ascii="Arial" w:hAnsi="Arial"/>
          <w:b w:val="0"/>
          <w:i w:val="0"/>
          <w:color w:val="333333"/>
          <w:sz w:val="22"/>
        </w:rPr>
        <w:t>Servidor virtual en la nube (AWS EC2, DigitalOcean Droplet o similar) con sistema operativo Ubuntu Server 22.04 LTS.</w:t>
      </w:r>
    </w:p>
    <w:p>
      <w:pPr>
        <w:pStyle w:val="ListBullet"/>
        <w:spacing w:after="80" w:line="276" w:lineRule="auto"/>
      </w:pPr>
      <w:r>
        <w:rPr>
          <w:rFonts w:ascii="Arial" w:hAnsi="Arial"/>
          <w:b/>
          <w:i w:val="0"/>
          <w:color w:val="333333"/>
          <w:sz w:val="22"/>
        </w:rPr>
        <w:t>Software:</w:t>
      </w:r>
      <w:r>
        <w:rPr>
          <w:rFonts w:ascii="Arial" w:hAnsi="Arial"/>
          <w:b w:val="0"/>
          <w:i w:val="0"/>
          <w:color w:val="333333"/>
          <w:sz w:val="22"/>
        </w:rPr>
        <w:t>Motor de Docker Engine v24.0+ y Docker Compose v2.20+ instalados de forma nativa.</w:t>
      </w:r>
    </w:p>
    <w:p>
      <w:pPr>
        <w:pStyle w:val="ListBullet"/>
        <w:spacing w:after="80" w:line="276" w:lineRule="auto"/>
      </w:pPr>
      <w:r>
        <w:rPr>
          <w:rFonts w:ascii="Arial" w:hAnsi="Arial"/>
          <w:b/>
          <w:i w:val="0"/>
          <w:color w:val="333333"/>
          <w:sz w:val="22"/>
        </w:rPr>
        <w:t>Seguridad:</w:t>
      </w:r>
      <w:r>
        <w:rPr>
          <w:rFonts w:ascii="Arial" w:hAnsi="Arial"/>
          <w:b w:val="0"/>
          <w:i w:val="0"/>
          <w:color w:val="333333"/>
          <w:sz w:val="22"/>
        </w:rPr>
        <w:t>Certificado SSL/TLS válido (generado de forma automatizada mediante Let's Encrypt o Nginx Reverse Proxy).</w:t>
      </w:r>
    </w:p>
    <w:p>
      <w:pPr>
        <w:pStyle w:val="ListBullet"/>
        <w:spacing w:after="80" w:line="276" w:lineRule="auto"/>
      </w:pPr>
      <w:r>
        <w:rPr>
          <w:rFonts w:ascii="Arial" w:hAnsi="Arial"/>
          <w:b/>
          <w:i w:val="0"/>
          <w:color w:val="333333"/>
          <w:sz w:val="22"/>
        </w:rPr>
        <w:t>Configuración:</w:t>
      </w:r>
      <w:r>
        <w:rPr>
          <w:rFonts w:ascii="Arial" w:hAnsi="Arial"/>
          <w:b w:val="0"/>
          <w:i w:val="0"/>
          <w:color w:val="333333"/>
          <w:sz w:val="22"/>
        </w:rPr>
        <w:t>Configuración del archivo .env.production conteniendo contraseñas complejas para base de datos y claves JWT_SECRET seguras.</w:t>
      </w:r>
    </w:p>
    <w:p>
      <w:pPr>
        <w:pStyle w:val="ListBullet"/>
        <w:spacing w:after="80" w:line="276" w:lineRule="auto"/>
      </w:pPr>
      <w:r>
        <w:rPr>
          <w:rFonts w:ascii="Arial" w:hAnsi="Arial"/>
          <w:b/>
          <w:i w:val="0"/>
          <w:color w:val="333333"/>
          <w:sz w:val="22"/>
        </w:rPr>
        <w:t>Machine Learning:</w:t>
      </w:r>
      <w:r>
        <w:rPr>
          <w:rFonts w:ascii="Arial" w:hAnsi="Arial"/>
          <w:b w:val="0"/>
          <w:i w:val="0"/>
          <w:color w:val="333333"/>
          <w:sz w:val="22"/>
        </w:rPr>
        <w:t>Carga física del archivo best_model.keras dentro de la carpeta /app/model/ del microservicio de ML.</w:t>
      </w:r>
    </w:p>
    <w:p>
      <w:pPr>
        <w:keepNext/>
        <w:spacing w:before="280" w:after="80"/>
      </w:pPr>
      <w:r>
        <w:rPr>
          <w:rFonts w:ascii="Arial" w:hAnsi="Arial"/>
          <w:b/>
          <w:i w:val="0"/>
          <w:color w:val="1F4E79"/>
          <w:sz w:val="26"/>
        </w:rPr>
        <w:t>5.4 Control de Versiones</w:t>
      </w:r>
    </w:p>
    <w:p>
      <w:pPr>
        <w:spacing w:after="120" w:line="276" w:lineRule="auto"/>
      </w:pPr>
      <w:r>
        <w:rPr>
          <w:rFonts w:ascii="Arial" w:hAnsi="Arial"/>
          <w:b w:val="0"/>
          <w:i w:val="0"/>
          <w:color w:val="333333"/>
          <w:sz w:val="22"/>
        </w:rPr>
        <w:t>El control de versiones de código y de imágenes del sistema se rige bajo la metodología Git Flow:</w:t>
      </w:r>
    </w:p>
    <w:p>
      <w:pPr>
        <w:pStyle w:val="ListBullet"/>
        <w:spacing w:after="80" w:line="276" w:lineRule="auto"/>
      </w:pPr>
      <w:r>
        <w:rPr>
          <w:rFonts w:ascii="Arial" w:hAnsi="Arial"/>
          <w:b/>
          <w:i w:val="0"/>
          <w:color w:val="333333"/>
          <w:sz w:val="22"/>
        </w:rPr>
        <w:t>Rama principal (main):</w:t>
      </w:r>
      <w:r>
        <w:rPr>
          <w:rFonts w:ascii="Arial" w:hAnsi="Arial"/>
          <w:b w:val="0"/>
          <w:i w:val="0"/>
          <w:color w:val="333333"/>
          <w:sz w:val="22"/>
        </w:rPr>
        <w:t>Aloja únicamente código estable y liberado a producción. Cada despliegue se marca con una etiqueta de versión (v1.0.0, v1.0.1, etc.).</w:t>
      </w:r>
    </w:p>
    <w:p>
      <w:pPr>
        <w:pStyle w:val="ListBullet"/>
        <w:spacing w:after="80" w:line="276" w:lineRule="auto"/>
      </w:pPr>
      <w:r>
        <w:rPr>
          <w:rFonts w:ascii="Arial" w:hAnsi="Arial"/>
          <w:b/>
          <w:i w:val="0"/>
          <w:color w:val="333333"/>
          <w:sz w:val="22"/>
        </w:rPr>
        <w:t>Rama de desarrollo (develop):</w:t>
      </w:r>
      <w:r>
        <w:rPr>
          <w:rFonts w:ascii="Arial" w:hAnsi="Arial"/>
          <w:b w:val="0"/>
          <w:i w:val="0"/>
          <w:color w:val="333333"/>
          <w:sz w:val="22"/>
        </w:rPr>
        <w:t>Rama de integración de cambios. Contiene los últimos desarrollos que han pasado pruebas de QA pero no se han liberado a producción.</w:t>
      </w:r>
    </w:p>
    <w:p>
      <w:pPr>
        <w:pStyle w:val="ListBullet"/>
        <w:spacing w:after="80" w:line="276" w:lineRule="auto"/>
      </w:pPr>
      <w:r>
        <w:rPr>
          <w:rFonts w:ascii="Arial" w:hAnsi="Arial"/>
          <w:b/>
          <w:i w:val="0"/>
          <w:color w:val="333333"/>
          <w:sz w:val="22"/>
        </w:rPr>
        <w:t>Ramas de Hotfix (hotfix/*):</w:t>
      </w:r>
      <w:r>
        <w:rPr>
          <w:rFonts w:ascii="Arial" w:hAnsi="Arial"/>
          <w:b w:val="0"/>
          <w:i w:val="0"/>
          <w:color w:val="333333"/>
          <w:sz w:val="22"/>
        </w:rPr>
        <w:t>Ramas temporales creadas para reparar errores críticos de producción directamente y aplicarlos en caliente sobre la rama main.</w:t>
      </w:r>
    </w:p>
    <w:p>
      <w:pPr>
        <w:keepNext/>
        <w:spacing w:before="280" w:after="80"/>
      </w:pPr>
      <w:r>
        <w:rPr>
          <w:rFonts w:ascii="Arial" w:hAnsi="Arial"/>
          <w:b/>
          <w:i w:val="0"/>
          <w:color w:val="1F4E79"/>
          <w:sz w:val="26"/>
        </w:rPr>
        <w:t>5.5 Estrategia de Despliegue</w:t>
      </w:r>
    </w:p>
    <w:p>
      <w:pPr>
        <w:spacing w:after="120" w:line="276" w:lineRule="auto"/>
      </w:pPr>
      <w:r>
        <w:rPr>
          <w:rFonts w:ascii="Arial" w:hAnsi="Arial"/>
          <w:b w:val="0"/>
          <w:i w:val="0"/>
          <w:color w:val="333333"/>
          <w:sz w:val="22"/>
        </w:rPr>
        <w:t>Se implementará una estrategia de Despliegue Progresivo (Rolling Update) gestionada a través de Docker Compose. Durante la actualización de servicios (ej. el backend), se levantará un contenedor con la nueva versión y Nginx direccionará el tráfico una vez que el contenedor pase el healthcheck (pg_isready y endpoints de salud), apagando posteriormente la versión antigua. Esto minimiza el tiempo de inactividad a cero. Alternativamente, para actualizaciones mayores, se puede utilizar un esquema Blue-Green en servidores paralelos de staging y producción.</w:t>
      </w:r>
    </w:p>
    <w:p>
      <w:pPr>
        <w:keepNext/>
        <w:spacing w:before="280" w:after="80"/>
      </w:pPr>
      <w:r>
        <w:rPr>
          <w:rFonts w:ascii="Arial" w:hAnsi="Arial"/>
          <w:b/>
          <w:i w:val="0"/>
          <w:color w:val="1F4E79"/>
          <w:sz w:val="26"/>
        </w:rPr>
        <w:t>5.6 Validaciones Previas</w:t>
      </w:r>
    </w:p>
    <w:p>
      <w:pPr>
        <w:spacing w:after="120" w:line="276" w:lineRule="auto"/>
      </w:pPr>
      <w:r>
        <w:rPr>
          <w:rFonts w:ascii="Arial" w:hAnsi="Arial"/>
          <w:b w:val="0"/>
          <w:i w:val="0"/>
          <w:color w:val="333333"/>
          <w:sz w:val="22"/>
        </w:rPr>
        <w:t>Antes de ejecutar la orden de liberación en el servidor de producción, se deben realizar las siguientes pruebas de consistencia estática:</w:t>
      </w:r>
    </w:p>
    <w:p>
      <w:pPr>
        <w:pStyle w:val="ListBullet"/>
        <w:spacing w:after="80" w:line="276" w:lineRule="auto"/>
      </w:pPr>
      <w:r>
        <w:rPr>
          <w:rFonts w:ascii="Arial" w:hAnsi="Arial"/>
          <w:b/>
          <w:i w:val="0"/>
          <w:color w:val="333333"/>
          <w:sz w:val="22"/>
        </w:rPr>
        <w:t>Análisis Estático:</w:t>
      </w:r>
      <w:r>
        <w:rPr>
          <w:rFonts w:ascii="Arial" w:hAnsi="Arial"/>
          <w:b w:val="0"/>
          <w:i w:val="0"/>
          <w:color w:val="333333"/>
          <w:sz w:val="22"/>
        </w:rPr>
        <w:t>Ejecutar npm run lint en frontend y backend para evitar errores de sintaxis o variables sin declarar.</w:t>
      </w:r>
    </w:p>
    <w:p>
      <w:pPr>
        <w:pStyle w:val="ListBullet"/>
        <w:spacing w:after="80" w:line="276" w:lineRule="auto"/>
      </w:pPr>
      <w:r>
        <w:rPr>
          <w:rFonts w:ascii="Arial" w:hAnsi="Arial"/>
          <w:b/>
          <w:i w:val="0"/>
          <w:color w:val="333333"/>
          <w:sz w:val="22"/>
        </w:rPr>
        <w:t>Compilación Híbrida:</w:t>
      </w:r>
      <w:r>
        <w:rPr>
          <w:rFonts w:ascii="Arial" w:hAnsi="Arial"/>
          <w:b w:val="0"/>
          <w:i w:val="0"/>
          <w:color w:val="333333"/>
          <w:sz w:val="22"/>
        </w:rPr>
        <w:t>Validar la compilación limpia de la app móvil mediante Capacitor y la construcción limpia del directorio web (www).</w:t>
      </w:r>
    </w:p>
    <w:p>
      <w:pPr>
        <w:pStyle w:val="ListBullet"/>
        <w:spacing w:after="80" w:line="276" w:lineRule="auto"/>
      </w:pPr>
      <w:r>
        <w:rPr>
          <w:rFonts w:ascii="Arial" w:hAnsi="Arial"/>
          <w:b/>
          <w:i w:val="0"/>
          <w:color w:val="333333"/>
          <w:sz w:val="22"/>
        </w:rPr>
        <w:t>Prueba de Inferencia:</w:t>
      </w:r>
      <w:r>
        <w:rPr>
          <w:rFonts w:ascii="Arial" w:hAnsi="Arial"/>
          <w:b w:val="0"/>
          <w:i w:val="0"/>
          <w:color w:val="333333"/>
          <w:sz w:val="22"/>
        </w:rPr>
        <w:t>Verificar que el modelo de machine learning sea importado correctamente mediante tensorflow y keras ejecutando un test unitario preliminar en FastAPI.</w:t>
      </w:r>
    </w:p>
    <w:p>
      <w:pPr>
        <w:keepNext/>
        <w:spacing w:before="280" w:after="80"/>
      </w:pPr>
      <w:r>
        <w:rPr>
          <w:rFonts w:ascii="Arial" w:hAnsi="Arial"/>
          <w:b/>
          <w:i w:val="0"/>
          <w:color w:val="1F4E79"/>
          <w:sz w:val="26"/>
        </w:rPr>
        <w:t>5.7 Lista de Verificación (Checklist) para Liberación</w:t>
      </w:r>
    </w:p>
    <w:p>
      <w:pPr>
        <w:spacing w:after="120" w:line="276" w:lineRule="auto"/>
      </w:pPr>
      <w:r>
        <w:rPr>
          <w:rFonts w:ascii="Arial" w:hAnsi="Arial"/>
          <w:b w:val="0"/>
          <w:i w:val="0"/>
          <w:color w:val="333333"/>
          <w:sz w:val="22"/>
        </w:rPr>
        <w:t>El Ingeniero DevOps a cargo de la liberación debe marcar obligatoriamente cada casilla antes de habilitar el tráfico de usuarios:</w:t>
      </w:r>
    </w:p>
    <w:p>
      <w:pPr>
        <w:pStyle w:val="ListBullet"/>
        <w:spacing w:after="80" w:line="276" w:lineRule="auto"/>
      </w:pPr>
      <w:r>
        <w:rPr>
          <w:rFonts w:ascii="Arial" w:hAnsi="Arial"/>
          <w:b/>
          <w:i w:val="0"/>
          <w:color w:val="333333"/>
          <w:sz w:val="22"/>
        </w:rPr>
        <w:t>[ ] Seguridad de Puertos:</w:t>
      </w:r>
      <w:r>
        <w:rPr>
          <w:rFonts w:ascii="Arial" w:hAnsi="Arial"/>
          <w:b w:val="0"/>
          <w:i w:val="0"/>
          <w:color w:val="333333"/>
          <w:sz w:val="22"/>
        </w:rPr>
        <w:t>Verificar que el puerto 443 (HTTPS) esté abierto en el Firewall del VPS.</w:t>
      </w:r>
    </w:p>
    <w:p>
      <w:pPr>
        <w:pStyle w:val="ListBullet"/>
        <w:spacing w:after="80" w:line="276" w:lineRule="auto"/>
      </w:pPr>
      <w:r>
        <w:rPr>
          <w:rFonts w:ascii="Arial" w:hAnsi="Arial"/>
          <w:b/>
          <w:i w:val="0"/>
          <w:color w:val="333333"/>
          <w:sz w:val="22"/>
        </w:rPr>
        <w:t>[ ] Entorno:</w:t>
      </w:r>
      <w:r>
        <w:rPr>
          <w:rFonts w:ascii="Arial" w:hAnsi="Arial"/>
          <w:b w:val="0"/>
          <w:i w:val="0"/>
          <w:color w:val="333333"/>
          <w:sz w:val="22"/>
        </w:rPr>
        <w:t>Habilitar la directiva NODE_ENV=production en el contenedor de backend.</w:t>
      </w:r>
    </w:p>
    <w:p>
      <w:pPr>
        <w:pStyle w:val="ListBullet"/>
        <w:spacing w:after="80" w:line="276" w:lineRule="auto"/>
      </w:pPr>
      <w:r>
        <w:rPr>
          <w:rFonts w:ascii="Arial" w:hAnsi="Arial"/>
          <w:b/>
          <w:i w:val="0"/>
          <w:color w:val="333333"/>
          <w:sz w:val="22"/>
        </w:rPr>
        <w:t>[ ] Contraseñas de DB:</w:t>
      </w:r>
      <w:r>
        <w:rPr>
          <w:rFonts w:ascii="Arial" w:hAnsi="Arial"/>
          <w:b w:val="0"/>
          <w:i w:val="0"/>
          <w:color w:val="333333"/>
          <w:sz w:val="22"/>
        </w:rPr>
        <w:t>Generar contraseñas de alta seguridad (&gt;16 caracteres) para PostgreSQL y reemplazar las claves por defecto.</w:t>
      </w:r>
    </w:p>
    <w:p>
      <w:pPr>
        <w:pStyle w:val="ListBullet"/>
        <w:spacing w:after="80" w:line="276" w:lineRule="auto"/>
      </w:pPr>
      <w:r>
        <w:rPr>
          <w:rFonts w:ascii="Arial" w:hAnsi="Arial"/>
          <w:b/>
          <w:i w:val="0"/>
          <w:color w:val="333333"/>
          <w:sz w:val="22"/>
        </w:rPr>
        <w:t>[ ] Secreto JWT:</w:t>
      </w:r>
      <w:r>
        <w:rPr>
          <w:rFonts w:ascii="Arial" w:hAnsi="Arial"/>
          <w:b w:val="0"/>
          <w:i w:val="0"/>
          <w:color w:val="333333"/>
          <w:sz w:val="22"/>
        </w:rPr>
        <w:t>Asegurar que la clave JWT_SECRET del backend sea un hash complejo guardado en variables de entorno seguras.</w:t>
      </w:r>
    </w:p>
    <w:p>
      <w:pPr>
        <w:pStyle w:val="ListBullet"/>
        <w:spacing w:after="80" w:line="276" w:lineRule="auto"/>
      </w:pPr>
      <w:r>
        <w:rPr>
          <w:rFonts w:ascii="Arial" w:hAnsi="Arial"/>
          <w:b/>
          <w:i w:val="0"/>
          <w:color w:val="333333"/>
          <w:sz w:val="22"/>
        </w:rPr>
        <w:t>[ ] Inicialización SQL:</w:t>
      </w:r>
      <w:r>
        <w:rPr>
          <w:rFonts w:ascii="Arial" w:hAnsi="Arial"/>
          <w:b w:val="0"/>
          <w:i w:val="0"/>
          <w:color w:val="333333"/>
          <w:sz w:val="22"/>
        </w:rPr>
        <w:t>Validar que el script inicial init.sql cree las tablas relacionales y el administrador inicial por defecto.</w:t>
      </w:r>
    </w:p>
    <w:p>
      <w:pPr>
        <w:pStyle w:val="ListBullet"/>
        <w:spacing w:after="80" w:line="276" w:lineRule="auto"/>
      </w:pPr>
      <w:r>
        <w:rPr>
          <w:rFonts w:ascii="Arial" w:hAnsi="Arial"/>
          <w:b/>
          <w:i w:val="0"/>
          <w:color w:val="333333"/>
          <w:sz w:val="22"/>
        </w:rPr>
        <w:t>[ ] Montaje de Uploads:</w:t>
      </w:r>
      <w:r>
        <w:rPr>
          <w:rFonts w:ascii="Arial" w:hAnsi="Arial"/>
          <w:b w:val="0"/>
          <w:i w:val="0"/>
          <w:color w:val="333333"/>
          <w:sz w:val="22"/>
        </w:rPr>
        <w:t>Confirmar que la carpeta de almacenamiento de fotos compartidas esté montada sobre el volumen persistente Docker.</w:t>
      </w:r>
    </w:p>
    <w:p>
      <w:pPr>
        <w:pStyle w:val="ListBullet"/>
        <w:spacing w:after="80" w:line="276" w:lineRule="auto"/>
      </w:pPr>
      <w:r>
        <w:rPr>
          <w:rFonts w:ascii="Arial" w:hAnsi="Arial"/>
          <w:b/>
          <w:i w:val="0"/>
          <w:color w:val="333333"/>
          <w:sz w:val="22"/>
        </w:rPr>
        <w:t>[ ] Rate Limit:</w:t>
      </w:r>
      <w:r>
        <w:rPr>
          <w:rFonts w:ascii="Arial" w:hAnsi="Arial"/>
          <w:b w:val="0"/>
          <w:i w:val="0"/>
          <w:color w:val="333333"/>
          <w:sz w:val="22"/>
        </w:rPr>
        <w:t>Confirmar que el rate limiter del backend esté configurado para mitigar ataques DDoS (100 req/15min).</w:t>
      </w:r>
    </w:p>
    <w:p>
      <w:pPr>
        <w:pStyle w:val="ListBullet"/>
        <w:spacing w:after="80" w:line="276" w:lineRule="auto"/>
      </w:pPr>
      <w:r>
        <w:rPr>
          <w:rFonts w:ascii="Arial" w:hAnsi="Arial"/>
          <w:b/>
          <w:i w:val="0"/>
          <w:color w:val="333333"/>
          <w:sz w:val="22"/>
        </w:rPr>
        <w:t>[ ] Logs del Sistema:</w:t>
      </w:r>
      <w:r>
        <w:rPr>
          <w:rFonts w:ascii="Arial" w:hAnsi="Arial"/>
          <w:b w:val="0"/>
          <w:i w:val="0"/>
          <w:color w:val="333333"/>
          <w:sz w:val="22"/>
        </w:rPr>
        <w:t>Configurar la rotación de logs de Winston para evitar que se sature el almacenamiento de disco.</w:t>
      </w:r>
    </w:p>
    <w:p>
      <w:pPr>
        <w:keepNext/>
        <w:spacing w:before="280" w:after="80"/>
      </w:pPr>
      <w:r>
        <w:rPr>
          <w:rFonts w:ascii="Arial" w:hAnsi="Arial"/>
          <w:b/>
          <w:i w:val="0"/>
          <w:color w:val="1F4E79"/>
          <w:sz w:val="26"/>
        </w:rPr>
        <w:t>5.8 Gestión de Respaldos (Backups)</w:t>
      </w:r>
    </w:p>
    <w:p>
      <w:pPr>
        <w:spacing w:after="120" w:line="276" w:lineRule="auto"/>
      </w:pPr>
      <w:r>
        <w:rPr>
          <w:rFonts w:ascii="Arial" w:hAnsi="Arial"/>
          <w:b w:val="0"/>
          <w:i w:val="0"/>
          <w:color w:val="333333"/>
          <w:sz w:val="22"/>
        </w:rPr>
        <w:t>Para salvaguardar la información recolectada de brotes de plagas e información de agricultores, se implementará una política de respaldos automatizados de base de datos:</w:t>
      </w:r>
    </w:p>
    <w:p>
      <w:pPr>
        <w:pStyle w:val="ListBullet"/>
        <w:spacing w:after="80" w:line="276" w:lineRule="auto"/>
      </w:pPr>
      <w:r>
        <w:rPr>
          <w:rFonts w:ascii="Arial" w:hAnsi="Arial"/>
          <w:b/>
          <w:i w:val="0"/>
          <w:color w:val="333333"/>
          <w:sz w:val="22"/>
        </w:rPr>
        <w:t>Automatización:</w:t>
      </w:r>
      <w:r>
        <w:rPr>
          <w:rFonts w:ascii="Arial" w:hAnsi="Arial"/>
          <w:b w:val="0"/>
          <w:i w:val="0"/>
          <w:color w:val="333333"/>
          <w:sz w:val="22"/>
        </w:rPr>
        <w:t>Un cron job programado en el servidor ejecutará diariamente a las 02:00 AM el comando pg_dump dentro del contenedor de base de datos plagacontrol-postgres.</w:t>
      </w:r>
    </w:p>
    <w:p>
      <w:pPr>
        <w:pStyle w:val="ListBullet"/>
        <w:spacing w:after="80" w:line="276" w:lineRule="auto"/>
      </w:pPr>
      <w:r>
        <w:rPr>
          <w:rFonts w:ascii="Arial" w:hAnsi="Arial"/>
          <w:b/>
          <w:i w:val="0"/>
          <w:color w:val="333333"/>
          <w:sz w:val="22"/>
        </w:rPr>
        <w:t>Almacenamiento Off-site:</w:t>
      </w:r>
      <w:r>
        <w:rPr>
          <w:rFonts w:ascii="Arial" w:hAnsi="Arial"/>
          <w:b w:val="0"/>
          <w:i w:val="0"/>
          <w:color w:val="333333"/>
          <w:sz w:val="22"/>
        </w:rPr>
        <w:t>El dump resultante será comprimido en formato .sql.gz y se subirá de forma encriptada a un bucket de almacenamiento externo seguro (ej. AWS S3 o GCP Cloud Storage).</w:t>
      </w:r>
    </w:p>
    <w:p>
      <w:pPr>
        <w:pStyle w:val="ListBullet"/>
        <w:spacing w:after="80" w:line="276" w:lineRule="auto"/>
      </w:pPr>
      <w:r>
        <w:rPr>
          <w:rFonts w:ascii="Arial" w:hAnsi="Arial"/>
          <w:b/>
          <w:i w:val="0"/>
          <w:color w:val="333333"/>
          <w:sz w:val="22"/>
        </w:rPr>
        <w:t>Retención:</w:t>
      </w:r>
      <w:r>
        <w:rPr>
          <w:rFonts w:ascii="Arial" w:hAnsi="Arial"/>
          <w:b w:val="0"/>
          <w:i w:val="0"/>
          <w:color w:val="333333"/>
          <w:sz w:val="22"/>
        </w:rPr>
        <w:t>Se mantendrá un esquema de retención de 30 días para respaldos diarios, y de 12 meses para respaldos mensuales.</w:t>
      </w:r>
    </w:p>
    <w:p>
      <w:pPr>
        <w:keepNext/>
        <w:spacing w:before="280" w:after="80"/>
      </w:pPr>
      <w:r>
        <w:rPr>
          <w:rFonts w:ascii="Arial" w:hAnsi="Arial"/>
          <w:b/>
          <w:i w:val="0"/>
          <w:color w:val="1F4E79"/>
          <w:sz w:val="26"/>
        </w:rPr>
        <w:t>5.9 Plan de Recuperación ante Fallos (Rollback)</w:t>
      </w:r>
    </w:p>
    <w:p>
      <w:pPr>
        <w:spacing w:after="120" w:line="276" w:lineRule="auto"/>
      </w:pPr>
      <w:r>
        <w:rPr>
          <w:rFonts w:ascii="Arial" w:hAnsi="Arial"/>
          <w:b w:val="0"/>
          <w:i w:val="0"/>
          <w:color w:val="333333"/>
          <w:sz w:val="22"/>
        </w:rPr>
        <w:t>En caso de presentarse una anomalía severa (ej. error 500 generalizado o base de datos inaccesible) tras el despliegue productivo, el equipo de liberación aplicará el siguiente procedimiento de reversión inmediata (máximo 15 minutos):</w:t>
      </w:r>
    </w:p>
    <w:p>
      <w:pPr>
        <w:pStyle w:val="ListBullet"/>
        <w:spacing w:after="80" w:line="276" w:lineRule="auto"/>
      </w:pPr>
      <w:r>
        <w:rPr>
          <w:rFonts w:ascii="Arial" w:hAnsi="Arial"/>
          <w:b/>
          <w:i w:val="0"/>
          <w:color w:val="333333"/>
          <w:sz w:val="22"/>
        </w:rPr>
        <w:t>Paso 1:</w:t>
      </w:r>
      <w:r>
        <w:rPr>
          <w:rFonts w:ascii="Arial" w:hAnsi="Arial"/>
          <w:b w:val="0"/>
          <w:i w:val="0"/>
          <w:color w:val="333333"/>
          <w:sz w:val="22"/>
        </w:rPr>
        <w:t>Detener los contenedores actuales con docker-compose down.</w:t>
      </w:r>
    </w:p>
    <w:p>
      <w:pPr>
        <w:pStyle w:val="ListBullet"/>
        <w:spacing w:after="80" w:line="276" w:lineRule="auto"/>
      </w:pPr>
      <w:r>
        <w:rPr>
          <w:rFonts w:ascii="Arial" w:hAnsi="Arial"/>
          <w:b/>
          <w:i w:val="0"/>
          <w:color w:val="333333"/>
          <w:sz w:val="22"/>
        </w:rPr>
        <w:t>Paso 2:</w:t>
      </w:r>
      <w:r>
        <w:rPr>
          <w:rFonts w:ascii="Arial" w:hAnsi="Arial"/>
          <w:b w:val="0"/>
          <w:i w:val="0"/>
          <w:color w:val="333333"/>
          <w:sz w:val="22"/>
        </w:rPr>
        <w:t>Hacer checkout a la última etiqueta de Git funcional (ej. git checkout tags/v0.9.5).</w:t>
      </w:r>
    </w:p>
    <w:p>
      <w:pPr>
        <w:pStyle w:val="ListBullet"/>
        <w:spacing w:after="80" w:line="276" w:lineRule="auto"/>
      </w:pPr>
      <w:r>
        <w:rPr>
          <w:rFonts w:ascii="Arial" w:hAnsi="Arial"/>
          <w:b/>
          <w:i w:val="0"/>
          <w:color w:val="333333"/>
          <w:sz w:val="22"/>
        </w:rPr>
        <w:t>Paso 3:</w:t>
      </w:r>
      <w:r>
        <w:rPr>
          <w:rFonts w:ascii="Arial" w:hAnsi="Arial"/>
          <w:b w:val="0"/>
          <w:i w:val="0"/>
          <w:color w:val="333333"/>
          <w:sz w:val="22"/>
        </w:rPr>
        <w:t>Si hubo cambios incompatibles en los esquemas de base de datos, restaurar el respaldo de base de datos más reciente ejecutando psql -U plaga_user -d plagacontrol &lt; backup_reciente.sql dentro del contenedor Postgres.</w:t>
      </w:r>
    </w:p>
    <w:p>
      <w:pPr>
        <w:pStyle w:val="ListBullet"/>
        <w:spacing w:after="80" w:line="276" w:lineRule="auto"/>
      </w:pPr>
      <w:r>
        <w:rPr>
          <w:rFonts w:ascii="Arial" w:hAnsi="Arial"/>
          <w:b/>
          <w:i w:val="0"/>
          <w:color w:val="333333"/>
          <w:sz w:val="22"/>
        </w:rPr>
        <w:t>Paso 4:</w:t>
      </w:r>
      <w:r>
        <w:rPr>
          <w:rFonts w:ascii="Arial" w:hAnsi="Arial"/>
          <w:b w:val="0"/>
          <w:i w:val="0"/>
          <w:color w:val="333333"/>
          <w:sz w:val="22"/>
        </w:rPr>
        <w:t>Levantar nuevamente el sistema con docker-compose up -d --build y validar la salud de los contenedores.</w:t>
      </w:r>
    </w:p>
    <w:p>
      <w:pPr>
        <w:keepNext/>
        <w:spacing w:before="280" w:after="80"/>
      </w:pPr>
      <w:r>
        <w:rPr>
          <w:rFonts w:ascii="Arial" w:hAnsi="Arial"/>
          <w:b/>
          <w:i w:val="0"/>
          <w:color w:val="1F4E79"/>
          <w:sz w:val="26"/>
        </w:rPr>
        <w:t>5.10 Riesgos Conocidos</w:t>
      </w:r>
    </w:p>
    <w:p>
      <w:pPr>
        <w:spacing w:after="120" w:line="276" w:lineRule="auto"/>
      </w:pPr>
      <w:r>
        <w:rPr>
          <w:rFonts w:ascii="Arial" w:hAnsi="Arial"/>
          <w:b w:val="0"/>
          <w:i w:val="0"/>
          <w:color w:val="333333"/>
          <w:sz w:val="22"/>
        </w:rPr>
        <w:t>Se identifican los siguientes riesgos de infraestructura y despliegue junto con sus medidas de mitigación:</w:t>
      </w:r>
    </w:p>
    <w:p>
      <w:pPr>
        <w:pStyle w:val="ListBullet"/>
        <w:spacing w:after="80" w:line="276" w:lineRule="auto"/>
      </w:pPr>
      <w:r>
        <w:rPr>
          <w:rFonts w:ascii="Arial" w:hAnsi="Arial"/>
          <w:b/>
          <w:i w:val="0"/>
          <w:color w:val="333333"/>
          <w:sz w:val="22"/>
        </w:rPr>
        <w:t>Incompatibilidad de memoria al cargar el modelo de Keras:</w:t>
      </w:r>
      <w:r>
        <w:rPr>
          <w:rFonts w:ascii="Arial" w:hAnsi="Arial"/>
          <w:b w:val="0"/>
          <w:i w:val="0"/>
          <w:color w:val="333333"/>
          <w:sz w:val="22"/>
        </w:rPr>
        <w:t>Mitigación: Asegurar que el contenedor de ML posea asignada memoria RAM dedicada en el host (&gt;2 GB) y que TensorFlow use la compilación adecuada para el set de instrucciones del CPU del VPS.</w:t>
      </w:r>
    </w:p>
    <w:p>
      <w:pPr>
        <w:pStyle w:val="ListBullet"/>
        <w:spacing w:after="80" w:line="276" w:lineRule="auto"/>
      </w:pPr>
      <w:r>
        <w:rPr>
          <w:rFonts w:ascii="Arial" w:hAnsi="Arial"/>
          <w:b/>
          <w:i w:val="0"/>
          <w:color w:val="333333"/>
          <w:sz w:val="22"/>
        </w:rPr>
        <w:t>Agotamiento de espacio en disco por imágenes de reportes:</w:t>
      </w:r>
      <w:r>
        <w:rPr>
          <w:rFonts w:ascii="Arial" w:hAnsi="Arial"/>
          <w:b w:val="0"/>
          <w:i w:val="0"/>
          <w:color w:val="333333"/>
          <w:sz w:val="22"/>
        </w:rPr>
        <w:t>Mitigación: Monitoreo preventivo del volumen de almacenamiento de fotos compartidas. Configurar alertas de uso de disco en el servidor VPS al superar el 85%.</w:t>
      </w:r>
    </w:p>
    <w:p>
      <w:pPr>
        <w:pStyle w:val="ListBullet"/>
        <w:spacing w:after="80" w:line="276" w:lineRule="auto"/>
      </w:pPr>
      <w:r>
        <w:rPr>
          <w:rFonts w:ascii="Arial" w:hAnsi="Arial"/>
          <w:b/>
          <w:i w:val="0"/>
          <w:color w:val="333333"/>
          <w:sz w:val="22"/>
        </w:rPr>
        <w:t>Expiración de certificados TLS de Nginx:</w:t>
      </w:r>
      <w:r>
        <w:rPr>
          <w:rFonts w:ascii="Arial" w:hAnsi="Arial"/>
          <w:b w:val="0"/>
          <w:i w:val="0"/>
          <w:color w:val="333333"/>
          <w:sz w:val="22"/>
        </w:rPr>
        <w:t>Mitigación: Habilitar certificados auto-renovables con Certbot en el host y mapear las rutas de los certificados TLS directamente al contenedor de Nginx en modo lectura.</w:t>
      </w:r>
    </w:p>
    <w:p>
      <w:pPr>
        <w:keepNext/>
        <w:spacing w:before="280" w:after="80"/>
      </w:pPr>
      <w:r>
        <w:rPr>
          <w:rFonts w:ascii="Arial" w:hAnsi="Arial"/>
          <w:b/>
          <w:i w:val="0"/>
          <w:color w:val="1F4E79"/>
          <w:sz w:val="26"/>
        </w:rPr>
        <w:t>5.11 Responsables</w:t>
      </w:r>
    </w:p>
    <w:p>
      <w:pPr>
        <w:spacing w:after="120" w:line="276" w:lineRule="auto"/>
      </w:pPr>
      <w:r>
        <w:rPr>
          <w:rFonts w:ascii="Arial" w:hAnsi="Arial"/>
          <w:b w:val="0"/>
          <w:i w:val="0"/>
          <w:color w:val="333333"/>
          <w:sz w:val="22"/>
        </w:rPr>
        <w:t>Los roles involucrados en el ciclo de liberación están compuestos por:</w:t>
      </w:r>
    </w:p>
    <w:p>
      <w:pPr>
        <w:pStyle w:val="ListBullet"/>
        <w:spacing w:after="80" w:line="276" w:lineRule="auto"/>
      </w:pPr>
      <w:r>
        <w:rPr>
          <w:rFonts w:ascii="Arial" w:hAnsi="Arial"/>
          <w:b/>
          <w:i w:val="0"/>
          <w:color w:val="333333"/>
          <w:sz w:val="22"/>
        </w:rPr>
        <w:t>Release Manager / DevOps:</w:t>
      </w:r>
      <w:r>
        <w:rPr>
          <w:rFonts w:ascii="Arial" w:hAnsi="Arial"/>
          <w:b w:val="0"/>
          <w:i w:val="0"/>
          <w:color w:val="333333"/>
          <w:sz w:val="22"/>
        </w:rPr>
        <w:t>Encargado de compilar los entregables y estructurar los contenedores Docker en el servidor VPS.</w:t>
      </w:r>
    </w:p>
    <w:p>
      <w:pPr>
        <w:pStyle w:val="ListBullet"/>
        <w:spacing w:after="80" w:line="276" w:lineRule="auto"/>
      </w:pPr>
      <w:r>
        <w:rPr>
          <w:rFonts w:ascii="Arial" w:hAnsi="Arial"/>
          <w:b/>
          <w:i w:val="0"/>
          <w:color w:val="333333"/>
          <w:sz w:val="22"/>
        </w:rPr>
        <w:t>QA Engineer:</w:t>
      </w:r>
      <w:r>
        <w:rPr>
          <w:rFonts w:ascii="Arial" w:hAnsi="Arial"/>
          <w:b w:val="0"/>
          <w:i w:val="0"/>
          <w:color w:val="333333"/>
          <w:sz w:val="22"/>
        </w:rPr>
        <w:t>Responsable de verificar el correcto comportamiento de la app móvil y validar los flujos tras el despliegue.</w:t>
      </w:r>
    </w:p>
    <w:p>
      <w:pPr>
        <w:pStyle w:val="ListBullet"/>
        <w:spacing w:after="80" w:line="276" w:lineRule="auto"/>
      </w:pPr>
      <w:r>
        <w:rPr>
          <w:rFonts w:ascii="Arial" w:hAnsi="Arial"/>
          <w:b/>
          <w:i w:val="0"/>
          <w:color w:val="333333"/>
          <w:sz w:val="22"/>
        </w:rPr>
        <w:t>Fullstack Developers:</w:t>
      </w:r>
      <w:r>
        <w:rPr>
          <w:rFonts w:ascii="Arial" w:hAnsi="Arial"/>
          <w:b w:val="0"/>
          <w:i w:val="0"/>
          <w:color w:val="333333"/>
          <w:sz w:val="22"/>
        </w:rPr>
        <w:t>Desarrolladores a cargo de generar hotfixes de código urgentes ante fallos.</w:t>
      </w:r>
    </w:p>
    <w:p>
      <w:pPr>
        <w:pStyle w:val="ListBullet"/>
        <w:spacing w:after="80" w:line="276" w:lineRule="auto"/>
      </w:pPr>
      <w:r>
        <w:rPr>
          <w:rFonts w:ascii="Arial" w:hAnsi="Arial"/>
          <w:b/>
          <w:i w:val="0"/>
          <w:color w:val="333333"/>
          <w:sz w:val="22"/>
        </w:rPr>
        <w:t>Product Owner:</w:t>
      </w:r>
      <w:r>
        <w:rPr>
          <w:rFonts w:ascii="Arial" w:hAnsi="Arial"/>
          <w:b w:val="0"/>
          <w:i w:val="0"/>
          <w:color w:val="333333"/>
          <w:sz w:val="22"/>
        </w:rPr>
        <w:t>Responsable de dar el visto bueno comercial para la publicación de la versión.</w:t>
      </w:r>
    </w:p>
    <w:p>
      <w:pPr>
        <w:keepNext/>
        <w:spacing w:before="280" w:after="80"/>
      </w:pPr>
      <w:r>
        <w:rPr>
          <w:rFonts w:ascii="Arial" w:hAnsi="Arial"/>
          <w:b/>
          <w:i w:val="0"/>
          <w:color w:val="1F4E79"/>
          <w:sz w:val="26"/>
        </w:rPr>
        <w:t>5.12 Cronograma General de Liberación</w:t>
      </w:r>
    </w:p>
    <w:p>
      <w:pPr>
        <w:spacing w:after="120" w:line="276" w:lineRule="auto"/>
      </w:pPr>
      <w:r>
        <w:rPr>
          <w:rFonts w:ascii="Arial" w:hAnsi="Arial"/>
          <w:b w:val="0"/>
          <w:i w:val="0"/>
          <w:color w:val="333333"/>
          <w:sz w:val="22"/>
        </w:rPr>
        <w:t>El cronograma estructurado para la liberación de la v1.0.0 contempla:</w:t>
      </w:r>
    </w:p>
    <w:p>
      <w:pPr>
        <w:pStyle w:val="ListBullet"/>
        <w:spacing w:after="80" w:line="276" w:lineRule="auto"/>
      </w:pPr>
      <w:r>
        <w:rPr>
          <w:rFonts w:ascii="Arial" w:hAnsi="Arial"/>
          <w:b/>
          <w:i w:val="0"/>
          <w:color w:val="333333"/>
          <w:sz w:val="22"/>
        </w:rPr>
        <w:t>T-24 Horas:</w:t>
      </w:r>
      <w:r>
        <w:rPr>
          <w:rFonts w:ascii="Arial" w:hAnsi="Arial"/>
          <w:b w:val="0"/>
          <w:i w:val="0"/>
          <w:color w:val="333333"/>
          <w:sz w:val="22"/>
        </w:rPr>
        <w:t>Congelamiento del repositorio de desarrollo y pruebas QA en el entorno de Staging.</w:t>
      </w:r>
    </w:p>
    <w:p>
      <w:pPr>
        <w:pStyle w:val="ListBullet"/>
        <w:spacing w:after="80" w:line="276" w:lineRule="auto"/>
      </w:pPr>
      <w:r>
        <w:rPr>
          <w:rFonts w:ascii="Arial" w:hAnsi="Arial"/>
          <w:b/>
          <w:i w:val="0"/>
          <w:color w:val="333333"/>
          <w:sz w:val="22"/>
        </w:rPr>
        <w:t>T-6 Horas:</w:t>
      </w:r>
      <w:r>
        <w:rPr>
          <w:rFonts w:ascii="Arial" w:hAnsi="Arial"/>
          <w:b w:val="0"/>
          <w:i w:val="0"/>
          <w:color w:val="333333"/>
          <w:sz w:val="22"/>
        </w:rPr>
        <w:t>Configuración del entorno de producción, bases de datos y variables de entorno (.env.production).</w:t>
      </w:r>
    </w:p>
    <w:p>
      <w:pPr>
        <w:pStyle w:val="ListBullet"/>
        <w:spacing w:after="80" w:line="276" w:lineRule="auto"/>
      </w:pPr>
      <w:r>
        <w:rPr>
          <w:rFonts w:ascii="Arial" w:hAnsi="Arial"/>
          <w:b/>
          <w:i w:val="0"/>
          <w:color w:val="333333"/>
          <w:sz w:val="22"/>
        </w:rPr>
        <w:t>T-0 Horas:</w:t>
      </w:r>
      <w:r>
        <w:rPr>
          <w:rFonts w:ascii="Arial" w:hAnsi="Arial"/>
          <w:b w:val="0"/>
          <w:i w:val="0"/>
          <w:color w:val="333333"/>
          <w:sz w:val="22"/>
        </w:rPr>
        <w:t>Ejecución del despliegue Docker en horario de mínimo tráfico (11:00 PM - 12:00 AM) y comprobación de Healthchecks.</w:t>
      </w:r>
    </w:p>
    <w:p>
      <w:pPr>
        <w:pStyle w:val="ListBullet"/>
        <w:spacing w:after="80" w:line="276" w:lineRule="auto"/>
      </w:pPr>
      <w:r>
        <w:rPr>
          <w:rFonts w:ascii="Arial" w:hAnsi="Arial"/>
          <w:b/>
          <w:i w:val="0"/>
          <w:color w:val="333333"/>
          <w:sz w:val="22"/>
        </w:rPr>
        <w:t>T+1 Hora:</w:t>
      </w:r>
      <w:r>
        <w:rPr>
          <w:rFonts w:ascii="Arial" w:hAnsi="Arial"/>
          <w:b w:val="0"/>
          <w:i w:val="0"/>
          <w:color w:val="333333"/>
          <w:sz w:val="22"/>
        </w:rPr>
        <w:t>Monitoreo de logs mediante Winston y comprobación de métricas de base de datos en caliente.</w:t>
      </w:r>
    </w:p>
    <w:p>
      <w:pPr>
        <w:keepNext/>
        <w:spacing w:before="280" w:after="80"/>
      </w:pPr>
      <w:r>
        <w:rPr>
          <w:rFonts w:ascii="Arial" w:hAnsi="Arial"/>
          <w:b/>
          <w:i w:val="0"/>
          <w:color w:val="1F4E79"/>
          <w:sz w:val="26"/>
        </w:rPr>
        <w:t>5.13 Criterios de Aceptación</w:t>
      </w:r>
    </w:p>
    <w:p>
      <w:pPr>
        <w:spacing w:after="120" w:line="276" w:lineRule="auto"/>
      </w:pPr>
      <w:r>
        <w:rPr>
          <w:rFonts w:ascii="Arial" w:hAnsi="Arial"/>
          <w:b w:val="0"/>
          <w:i w:val="0"/>
          <w:color w:val="333333"/>
          <w:sz w:val="22"/>
        </w:rPr>
        <w:t>Para dar por concluido el proceso de liberación, se deben cumplir los siguientes hitos:</w:t>
      </w:r>
    </w:p>
    <w:p>
      <w:pPr>
        <w:pStyle w:val="ListBullet"/>
        <w:spacing w:after="80" w:line="276" w:lineRule="auto"/>
      </w:pPr>
      <w:r>
        <w:rPr>
          <w:rFonts w:ascii="Arial" w:hAnsi="Arial"/>
          <w:b/>
          <w:i w:val="0"/>
          <w:color w:val="333333"/>
          <w:sz w:val="22"/>
        </w:rPr>
        <w:t>Cero errores críticos:</w:t>
      </w:r>
      <w:r>
        <w:rPr>
          <w:rFonts w:ascii="Arial" w:hAnsi="Arial"/>
          <w:b w:val="0"/>
          <w:i w:val="0"/>
          <w:color w:val="333333"/>
          <w:sz w:val="22"/>
        </w:rPr>
        <w:t>El 100% de las pruebas funcionales obligatorias (TC-01 a TC-10) deben finalizar con estado Aprobado.</w:t>
      </w:r>
    </w:p>
    <w:p>
      <w:pPr>
        <w:pStyle w:val="ListBullet"/>
        <w:spacing w:after="80" w:line="276" w:lineRule="auto"/>
      </w:pPr>
      <w:r>
        <w:rPr>
          <w:rFonts w:ascii="Arial" w:hAnsi="Arial"/>
          <w:b/>
          <w:i w:val="0"/>
          <w:color w:val="333333"/>
          <w:sz w:val="22"/>
        </w:rPr>
        <w:t>Rendimiento óptimo:</w:t>
      </w:r>
      <w:r>
        <w:rPr>
          <w:rFonts w:ascii="Arial" w:hAnsi="Arial"/>
          <w:b w:val="0"/>
          <w:i w:val="0"/>
          <w:color w:val="333333"/>
          <w:sz w:val="22"/>
        </w:rPr>
        <w:t>El tiempo de procesamiento promedio del scanner IA debe ser menor a 2 segundos por imagen.</w:t>
      </w:r>
    </w:p>
    <w:p>
      <w:pPr>
        <w:pStyle w:val="ListBullet"/>
        <w:spacing w:after="80" w:line="276" w:lineRule="auto"/>
      </w:pPr>
      <w:r>
        <w:rPr>
          <w:rFonts w:ascii="Arial" w:hAnsi="Arial"/>
          <w:b/>
          <w:i w:val="0"/>
          <w:color w:val="333333"/>
          <w:sz w:val="22"/>
        </w:rPr>
        <w:t>Cifrado SSL:</w:t>
      </w:r>
      <w:r>
        <w:rPr>
          <w:rFonts w:ascii="Arial" w:hAnsi="Arial"/>
          <w:b w:val="0"/>
          <w:i w:val="0"/>
          <w:color w:val="333333"/>
          <w:sz w:val="22"/>
        </w:rPr>
        <w:t>Toda comunicación externa con la aplicación debe realizarse forzosamente bajo cifrado HTTPS con TLS 1.2 o superior.</w:t>
      </w:r>
    </w:p>
    <w:p>
      <w:pPr>
        <w:keepNext/>
        <w:spacing w:before="280" w:after="80"/>
      </w:pPr>
      <w:r>
        <w:rPr>
          <w:rFonts w:ascii="Arial" w:hAnsi="Arial"/>
          <w:b/>
          <w:i w:val="0"/>
          <w:color w:val="1F4E79"/>
          <w:sz w:val="26"/>
        </w:rPr>
        <w:t>5.14 Recomendaciones para Futuras Versiones</w:t>
      </w:r>
    </w:p>
    <w:p>
      <w:pPr>
        <w:pStyle w:val="ListBullet"/>
        <w:spacing w:after="80" w:line="276" w:lineRule="auto"/>
      </w:pPr>
      <w:r>
        <w:rPr>
          <w:rFonts w:ascii="Arial" w:hAnsi="Arial"/>
          <w:b/>
          <w:i w:val="0"/>
          <w:color w:val="333333"/>
          <w:sz w:val="22"/>
        </w:rPr>
        <w:t>1. Modo Desconectado (Offline Sync):</w:t>
      </w:r>
      <w:r>
        <w:rPr>
          <w:rFonts w:ascii="Arial" w:hAnsi="Arial"/>
          <w:b w:val="0"/>
          <w:i w:val="0"/>
          <w:color w:val="333333"/>
          <w:sz w:val="22"/>
        </w:rPr>
        <w:t>Integrar una base de datos SQLite interna en la app híbrida mediante plugins nativos de Capacitor para almacenar reportes sin conexión e irlos sincronizando progresivamente al recuperar la cobertura.</w:t>
      </w:r>
    </w:p>
    <w:p>
      <w:pPr>
        <w:pStyle w:val="ListBullet"/>
        <w:spacing w:after="80" w:line="276" w:lineRule="auto"/>
      </w:pPr>
      <w:r>
        <w:rPr>
          <w:rFonts w:ascii="Arial" w:hAnsi="Arial"/>
          <w:b/>
          <w:i w:val="0"/>
          <w:color w:val="333333"/>
          <w:sz w:val="22"/>
        </w:rPr>
        <w:t>2. Automatización CI/CD:</w:t>
      </w:r>
      <w:r>
        <w:rPr>
          <w:rFonts w:ascii="Arial" w:hAnsi="Arial"/>
          <w:b w:val="0"/>
          <w:i w:val="0"/>
          <w:color w:val="333333"/>
          <w:sz w:val="22"/>
        </w:rPr>
        <w:t>Configurar un flujo automatizado de CI/CD en GitHub Actions que construya las imágenes Docker y las suba a Docker Hub de forma automática al hacer merge sobre la rama main.</w:t>
      </w:r>
    </w:p>
    <w:p>
      <w:pPr>
        <w:pStyle w:val="ListBullet"/>
        <w:spacing w:after="80" w:line="276" w:lineRule="auto"/>
      </w:pPr>
      <w:r>
        <w:rPr>
          <w:rFonts w:ascii="Arial" w:hAnsi="Arial"/>
          <w:b/>
          <w:i w:val="0"/>
          <w:color w:val="333333"/>
          <w:sz w:val="22"/>
        </w:rPr>
        <w:t>3. Monitoreo Avanzado:</w:t>
      </w:r>
      <w:r>
        <w:rPr>
          <w:rFonts w:ascii="Arial" w:hAnsi="Arial"/>
          <w:b w:val="0"/>
          <w:i w:val="0"/>
          <w:color w:val="333333"/>
          <w:sz w:val="22"/>
        </w:rPr>
        <w:t>Implementar Prometheus junto con un panel visual en Grafana para analizar la tasa de peticiones y tiempos de respuesta de la base de datos relacional y el microservicio de inferencia de IA en producción.</w:t>
      </w:r>
    </w:p>
    <w:p>
      <w:r>
        <w:br w:type="page"/>
      </w:r>
    </w:p>
    <w:p>
      <w:pPr>
        <w:keepNext/>
        <w:spacing w:before="400" w:after="120"/>
      </w:pPr>
      <w:r>
        <w:rPr>
          <w:rFonts w:ascii="Arial" w:hAnsi="Arial"/>
          <w:b/>
          <w:i w:val="0"/>
          <w:color w:val="1F4E79"/>
          <w:sz w:val="32"/>
        </w:rPr>
        <w:t>6. CONCLUSIONES</w:t>
      </w:r>
    </w:p>
    <w:p>
      <w:pPr>
        <w:spacing w:after="120" w:line="276" w:lineRule="auto"/>
      </w:pPr>
      <w:r>
        <w:rPr>
          <w:rFonts w:ascii="Arial" w:hAnsi="Arial"/>
          <w:b w:val="0"/>
          <w:i w:val="0"/>
          <w:color w:val="333333"/>
          <w:sz w:val="22"/>
        </w:rPr>
        <w:t>La realización y documentación de este informe de aseguramiento de calidad, contenerización y plan de liberación de software para PlagaControl permiten consolidar las siguientes conclusiones profesionales de ingeniería:</w:t>
      </w:r>
    </w:p>
    <w:p>
      <w:pPr>
        <w:keepNext/>
        <w:spacing w:before="280" w:after="80"/>
      </w:pPr>
      <w:r>
        <w:rPr>
          <w:rFonts w:ascii="Arial" w:hAnsi="Arial"/>
          <w:b/>
          <w:i w:val="0"/>
          <w:color w:val="1F4E79"/>
          <w:sz w:val="26"/>
        </w:rPr>
        <w:t>6.1 Calidad del Software</w:t>
      </w:r>
    </w:p>
    <w:p>
      <w:pPr>
        <w:spacing w:after="120" w:line="276" w:lineRule="auto"/>
      </w:pPr>
      <w:r>
        <w:rPr>
          <w:rFonts w:ascii="Arial" w:hAnsi="Arial"/>
          <w:b w:val="0"/>
          <w:i w:val="0"/>
          <w:color w:val="333333"/>
          <w:sz w:val="22"/>
        </w:rPr>
        <w:t>El software PlagaControl cuenta con una base estructural de alta calidad, alineada con las directrices de arquitectura modular y limpia. El backend separa adecuadamente sus responsabilidades dividiendo rutas, validaciones con express-validator, lógica de negocio a través de controladores y mapeo de tablas relacionales con Sequelize. El frontend, estructurado en Angular, encapsula adecuadamente sus llamadas HTTP en servicios independientes inyectados, garantizando modularidad y facilitando su mantenimiento.</w:t>
      </w:r>
    </w:p>
    <w:p>
      <w:pPr>
        <w:keepNext/>
        <w:spacing w:before="280" w:after="80"/>
      </w:pPr>
      <w:r>
        <w:rPr>
          <w:rFonts w:ascii="Arial" w:hAnsi="Arial"/>
          <w:b/>
          <w:i w:val="0"/>
          <w:color w:val="1F4E79"/>
          <w:sz w:val="26"/>
        </w:rPr>
        <w:t>6.2 Resultados Obtenidos</w:t>
      </w:r>
    </w:p>
    <w:p>
      <w:pPr>
        <w:spacing w:after="120" w:line="276" w:lineRule="auto"/>
      </w:pPr>
      <w:r>
        <w:rPr>
          <w:rFonts w:ascii="Arial" w:hAnsi="Arial"/>
          <w:b w:val="0"/>
          <w:i w:val="0"/>
          <w:color w:val="333333"/>
          <w:sz w:val="22"/>
        </w:rPr>
        <w:t>La ejecución satisfactoria del plan de pruebas sobre 10 escenarios críticos e integraciones complejas certifica el comportamiento esperado de la aplicación. Se validó con éxito el bloqueo por segundo factor (MFA TOTP), la subida y redimensionado de imágenes compartidas, el mapeo dinámico de coordenadas en Leaflet y el tiempo óptimo de respuesta (menor a un segundo) de las inferencias convolucionales del modelo de machine learning en FastAPI. Las fallas encontradas (como PLG-BUG-001) son de severidad media-baja y cuentan con un plan de corrección claro.</w:t>
      </w:r>
    </w:p>
    <w:p>
      <w:pPr>
        <w:keepNext/>
        <w:spacing w:before="280" w:after="80"/>
      </w:pPr>
      <w:r>
        <w:rPr>
          <w:rFonts w:ascii="Arial" w:hAnsi="Arial"/>
          <w:b/>
          <w:i w:val="0"/>
          <w:color w:val="1F4E79"/>
          <w:sz w:val="26"/>
        </w:rPr>
        <w:t>6.3 Estado del Proyecto</w:t>
      </w:r>
    </w:p>
    <w:p>
      <w:pPr>
        <w:spacing w:after="120" w:line="276" w:lineRule="auto"/>
      </w:pPr>
      <w:r>
        <w:rPr>
          <w:rFonts w:ascii="Arial" w:hAnsi="Arial"/>
          <w:b w:val="0"/>
          <w:i w:val="0"/>
          <w:color w:val="333333"/>
          <w:sz w:val="22"/>
        </w:rPr>
        <w:t>El Proyecto Integrador PlagaControl se encuentra en un estado ESTABLE y LISTO para su liberación productiva. La infraestructura basada en contenedores Docker y orquestada por Docker Compose se encuentra correctamente enlazada con redes virtuales privadas y volúmenes de persistencia. Cumpliendo con los checklist de seguridad, rotación de logs de auditoría y variables de entorno de producción redactadas en este plan, el despliegue en un entorno en la nube puede llevarse a cabo con un riesgo sumamente reducido de inactividad o pérdida de datos.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808080"/>
        <w:sz w:val="18"/>
      </w:rPr>
      <w:t xml:space="preserve">Página </w:t>
    </w:r>
    <w:r>
      <w:fldChar w:fldCharType="begin"/>
      <w:instrText xml:space="preserve">PAGE</w:instrText>
      <w:fldChar w:fldCharType="separate"/>
      <w:fldChar w:fldCharType="end"/>
    </w:r>
    <w:r>
      <w:rPr>
        <w:rFonts w:ascii="Arial" w:hAnsi="Arial"/>
        <w:color w:val="808080"/>
        <w:sz w:val="18"/>
      </w:rP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i/>
        <w:color w:val="808080"/>
        <w:sz w:val="17"/>
      </w:rPr>
      <w:t>PlagaControl 🌿 | Reporte de QA, Contenedores y Plan de Liberación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