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C2 — KUT-FIN-005: Duas vias de comissão (documentado, não unificado)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**ID**</w:t>
            </w:r>
          </w:p>
        </w:tc>
        <w:tc>
          <w:tcPr>
            <w:tcW w:type="dxa" w:w="4320"/>
          </w:tcPr>
          <w:p>
            <w:r>
              <w:t>C2 · **KUT-FIN-005**</w:t>
            </w:r>
          </w:p>
        </w:tc>
      </w:tr>
      <w:tr>
        <w:tc>
          <w:tcPr>
            <w:tcW w:type="dxa" w:w="4320"/>
          </w:tcPr>
          <w:p>
            <w:r>
              <w:t>**Versão**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**Data**</w:t>
            </w:r>
          </w:p>
        </w:tc>
        <w:tc>
          <w:tcPr>
            <w:tcW w:type="dxa" w:w="4320"/>
          </w:tcPr>
          <w:p>
            <w:r>
              <w:t>2026-08-28</w:t>
            </w:r>
          </w:p>
        </w:tc>
      </w:tr>
      <w:tr>
        <w:tc>
          <w:tcPr>
            <w:tcW w:type="dxa" w:w="4320"/>
          </w:tcPr>
          <w:p>
            <w:r>
              <w:t>**Estado**</w:t>
            </w:r>
          </w:p>
        </w:tc>
        <w:tc>
          <w:tcPr>
            <w:tcW w:type="dxa" w:w="4320"/>
          </w:tcPr>
          <w:p>
            <w:r>
              <w:t>Documentado — **sem alteração SQL/RPC/UI**</w:t>
            </w:r>
          </w:p>
        </w:tc>
      </w:tr>
      <w:tr>
        <w:tc>
          <w:tcPr>
            <w:tcW w:type="dxa" w:w="4320"/>
          </w:tcPr>
          <w:p>
            <w:r>
              <w:t>**Regra de negócio**</w:t>
            </w:r>
          </w:p>
        </w:tc>
        <w:tc>
          <w:tcPr>
            <w:tcW w:type="dxa" w:w="4320"/>
          </w:tcPr>
          <w:p>
            <w:r>
              <w:t>Comissão de activação **35%** controlada **exclusivamente pelo Founder/Owner**</w:t>
            </w:r>
          </w:p>
        </w:tc>
      </w:tr>
    </w:tbl>
    <w:p/>
    <w:p>
      <w:pPr>
        <w:pStyle w:val="Heading2"/>
      </w:pPr>
      <w:r>
        <w:t>Regra permanente (negócio)</w:t>
      </w:r>
    </w:p>
    <w:p>
      <w:pPr>
        <w:pStyle w:val="ListNumber"/>
      </w:pPr>
      <w:r>
        <w:t>A comissão de activação de intermediação (1.º mês de arrendamento) default **35%** aplica-se quando a Kuteka apenas intermedia (sem obras).</w:t>
      </w:r>
    </w:p>
    <w:p>
      <w:pPr>
        <w:pStyle w:val="ListNumber"/>
      </w:pPr>
      <w:r>
        <w:t>Alteração deste parâmetro é **privilégio Founder/Owner** — não Super Admin genérico, não Prestador, não Agente.</w:t>
      </w:r>
    </w:p>
    <w:p>
      <w:pPr>
        <w:pStyle w:val="ListNumber"/>
      </w:pPr>
      <w:r>
        <w:t>**Sem retroactividade** sobre contratos já fechados.</w:t>
      </w:r>
    </w:p>
    <w:p>
      <w:pPr>
        <w:pStyle w:val="ListNumber"/>
      </w:pPr>
      <w:r>
        <w:t>Política formal: [KUT-POL-005](../compliance/KUT-POL_CMP_BCP_DRP_INC_PACK_v0.1.md#kut-pol-005--política-de-comissões).</w:t>
      </w:r>
    </w:p>
    <w:p>
      <w:pPr>
        <w:pStyle w:val="Heading2"/>
      </w:pPr>
      <w:r>
        <w:t>Via A — `platform_commission_params` + `founder_set_commission_param`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Aspecto</w:t>
            </w:r>
          </w:p>
        </w:tc>
        <w:tc>
          <w:tcPr>
            <w:tcW w:type="dxa" w:w="4320"/>
          </w:tcPr>
          <w:p>
            <w:r>
              <w:t>Detalhe</w:t>
            </w:r>
          </w:p>
        </w:tc>
      </w:tr>
      <w:tr>
        <w:tc>
          <w:tcPr>
            <w:tcW w:type="dxa" w:w="4320"/>
          </w:tcPr>
          <w:p>
            <w:r>
              <w:t>**Tabela**</w:t>
            </w:r>
          </w:p>
        </w:tc>
        <w:tc>
          <w:tcPr>
            <w:tcW w:type="dxa" w:w="4320"/>
          </w:tcPr>
          <w:p>
            <w:r>
              <w:t>`public.platform_commission_params`</w:t>
            </w:r>
          </w:p>
        </w:tc>
      </w:tr>
      <w:tr>
        <w:tc>
          <w:tcPr>
            <w:tcW w:type="dxa" w:w="4320"/>
          </w:tcPr>
          <w:p>
            <w:r>
              <w:t>**RPC**</w:t>
            </w:r>
          </w:p>
        </w:tc>
        <w:tc>
          <w:tcPr>
            <w:tcW w:type="dxa" w:w="4320"/>
          </w:tcPr>
          <w:p>
            <w:r>
              <w:t>`public.founder_set_commission_param(p_code, p_value_numeric, p_notes)`</w:t>
            </w:r>
          </w:p>
        </w:tc>
      </w:tr>
      <w:tr>
        <w:tc>
          <w:tcPr>
            <w:tcW w:type="dxa" w:w="4320"/>
          </w:tcPr>
          <w:p>
            <w:r>
              <w:t>**Migration**</w:t>
            </w:r>
          </w:p>
        </w:tc>
        <w:tc>
          <w:tcPr>
            <w:tcW w:type="dxa" w:w="4320"/>
          </w:tcPr>
          <w:p>
            <w:r>
              <w:t>`supabase/migrations/0036_trust_governance_gate.sql` (override em `0037`)</w:t>
            </w:r>
          </w:p>
        </w:tc>
      </w:tr>
      <w:tr>
        <w:tc>
          <w:tcPr>
            <w:tcW w:type="dxa" w:w="4320"/>
          </w:tcPr>
          <w:p>
            <w:r>
              <w:t>**Seed default**</w:t>
            </w:r>
          </w:p>
        </w:tc>
        <w:tc>
          <w:tcPr>
            <w:tcW w:type="dxa" w:w="4320"/>
          </w:tcPr>
          <w:p>
            <w:r>
              <w:t>`activation_intermediation_first_month_pct = 35.0000` (percent)</w:t>
            </w:r>
          </w:p>
        </w:tc>
      </w:tr>
      <w:tr>
        <w:tc>
          <w:tcPr>
            <w:tcW w:type="dxa" w:w="4320"/>
          </w:tcPr>
          <w:p>
            <w:r>
              <w:t>**Autorização**</w:t>
            </w:r>
          </w:p>
        </w:tc>
        <w:tc>
          <w:tcPr>
            <w:tcW w:type="dxa" w:w="4320"/>
          </w:tcPr>
          <w:p>
            <w:r>
              <w:t>`is_platform_owner()` OR `is_founder()`</w:t>
            </w:r>
          </w:p>
        </w:tc>
      </w:tr>
      <w:tr>
        <w:tc>
          <w:tcPr>
            <w:tcW w:type="dxa" w:w="4320"/>
          </w:tcPr>
          <w:p>
            <w:r>
              <w:t>**UI plataforma**</w:t>
            </w:r>
          </w:p>
        </w:tc>
        <w:tc>
          <w:tcPr>
            <w:tcW w:type="dxa" w:w="4320"/>
          </w:tcPr>
          <w:p>
            <w:r>
              <w:t>**Nenhuma** — acesso via RPC/SQL apenas</w:t>
            </w:r>
          </w:p>
        </w:tc>
      </w:tr>
      <w:tr>
        <w:tc>
          <w:tcPr>
            <w:tcW w:type="dxa" w:w="4320"/>
          </w:tcPr>
          <w:p>
            <w:r>
              <w:t>**Auditoria**</w:t>
            </w:r>
          </w:p>
        </w:tc>
        <w:tc>
          <w:tcPr>
            <w:tcW w:type="dxa" w:w="4320"/>
          </w:tcPr>
          <w:p>
            <w:r>
              <w:t>`updated_at`, `updated_by` na tabela</w:t>
            </w:r>
          </w:p>
        </w:tc>
      </w:tr>
      <w:tr>
        <w:tc>
          <w:tcPr>
            <w:tcW w:type="dxa" w:w="4320"/>
          </w:tcPr>
          <w:p>
            <w:r>
              <w:t>**Modelo**</w:t>
            </w:r>
          </w:p>
        </w:tc>
        <w:tc>
          <w:tcPr>
            <w:tcW w:type="dxa" w:w="4320"/>
          </w:tcPr>
          <w:p>
            <w:r>
              <w:t>Parâmetros versionáveis por `code` (chave-valor)</w:t>
            </w:r>
          </w:p>
        </w:tc>
      </w:tr>
    </w:tbl>
    <w:p/>
    <w:p>
      <w:pPr>
        <w:pStyle w:val="Heading3"/>
      </w:pPr>
      <w:r>
        <w:t>Quando usar (intenção documental)</w:t>
      </w:r>
    </w:p>
    <w:p>
      <w:r>
        <w:t>Parâmetros estratégicos de plataforma definidos pelo Founder/Owner, especialmente comissão de activação 35%.</w:t>
      </w:r>
    </w:p>
    <w:p>
      <w:pPr>
        <w:pStyle w:val="Heading2"/>
      </w:pPr>
      <w:r>
        <w:t>Via B — `finance_commission_rules` + `finance_set_commission`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Aspecto</w:t>
            </w:r>
          </w:p>
        </w:tc>
        <w:tc>
          <w:tcPr>
            <w:tcW w:type="dxa" w:w="4320"/>
          </w:tcPr>
          <w:p>
            <w:r>
              <w:t>Detalhe</w:t>
            </w:r>
          </w:p>
        </w:tc>
      </w:tr>
      <w:tr>
        <w:tc>
          <w:tcPr>
            <w:tcW w:type="dxa" w:w="4320"/>
          </w:tcPr>
          <w:p>
            <w:r>
              <w:t>**Tabela**</w:t>
            </w:r>
          </w:p>
        </w:tc>
        <w:tc>
          <w:tcPr>
            <w:tcW w:type="dxa" w:w="4320"/>
          </w:tcPr>
          <w:p>
            <w:r>
              <w:t>`public.finance_commission_rules`</w:t>
            </w:r>
          </w:p>
        </w:tc>
      </w:tr>
      <w:tr>
        <w:tc>
          <w:tcPr>
            <w:tcW w:type="dxa" w:w="4320"/>
          </w:tcPr>
          <w:p>
            <w:r>
              <w:t>**RPC**</w:t>
            </w:r>
          </w:p>
        </w:tc>
        <w:tc>
          <w:tcPr>
            <w:tcW w:type="dxa" w:w="4320"/>
          </w:tcPr>
          <w:p>
            <w:r>
              <w:t>`public.finance_set_commission(...)`</w:t>
            </w:r>
          </w:p>
        </w:tc>
      </w:tr>
      <w:tr>
        <w:tc>
          <w:tcPr>
            <w:tcW w:type="dxa" w:w="4320"/>
          </w:tcPr>
          <w:p>
            <w:r>
              <w:t>**Migration**</w:t>
            </w:r>
          </w:p>
        </w:tc>
        <w:tc>
          <w:tcPr>
            <w:tcW w:type="dxa" w:w="4320"/>
          </w:tcPr>
          <w:p>
            <w:r>
              <w:t>`supabase/migrations/0021_finance_infra_fase_a.sql`</w:t>
            </w:r>
          </w:p>
        </w:tc>
      </w:tr>
      <w:tr>
        <w:tc>
          <w:tcPr>
            <w:tcW w:type="dxa" w:w="4320"/>
          </w:tcPr>
          <w:p>
            <w:r>
              <w:t>**UI**</w:t>
            </w:r>
          </w:p>
        </w:tc>
        <w:tc>
          <w:tcPr>
            <w:tcW w:type="dxa" w:w="4320"/>
          </w:tcPr>
          <w:p>
            <w:r>
              <w:t>Super Command → painel financeiro / `PricingPanel`</w:t>
            </w:r>
          </w:p>
        </w:tc>
      </w:tr>
      <w:tr>
        <w:tc>
          <w:tcPr>
            <w:tcW w:type="dxa" w:w="4320"/>
          </w:tcPr>
          <w:p>
            <w:r>
              <w:t>**Autorização**</w:t>
            </w:r>
          </w:p>
        </w:tc>
        <w:tc>
          <w:tcPr>
            <w:tcW w:type="dxa" w:w="4320"/>
          </w:tcPr>
          <w:p>
            <w:r>
              <w:t>Permissões finance Super (`finance.*`)</w:t>
            </w:r>
          </w:p>
        </w:tc>
      </w:tr>
      <w:tr>
        <w:tc>
          <w:tcPr>
            <w:tcW w:type="dxa" w:w="4320"/>
          </w:tcPr>
          <w:p>
            <w:r>
              <w:t>**Modelo**</w:t>
            </w:r>
          </w:p>
        </w:tc>
        <w:tc>
          <w:tcPr>
            <w:tcW w:type="dxa" w:w="4320"/>
          </w:tcPr>
          <w:p>
            <w:r>
              <w:t>Regras por produto/serviço/canal com percentuais, flags, vigência</w:t>
            </w:r>
          </w:p>
        </w:tc>
      </w:tr>
    </w:tbl>
    <w:p/>
    <w:p>
      <w:pPr>
        <w:pStyle w:val="Heading3"/>
      </w:pPr>
      <w:r>
        <w:t>Quando usar (intenção documental)</w:t>
      </w:r>
    </w:p>
    <w:p>
      <w:r>
        <w:t>Regras comerciais operacionais geridas pelo Super Admin no cockpit financeiro (marketplace, serviços, take rates).</w:t>
      </w:r>
    </w:p>
    <w:p>
      <w:pPr>
        <w:pStyle w:val="Heading2"/>
      </w:pPr>
      <w:r>
        <w:t>Risco documentado — divergência</w:t>
      </w:r>
    </w:p>
    <w:p>
      <w:r>
        <w:t>As duas vias podem produzir valores diferentes se não forem alinhadas manualmente. Exemplo: 35% em platform_commission_params vs regra distinta em finance_commission_rules.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Risco</w:t>
            </w:r>
          </w:p>
        </w:tc>
        <w:tc>
          <w:tcPr>
            <w:tcW w:type="dxa" w:w="2880"/>
          </w:tcPr>
          <w:p>
            <w:r>
              <w:t>Severidade</w:t>
            </w:r>
          </w:p>
        </w:tc>
        <w:tc>
          <w:tcPr>
            <w:tcW w:type="dxa" w:w="2880"/>
          </w:tcPr>
          <w:p>
            <w:r>
              <w:t>Mitigação Fase 0</w:t>
            </w:r>
          </w:p>
        </w:tc>
      </w:tr>
      <w:tr>
        <w:tc>
          <w:tcPr>
            <w:tcW w:type="dxa" w:w="2880"/>
          </w:tcPr>
          <w:p>
            <w:r>
              <w:t>Super altera comissão sem alinhar Founder param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  <w:tc>
          <w:tcPr>
            <w:tcW w:type="dxa" w:w="2880"/>
          </w:tcPr>
          <w:p>
            <w:r>
              <w:t>Documentar; decisão D1 pendente</w:t>
            </w:r>
          </w:p>
        </w:tc>
      </w:tr>
      <w:tr>
        <w:tc>
          <w:tcPr>
            <w:tcW w:type="dxa" w:w="2880"/>
          </w:tcPr>
          <w:p>
            <w:r>
              <w:t>Founder altera param sem refletir regras Super</w:t>
            </w:r>
          </w:p>
        </w:tc>
        <w:tc>
          <w:tcPr>
            <w:tcW w:type="dxa" w:w="2880"/>
          </w:tcPr>
          <w:p>
            <w:r>
              <w:t>Alta</w:t>
            </w:r>
          </w:p>
        </w:tc>
        <w:tc>
          <w:tcPr>
            <w:tcW w:type="dxa" w:w="2880"/>
          </w:tcPr>
          <w:p>
            <w:r>
              <w:t>Checklist reconciliação manual</w:t>
            </w:r>
          </w:p>
        </w:tc>
      </w:tr>
      <w:tr>
        <w:tc>
          <w:tcPr>
            <w:tcW w:type="dxa" w:w="2880"/>
          </w:tcPr>
          <w:p>
            <w:r>
              <w:t>Utilizador vê preço inconsistente</w:t>
            </w:r>
          </w:p>
        </w:tc>
        <w:tc>
          <w:tcPr>
            <w:tcW w:type="dxa" w:w="2880"/>
          </w:tcPr>
          <w:p>
            <w:r>
              <w:t>Média</w:t>
            </w:r>
          </w:p>
        </w:tc>
        <w:tc>
          <w:tcPr>
            <w:tcW w:type="dxa" w:w="2880"/>
          </w:tcPr>
          <w:p>
            <w:r>
              <w:t>Sandbox only até unificação</w:t>
            </w:r>
          </w:p>
        </w:tc>
      </w:tr>
    </w:tbl>
    <w:p/>
    <w:p>
      <w:pPr>
        <w:pStyle w:val="Heading2"/>
      </w:pPr>
      <w:r>
        <w:t>Decisão Founder pendente (D1)</w:t>
      </w:r>
    </w:p>
    <w:p>
      <w:r>
        <w:t>Fonte única de verdade para comissão de activação 35%:</w:t>
      </w:r>
    </w:p>
    <w:p>
      <w:pPr>
        <w:pStyle w:val="ListBullet"/>
      </w:pPr>
      <w:r>
        <w:t>[ ] Via A — `platform_commission_params` (Founder-only)</w:t>
      </w:r>
    </w:p>
    <w:p>
      <w:pPr>
        <w:pStyle w:val="ListBullet"/>
      </w:pPr>
      <w:r>
        <w:t>[ ] Via B — `finance_commission_rules` (Super UI)</w:t>
      </w:r>
    </w:p>
    <w:p>
      <w:pPr>
        <w:pStyle w:val="ListBullet"/>
      </w:pPr>
      <w:r>
        <w:t>[ ] Híbrido documentado (A = default estratégico; B = derivação operacional)</w:t>
      </w:r>
    </w:p>
    <w:p>
      <w:pPr>
        <w:pStyle w:val="ListBullet"/>
      </w:pPr>
      <w:r>
        <w:t>[ ] Manter dual até data X</w:t>
      </w:r>
    </w:p>
    <w:p>
      <w:r>
        <w:t>Unificação de código: tarefa posterior, bloqueada até D1 resolvido.</w:t>
      </w:r>
    </w:p>
    <w:p>
      <w:pPr>
        <w:pStyle w:val="Heading2"/>
      </w:pPr>
      <w:r>
        <w:t>Sequência recomendada pós-D1</w:t>
      </w:r>
    </w:p>
    <w:p>
      <w:pPr>
        <w:pStyle w:val="ListNumber"/>
      </w:pPr>
      <w:r>
        <w:t>Founder declara fonte única</w:t>
      </w:r>
    </w:p>
    <w:p>
      <w:pPr>
        <w:pStyle w:val="ListNumber"/>
      </w:pPr>
      <w:r>
        <w:t>`AUTORIZO: FASE X — unificação comissão`</w:t>
      </w:r>
    </w:p>
    <w:p>
      <w:pPr>
        <w:pStyle w:val="ListNumber"/>
      </w:pPr>
      <w:r>
        <w:t>Migration compatível (sem apagar histórico)</w:t>
      </w:r>
    </w:p>
    <w:p>
      <w:pPr>
        <w:pStyle w:val="ListNumber"/>
      </w:pPr>
      <w:r>
        <w:t>UI única Founder ou Super conforme RACI FIN-003</w:t>
      </w:r>
    </w:p>
    <w:p>
      <w:pPr>
        <w:pStyle w:val="ListNumber"/>
      </w:pPr>
      <w:r>
        <w:t>Testes + auditoria</w:t>
      </w:r>
    </w:p>
    <w:p>
      <w:pPr>
        <w:pStyle w:val="Heading2"/>
      </w:pPr>
      <w:r>
        <w:t>Referências código (somente leitura — Fase 0)</w:t>
      </w:r>
    </w:p>
    <w:p>
      <w:pPr>
        <w:pStyle w:val="ListBullet"/>
      </w:pPr>
      <w:r>
        <w:t>`supabase/migrations/0036_trust_governance_gate.sql` — linhas ~400–469</w:t>
      </w:r>
    </w:p>
    <w:p>
      <w:pPr>
        <w:pStyle w:val="ListBullet"/>
      </w:pPr>
      <w:r>
        <w:t>`supabase/migrations/0021_finance_infra_fase_a.sql` — `finance_set_commission`</w:t>
      </w:r>
    </w:p>
    <w:p>
      <w:pPr>
        <w:pStyle w:val="ListBullet"/>
      </w:pPr>
      <w:r>
        <w:t>`docs/finance/ARQUITETURA_FINANCEIRA_KUTEKA.md` — v1.0 (pré-governança)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