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0 — Registo de Decisões Pendentes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Activo — **não resolver unilateralmente**</w:t>
            </w:r>
          </w:p>
        </w:tc>
      </w:tr>
      <w:tr>
        <w:tc>
          <w:tcPr>
            <w:tcW w:type="dxa" w:w="4320"/>
          </w:tcPr>
          <w:p>
            <w:r>
              <w:t>**Formato**</w:t>
            </w:r>
          </w:p>
        </w:tc>
        <w:tc>
          <w:tcPr>
            <w:tcW w:type="dxa" w:w="4320"/>
          </w:tcPr>
          <w:p>
            <w:r>
              <w:t>Cada item = `DECISÃO PENDENTE` conforme autorização final Fase 0</w:t>
            </w:r>
          </w:p>
        </w:tc>
      </w:tr>
    </w:tbl>
    <w:p/>
    <w:p>
      <w:r>
        <w:t>&gt; Regra: nenhuma destas questões autoriza código, migration, deploy ou alteração substantiva até decisão explícita do responsável indicado.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D1 — Fonte única comissão activação 35%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Qual via é fonte única de verdade para comissão de activação 35%?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C2, FIN-005, POL-005, Master Table FIN-005, Decision Register DEC-2026-004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(A) `platform_commission_params` Founder-only · (B) `finance_commission_rules` Super UI · (C) Híbrido A+B · (D) Manter dual até data X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Divergência preços; risco Super alterar sem alinhar Founder; unificação código bloqueada até decisão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de `AUTORIZO: FASE X — unificação comissão`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D3 — Política demo vs público Beta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Como rotular/confinar contas e dados DEMO para não confundir utilizadores Beta?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Beta Charter v2 §3, Doc3 BETA-04, QA Playbook T4 nota, Decision Register DEC-2026-005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Demo interno only · Badge "Exemplo/Ilustrativo" público · Bloqueio total demo em prod Beta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Percepção enganosa; métricas Beta inválidas; confiança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de ciclo Beta público amplo (BETA-40)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D4 — Nível Growth Engine na Beta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Até que nível N0–N5 activar Growth funcional durante Beta pública?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Growth Paper §2/§11, Doc3 GROWTH-22, Beta Charter, Decision Register DEC-2026-006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N0 nada · N1 instrumentação · N2 partilha · N3+ referral/campanhas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Scope creep; confusão Pay vs pontos; compliance campanhas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de qualquer código Growth Engine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D5 — Activar alteração de email Founder/Co-Founder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Activar agora o fluxo completo de alteração de email via Security Center?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ADR-027 §4–5, Doc3 DOC3-29.14/29.7, Decision Register DEC-2026-007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(A) Manter preparado, não activar (Fase 0) · (B) Activar com testes §29.12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Activar cedo sem testes = regressão RBAC/audit; adiar = dependência email pessoal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Fase dedicada identidade + suite testes ADR-027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D7 — Papel contabilista na plataforma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Contabilista externo tem login RBAC dedicado ou apenas canal documental/off-platform?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FIN pack §RACI, FIN-003, FIN-008, GOV-003, Decision Register DEC-2026-008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(A) Papel read-only futuro · (B) Sem login — entrega mensal offline · (C) Portal export Founder-only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RACI incompleto; acesso indevido a dados financeiros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 + **Contabilista**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de FIN-008 operacional e pagamentos reais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D-LEG — Validação instrumentos legais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Aprovação formal LEG-001–003 (Pay, comissões, marketplace) por advogado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LEG pack, ADVICE registry spec, Master Table KUT-ADVICE-*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Validado / Pendente / Rejeitado por instrumento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Pay real e comissões reais bloqueados sem parecer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**Advogado** + 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Kuteka Pay produção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D-FIN — Validação tratamento contabilístico comissões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Tratamento contabilístico/fiscal comissão 35% e fluxos sandbox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FIN-001, FIN-005, FIN-008, KUT-ADVICE-002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Conforme parecer contabilista registado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Risco fiscal; reporting incorrecto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**Contabilista** + 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activação financeira real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D-BCP — Promover BCP/DRP v0.9 → KUT formais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Executar renomeação/promoção documental BCP v0.9 e DRP v0.9 para KUT-BCP-001 / KUT-DRP-001?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Compliance pack §POL-010, Master Table BCP/DRP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(A) Promover header KUT mantendo conteúdo · (B) Aguardar revisão ops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Duplicação nomes; confusão auditoria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 + **Ops**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Fase documental ops ou Fase 1 infra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Precedência documental (já estabelecida — não alterar)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Conflito</w:t>
            </w:r>
          </w:p>
        </w:tc>
        <w:tc>
          <w:tcPr>
            <w:tcW w:type="dxa" w:w="4320"/>
          </w:tcPr>
          <w:p>
            <w:r>
              <w:t>Regra prevalecente</w:t>
            </w:r>
          </w:p>
        </w:tc>
      </w:tr>
      <w:tr>
        <w:tc>
          <w:tcPr>
            <w:tcW w:type="dxa" w:w="4320"/>
          </w:tcPr>
          <w:p>
            <w:r>
              <w:t>FIN IDs Doc1 vs Doc2</w:t>
            </w:r>
          </w:p>
        </w:tc>
        <w:tc>
          <w:tcPr>
            <w:tcW w:type="dxa" w:w="4320"/>
          </w:tcPr>
          <w:p>
            <w:r>
              <w:t>**C1** (2026-08-28 Founder)</w:t>
            </w:r>
          </w:p>
        </w:tc>
      </w:tr>
      <w:tr>
        <w:tc>
          <w:tcPr>
            <w:tcW w:type="dxa" w:w="4320"/>
          </w:tcPr>
          <w:p>
            <w:r>
              <w:t>Comissão dual path</w:t>
            </w:r>
          </w:p>
        </w:tc>
        <w:tc>
          <w:tcPr>
            <w:tcW w:type="dxa" w:w="4320"/>
          </w:tcPr>
          <w:p>
            <w:r>
              <w:t>**C2** documenta ambas; **D1** resolve</w:t>
            </w:r>
          </w:p>
        </w:tc>
      </w:tr>
      <w:tr>
        <w:tc>
          <w:tcPr>
            <w:tcW w:type="dxa" w:w="4320"/>
          </w:tcPr>
          <w:p>
            <w:r>
              <w:t>Beta Charter v1.4 vs v2</w:t>
            </w:r>
          </w:p>
        </w:tc>
        <w:tc>
          <w:tcPr>
            <w:tcW w:type="dxa" w:w="4320"/>
          </w:tcPr>
          <w:p>
            <w:r>
              <w:t>**Ambos** — v1.4 sprints; v2 ecossistema</w:t>
            </w:r>
          </w:p>
        </w:tc>
      </w:tr>
      <w:tr>
        <w:tc>
          <w:tcPr>
            <w:tcW w:type="dxa" w:w="4320"/>
          </w:tcPr>
          <w:p>
            <w:r>
              <w:t>Growth vs Beta freeze</w:t>
            </w:r>
          </w:p>
        </w:tc>
        <w:tc>
          <w:tcPr>
            <w:tcW w:type="dxa" w:w="4320"/>
          </w:tcPr>
          <w:p>
            <w:r>
              <w:t>**Growth bloqueado** até **D4**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Referências</w:t>
      </w:r>
    </w:p>
    <w:p>
      <w:pPr>
        <w:pStyle w:val="ListBullet"/>
      </w:pPr>
      <w:r>
        <w:t>[Decision Register template](../templates/KUT-GOV-002_DECISION_REGISTER_TEMPLATE.md)</w:t>
      </w:r>
    </w:p>
    <w:p>
      <w:pPr>
        <w:pStyle w:val="ListBullet"/>
      </w:pPr>
      <w:r>
        <w:t>[Handover](./KUTEKA_FASE0_HANDOVER_2026-08-28.md)</w:t>
      </w:r>
    </w:p>
    <w:p>
      <w:pPr>
        <w:pStyle w:val="ListBullet"/>
      </w:pPr>
      <w:r>
        <w:t>[Manifest](./KUTEKA_FASE0_DELIVERY_MANIFEST_2026-08-28.md)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