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 — Normalização documental KUT-FIN (conflitos resolvidos)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Aprovado pelo Founder (base de trabalho)</w:t>
            </w:r>
          </w:p>
        </w:tc>
      </w:tr>
      <w:tr>
        <w:tc>
          <w:tcPr>
            <w:tcW w:type="dxa" w:w="4320"/>
          </w:tcPr>
          <w:p>
            <w:r>
              <w:t>**Tipo**</w:t>
            </w:r>
          </w:p>
        </w:tc>
        <w:tc>
          <w:tcPr>
            <w:tcW w:type="dxa" w:w="4320"/>
          </w:tcPr>
          <w:p>
            <w:r>
              <w:t>Normalização documental — **sem alteração de código**</w:t>
            </w:r>
          </w:p>
        </w:tc>
      </w:tr>
    </w:tbl>
    <w:p/>
    <w:p>
      <w:pPr>
        <w:pStyle w:val="Heading2"/>
      </w:pPr>
      <w:r>
        <w:t>Decisão Founder (2026-08-28)</w:t>
      </w:r>
    </w:p>
    <w:p>
      <w:r>
        <w:t>Adoptada provisoriamente a seguinte atribuição canónica de IDs financeiros: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Título canonical</w:t>
            </w:r>
          </w:p>
        </w:tc>
        <w:tc>
          <w:tcPr>
            <w:tcW w:type="dxa" w:w="2160"/>
          </w:tcPr>
          <w:p>
            <w:r>
              <w:t>Fonte prevalecente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**KUT-FIN-001**</w:t>
            </w:r>
          </w:p>
        </w:tc>
        <w:tc>
          <w:tcPr>
            <w:tcW w:type="dxa" w:w="2160"/>
          </w:tcPr>
          <w:p>
            <w:r>
              <w:t>Modelo Financeiro e Contabilístico / Financial Governance Policy</w:t>
            </w:r>
          </w:p>
        </w:tc>
        <w:tc>
          <w:tcPr>
            <w:tcW w:type="dxa" w:w="2160"/>
          </w:tcPr>
          <w:p>
            <w:r>
              <w:t>Doc 1 + Doc 2 (mesmo intent)</w:t>
            </w:r>
          </w:p>
        </w:tc>
        <w:tc>
          <w:tcPr>
            <w:tcW w:type="dxa" w:w="2160"/>
          </w:tcPr>
          <w:p>
            <w:r>
              <w:t>Documento-mestre</w:t>
            </w:r>
          </w:p>
        </w:tc>
      </w:tr>
      <w:tr>
        <w:tc>
          <w:tcPr>
            <w:tcW w:type="dxa" w:w="2160"/>
          </w:tcPr>
          <w:p>
            <w:r>
              <w:t>**KUT-FIN-002**</w:t>
            </w:r>
          </w:p>
        </w:tc>
        <w:tc>
          <w:tcPr>
            <w:tcW w:type="dxa" w:w="2160"/>
          </w:tcPr>
          <w:p>
            <w:r>
              <w:t>**Financial Flow Map**</w:t>
            </w:r>
          </w:p>
        </w:tc>
        <w:tc>
          <w:tcPr>
            <w:tcW w:type="dxa" w:w="2160"/>
          </w:tcPr>
          <w:p>
            <w:r>
              <w:t>Doc 2</w:t>
            </w:r>
          </w:p>
        </w:tc>
        <w:tc>
          <w:tcPr>
            <w:tcW w:type="dxa" w:w="2160"/>
          </w:tcPr>
          <w:p>
            <w:r>
              <w:t>Mapa de fluxos dinheiro</w:t>
            </w:r>
          </w:p>
        </w:tc>
      </w:tr>
      <w:tr>
        <w:tc>
          <w:tcPr>
            <w:tcW w:type="dxa" w:w="2160"/>
          </w:tcPr>
          <w:p>
            <w:r>
              <w:t>**KUT-FIN-003**</w:t>
            </w:r>
          </w:p>
        </w:tc>
        <w:tc>
          <w:tcPr>
            <w:tcW w:type="dxa" w:w="2160"/>
          </w:tcPr>
          <w:p>
            <w:r>
              <w:t>**Payment &amp; Financial RACI**</w:t>
            </w:r>
          </w:p>
        </w:tc>
        <w:tc>
          <w:tcPr>
            <w:tcW w:type="dxa" w:w="2160"/>
          </w:tcPr>
          <w:p>
            <w:r>
              <w:t>Doc 2</w:t>
            </w:r>
          </w:p>
        </w:tc>
        <w:tc>
          <w:tcPr>
            <w:tcW w:type="dxa" w:w="2160"/>
          </w:tcPr>
          <w:p>
            <w:r>
              <w:t>Matriz R/A/C/I financeira</w:t>
            </w:r>
          </w:p>
        </w:tc>
      </w:tr>
      <w:tr>
        <w:tc>
          <w:tcPr>
            <w:tcW w:type="dxa" w:w="2160"/>
          </w:tcPr>
          <w:p>
            <w:r>
              <w:t>**KUT-FIN-004**</w:t>
            </w:r>
          </w:p>
        </w:tc>
        <w:tc>
          <w:tcPr>
            <w:tcW w:type="dxa" w:w="2160"/>
          </w:tcPr>
          <w:p>
            <w:r>
              <w:t>**Financial Classification Map**</w:t>
            </w:r>
          </w:p>
        </w:tc>
        <w:tc>
          <w:tcPr>
            <w:tcW w:type="dxa" w:w="2160"/>
          </w:tcPr>
          <w:p>
            <w:r>
              <w:t>Doc 2</w:t>
            </w:r>
          </w:p>
        </w:tc>
        <w:tc>
          <w:tcPr>
            <w:tcW w:type="dxa" w:w="2160"/>
          </w:tcPr>
          <w:p>
            <w:r>
              <w:t>Plano de contas / classificação</w:t>
            </w:r>
          </w:p>
        </w:tc>
      </w:tr>
      <w:tr>
        <w:tc>
          <w:tcPr>
            <w:tcW w:type="dxa" w:w="2160"/>
          </w:tcPr>
          <w:p>
            <w:r>
              <w:t>**KUT-FIN-005**</w:t>
            </w:r>
          </w:p>
        </w:tc>
        <w:tc>
          <w:tcPr>
            <w:tcW w:type="dxa" w:w="2160"/>
          </w:tcPr>
          <w:p>
            <w:r>
              <w:t>Commission Management Policy</w:t>
            </w:r>
          </w:p>
        </w:tc>
        <w:tc>
          <w:tcPr>
            <w:tcW w:type="dxa" w:w="2160"/>
          </w:tcPr>
          <w:p>
            <w:r>
              <w:t>Doc 1 + Doc 2</w:t>
            </w:r>
          </w:p>
        </w:tc>
        <w:tc>
          <w:tcPr>
            <w:tcW w:type="dxa" w:w="2160"/>
          </w:tcPr>
          <w:p>
            <w:r>
              <w:t>Ver [C2](./C2_KUT-FIN-005_DUAL_COMMISSION_PATHS.md)</w:t>
            </w:r>
          </w:p>
        </w:tc>
      </w:tr>
      <w:tr>
        <w:tc>
          <w:tcPr>
            <w:tcW w:type="dxa" w:w="2160"/>
          </w:tcPr>
          <w:p>
            <w:r>
              <w:t>**KUT-FIN-006**</w:t>
            </w:r>
          </w:p>
        </w:tc>
        <w:tc>
          <w:tcPr>
            <w:tcW w:type="dxa" w:w="2160"/>
          </w:tcPr>
          <w:p>
            <w:r>
              <w:t>Payment &amp; Collection Policy</w:t>
            </w:r>
          </w:p>
        </w:tc>
        <w:tc>
          <w:tcPr>
            <w:tcW w:type="dxa" w:w="2160"/>
          </w:tcPr>
          <w:p>
            <w:r>
              <w:t>Doc 1</w:t>
            </w:r>
          </w:p>
        </w:tc>
        <w:tc>
          <w:tcPr>
            <w:tcW w:type="dxa" w:w="2160"/>
          </w:tcPr>
          <w:p>
            <w:r>
              <w:t>Nascimento/pagamento/falha/reembolso</w:t>
            </w:r>
          </w:p>
        </w:tc>
      </w:tr>
      <w:tr>
        <w:tc>
          <w:tcPr>
            <w:tcW w:type="dxa" w:w="2160"/>
          </w:tcPr>
          <w:p>
            <w:r>
              <w:t>**KUT-FIN-007**</w:t>
            </w:r>
          </w:p>
        </w:tc>
        <w:tc>
          <w:tcPr>
            <w:tcW w:type="dxa" w:w="2160"/>
          </w:tcPr>
          <w:p>
            <w:r>
              <w:t>**Reconciliation Procedure**</w:t>
            </w:r>
          </w:p>
        </w:tc>
        <w:tc>
          <w:tcPr>
            <w:tcW w:type="dxa" w:w="2160"/>
          </w:tcPr>
          <w:p>
            <w:r>
              <w:t>Doc 1</w:t>
            </w:r>
          </w:p>
        </w:tc>
        <w:tc>
          <w:tcPr>
            <w:tcW w:type="dxa" w:w="2160"/>
          </w:tcPr>
          <w:p>
            <w:r>
              <w:t>Procedimento passo-a-passo</w:t>
            </w:r>
          </w:p>
        </w:tc>
      </w:tr>
      <w:tr>
        <w:tc>
          <w:tcPr>
            <w:tcW w:type="dxa" w:w="2160"/>
          </w:tcPr>
          <w:p>
            <w:r>
              <w:t>**KUT-FIN-008**</w:t>
            </w:r>
          </w:p>
        </w:tc>
        <w:tc>
          <w:tcPr>
            <w:tcW w:type="dxa" w:w="2160"/>
          </w:tcPr>
          <w:p>
            <w:r>
              <w:t>Monthly Accounting &amp; Tax Report Specification</w:t>
            </w:r>
          </w:p>
        </w:tc>
        <w:tc>
          <w:tcPr>
            <w:tcW w:type="dxa" w:w="2160"/>
          </w:tcPr>
          <w:p>
            <w:r>
              <w:t>Doc 2</w:t>
            </w:r>
          </w:p>
        </w:tc>
        <w:tc>
          <w:tcPr>
            <w:tcW w:type="dxa" w:w="2160"/>
          </w:tcPr>
          <w:p>
            <w:r>
              <w:t>Pacote mensal contabilista</w:t>
            </w:r>
          </w:p>
        </w:tc>
      </w:tr>
      <w:tr>
        <w:tc>
          <w:tcPr>
            <w:tcW w:type="dxa" w:w="2160"/>
          </w:tcPr>
          <w:p>
            <w:r>
              <w:t>**KUT-FIN-009**</w:t>
            </w:r>
          </w:p>
        </w:tc>
        <w:tc>
          <w:tcPr>
            <w:tcW w:type="dxa" w:w="2160"/>
          </w:tcPr>
          <w:p>
            <w:r>
              <w:t>**Refund Policy** *(novo)*</w:t>
            </w:r>
          </w:p>
        </w:tc>
        <w:tc>
          <w:tcPr>
            <w:tcW w:type="dxa" w:w="2160"/>
          </w:tcPr>
          <w:p>
            <w:r>
              <w:t>Doc 1 (ex-FIN-004)</w:t>
            </w:r>
          </w:p>
        </w:tc>
        <w:tc>
          <w:tcPr>
            <w:tcW w:type="dxa" w:w="2160"/>
          </w:tcPr>
          <w:p>
            <w:r>
              <w:t>Procedimento financeiro de reembolso</w:t>
            </w:r>
          </w:p>
        </w:tc>
      </w:tr>
      <w:tr>
        <w:tc>
          <w:tcPr>
            <w:tcW w:type="dxa" w:w="2160"/>
          </w:tcPr>
          <w:p>
            <w:r>
              <w:t>**KUT-FIN-010**</w:t>
            </w:r>
          </w:p>
        </w:tc>
        <w:tc>
          <w:tcPr>
            <w:tcW w:type="dxa" w:w="2160"/>
          </w:tcPr>
          <w:p>
            <w:r>
              <w:t>**Payment Responsibility Matrix** *(novo)*</w:t>
            </w:r>
          </w:p>
        </w:tc>
        <w:tc>
          <w:tcPr>
            <w:tcW w:type="dxa" w:w="2160"/>
          </w:tcPr>
          <w:p>
            <w:r>
              <w:t>Doc 1 (ex-FIN-002)</w:t>
            </w:r>
          </w:p>
        </w:tc>
        <w:tc>
          <w:tcPr>
            <w:tcW w:type="dxa" w:w="2160"/>
          </w:tcPr>
          <w:p>
            <w:r>
              <w:t>Responsabilidades de pagamento</w:t>
            </w:r>
          </w:p>
        </w:tc>
      </w:tr>
    </w:tbl>
    <w:p/>
    <w:p>
      <w:pPr>
        <w:pStyle w:val="Heading2"/>
      </w:pPr>
      <w:r>
        <w:t>IDs órfãos resolvidos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 anterior (Doc 1)</w:t>
            </w:r>
          </w:p>
        </w:tc>
        <w:tc>
          <w:tcPr>
            <w:tcW w:type="dxa" w:w="2880"/>
          </w:tcPr>
          <w:p>
            <w:r>
              <w:t>Conteúdo Doc 1</w:t>
            </w:r>
          </w:p>
        </w:tc>
        <w:tc>
          <w:tcPr>
            <w:tcW w:type="dxa" w:w="2880"/>
          </w:tcPr>
          <w:p>
            <w:r>
              <w:t>Novo ID</w:t>
            </w:r>
          </w:p>
        </w:tc>
      </w:tr>
      <w:tr>
        <w:tc>
          <w:tcPr>
            <w:tcW w:type="dxa" w:w="2880"/>
          </w:tcPr>
          <w:p>
            <w:r>
              <w:t>KUT-FIN-002</w:t>
            </w:r>
          </w:p>
        </w:tc>
        <w:tc>
          <w:tcPr>
            <w:tcW w:type="dxa" w:w="2880"/>
          </w:tcPr>
          <w:p>
            <w:r>
              <w:t>Payment Responsibility Matrix</w:t>
            </w:r>
          </w:p>
        </w:tc>
        <w:tc>
          <w:tcPr>
            <w:tcW w:type="dxa" w:w="2880"/>
          </w:tcPr>
          <w:p>
            <w:r>
              <w:t>**KUT-FIN-010**</w:t>
            </w:r>
          </w:p>
        </w:tc>
      </w:tr>
      <w:tr>
        <w:tc>
          <w:tcPr>
            <w:tcW w:type="dxa" w:w="2880"/>
          </w:tcPr>
          <w:p>
            <w:r>
              <w:t>KUT-FIN-003</w:t>
            </w:r>
          </w:p>
        </w:tc>
        <w:tc>
          <w:tcPr>
            <w:tcW w:type="dxa" w:w="2880"/>
          </w:tcPr>
          <w:p>
            <w:r>
              <w:t>Reconciliation Procedure</w:t>
            </w:r>
          </w:p>
        </w:tc>
        <w:tc>
          <w:tcPr>
            <w:tcW w:type="dxa" w:w="2880"/>
          </w:tcPr>
          <w:p>
            <w:r>
              <w:t>**KUT-FIN-007** (já existia)</w:t>
            </w:r>
          </w:p>
        </w:tc>
      </w:tr>
      <w:tr>
        <w:tc>
          <w:tcPr>
            <w:tcW w:type="dxa" w:w="2880"/>
          </w:tcPr>
          <w:p>
            <w:r>
              <w:t>KUT-FIN-004</w:t>
            </w:r>
          </w:p>
        </w:tc>
        <w:tc>
          <w:tcPr>
            <w:tcW w:type="dxa" w:w="2880"/>
          </w:tcPr>
          <w:p>
            <w:r>
              <w:t>Refund Policy</w:t>
            </w:r>
          </w:p>
        </w:tc>
        <w:tc>
          <w:tcPr>
            <w:tcW w:type="dxa" w:w="2880"/>
          </w:tcPr>
          <w:p>
            <w:r>
              <w:t>**KUT-FIN-009**</w:t>
            </w:r>
          </w:p>
        </w:tc>
      </w:tr>
    </w:tbl>
    <w:p/>
    <w:p>
      <w:pPr>
        <w:pStyle w:val="Heading2"/>
      </w:pPr>
      <w:r>
        <w:t>Relação com outros domínios (não duplicar)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KUT financeiro</w:t>
            </w:r>
          </w:p>
        </w:tc>
        <w:tc>
          <w:tcPr>
            <w:tcW w:type="dxa" w:w="2160"/>
          </w:tcPr>
          <w:p>
            <w:r>
              <w:t>KUT legal</w:t>
            </w:r>
          </w:p>
        </w:tc>
        <w:tc>
          <w:tcPr>
            <w:tcW w:type="dxa" w:w="2160"/>
          </w:tcPr>
          <w:p>
            <w:r>
              <w:t>KUT política</w:t>
            </w:r>
          </w:p>
        </w:tc>
      </w:tr>
      <w:tr>
        <w:tc>
          <w:tcPr>
            <w:tcW w:type="dxa" w:w="2160"/>
          </w:tcPr>
          <w:p>
            <w:r>
              <w:t>Reembolso</w:t>
            </w:r>
          </w:p>
        </w:tc>
        <w:tc>
          <w:tcPr>
            <w:tcW w:type="dxa" w:w="2160"/>
          </w:tcPr>
          <w:p>
            <w:r>
              <w:t>FIN-009 (procedimento ops)</w:t>
            </w:r>
          </w:p>
        </w:tc>
        <w:tc>
          <w:tcPr>
            <w:tcW w:type="dxa" w:w="2160"/>
          </w:tcPr>
          <w:p>
            <w:r>
              <w:t>LEG-043 (contrato/cancelamento)</w:t>
            </w:r>
          </w:p>
        </w:tc>
        <w:tc>
          <w:tcPr>
            <w:tcW w:type="dxa" w:w="2160"/>
          </w:tcPr>
          <w:p>
            <w:r>
              <w:t>POL-006 (regra empresarial)</w:t>
            </w:r>
          </w:p>
        </w:tc>
      </w:tr>
      <w:tr>
        <w:tc>
          <w:tcPr>
            <w:tcW w:type="dxa" w:w="2160"/>
          </w:tcPr>
          <w:p>
            <w:r>
              <w:t>Pagamentos</w:t>
            </w:r>
          </w:p>
        </w:tc>
        <w:tc>
          <w:tcPr>
            <w:tcW w:type="dxa" w:w="2160"/>
          </w:tcPr>
          <w:p>
            <w:r>
              <w:t>FIN-006, FIN-010</w:t>
            </w:r>
          </w:p>
        </w:tc>
        <w:tc>
          <w:tcPr>
            <w:tcW w:type="dxa" w:w="2160"/>
          </w:tcPr>
          <w:p>
            <w:r>
              <w:t>LEG-003 (Pay regulatório)</w:t>
            </w:r>
          </w:p>
        </w:tc>
        <w:tc>
          <w:tcPr>
            <w:tcW w:type="dxa" w:w="2160"/>
          </w:tcPr>
          <w:p>
            <w:r>
              <w:t>POL-004</w:t>
            </w:r>
          </w:p>
        </w:tc>
      </w:tr>
      <w:tr>
        <w:tc>
          <w:tcPr>
            <w:tcW w:type="dxa" w:w="2160"/>
          </w:tcPr>
          <w:p>
            <w:r>
              <w:t>Comissões</w:t>
            </w:r>
          </w:p>
        </w:tc>
        <w:tc>
          <w:tcPr>
            <w:tcW w:type="dxa" w:w="2160"/>
          </w:tcPr>
          <w:p>
            <w:r>
              <w:t>FIN-005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POL-005</w:t>
            </w:r>
          </w:p>
        </w:tc>
      </w:tr>
      <w:tr>
        <w:tc>
          <w:tcPr>
            <w:tcW w:type="dxa" w:w="2160"/>
          </w:tcPr>
          <w:p>
            <w:r>
              <w:t>Reconciliação</w:t>
            </w:r>
          </w:p>
        </w:tc>
        <w:tc>
          <w:tcPr>
            <w:tcW w:type="dxa" w:w="2160"/>
          </w:tcPr>
          <w:p>
            <w:r>
              <w:t>FIN-007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Implementação</w:t>
      </w:r>
    </w:p>
    <w:p>
      <w:pPr>
        <w:pStyle w:val="ListBullet"/>
      </w:pPr>
      <w:r>
        <w:t>**Fase 0:** apenas documentação e referências cruzadas</w:t>
      </w:r>
    </w:p>
    <w:p>
      <w:pPr>
        <w:pStyle w:val="ListBullet"/>
      </w:pPr>
      <w:r>
        <w:t>**Fases futuras:** migrations/RPC/UI **somente** após `AUTORIZO: FASE X` e decisão D1 (fonte comissão)</w:t>
      </w:r>
    </w:p>
    <w:p>
      <w:pPr>
        <w:pStyle w:val="Heading2"/>
      </w:pPr>
      <w:r>
        <w:t>Referências</w:t>
      </w:r>
    </w:p>
    <w:p>
      <w:pPr>
        <w:pStyle w:val="ListBullet"/>
      </w:pPr>
      <w:r>
        <w:t>[KUT-FIN Pack v0.1](./KUT-FIN_PACK_DRAFTS_v0.1.md)</w:t>
      </w:r>
    </w:p>
    <w:p>
      <w:pPr>
        <w:pStyle w:val="ListBullet"/>
      </w:pPr>
      <w:r>
        <w:t>[Master Table](../consolidation/KUTEKA_KUT_XXX_MASTER_TABLE_2026-08-28.md)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