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Plano de Continuidade de Negócio (BCP) — Kuteka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0.9 (fundacional — Sprint Beta 1)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2026-08-06</w:t>
            </w:r>
          </w:p>
        </w:tc>
      </w:tr>
      <w:tr>
        <w:tc>
          <w:tcPr>
            <w:tcW w:type="dxa" w:w="4320"/>
          </w:tcPr>
          <w:p>
            <w:r>
              <w:t>**Natureza**</w:t>
            </w:r>
          </w:p>
        </w:tc>
        <w:tc>
          <w:tcPr>
            <w:tcW w:type="dxa" w:w="4320"/>
          </w:tcPr>
          <w:p>
            <w:r>
              <w:t>Processos fundamentais de continuidade do negócio; **não** é um plano de continuidade de escala</w:t>
            </w:r>
          </w:p>
        </w:tc>
      </w:tr>
      <w:tr>
        <w:tc>
          <w:tcPr>
            <w:tcW w:type="dxa" w:w="4320"/>
          </w:tcPr>
          <w:p>
            <w:r>
              <w:t>**Complementa**</w:t>
            </w:r>
          </w:p>
        </w:tc>
        <w:tc>
          <w:tcPr>
            <w:tcW w:type="dxa" w:w="4320"/>
          </w:tcPr>
          <w:p>
            <w:r>
              <w:t>[DISASTER_RECOVERY_PLAN_v0.9.md](./DISASTER_RECOVERY_PLAN_v0.9.md) (recuperação técnica) · [KOS](../product/KUTEKA_OPERATING_SYSTEM.md) (operação diária)</w:t>
            </w:r>
          </w:p>
        </w:tc>
      </w:tr>
      <w:tr>
        <w:tc>
          <w:tcPr>
            <w:tcW w:type="dxa" w:w="4320"/>
          </w:tcPr>
          <w:p>
            <w:r>
              <w:t>**Estatuto**</w:t>
            </w:r>
          </w:p>
        </w:tc>
        <w:tc>
          <w:tcPr>
            <w:tcW w:type="dxa" w:w="4320"/>
          </w:tcPr>
          <w:p>
            <w:r>
              <w:t>**Não bloqueia** a Beta Pública. **É obrigatório** antes de escalar para v1.5+ (pagamentos reais em volume).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0. Âmbito e limites desta versão</w:t>
      </w:r>
    </w:p>
    <w:p>
      <w:r>
        <w:t>Esta é a v0.9 fundacional: cobre os processos mínimos indispensáveis para que a Kuteka saiba o que fazer perante uma interrupção séria, mesmo em fase Beta com equipa reduzida (KOS §1: chapéus empilhados). Não cobre cenários de escala (S2/S3 do KOS §7), múltiplas regiões, nem auditoria externa formal — isso fica para revisão em versões seguintes, à medida que o volume de clientes e dinheiro real justificar.</w:t>
      </w:r>
    </w:p>
    <w:p>
      <w:r>
        <w:t>Este documento não impede nem atrasa a abertura da Beta Pública. É um requisito de maturidade antes de escalar (v1.5+), registado aqui para que a equipa não avance para volume real sem estes processos definidos.</w:t>
      </w:r>
    </w:p>
    <w:p>
      <w:pPr>
        <w:pStyle w:val="Heading2"/>
      </w:pPr>
      <w:r>
        <w:t>1. Objectivo</w:t>
      </w:r>
    </w:p>
    <w:p>
      <w:r>
        <w:t>Garantir que, perante uma interrupção (técnica, de fornecedor externo ou operacional), a Kuteka:</w:t>
      </w:r>
    </w:p>
    <w:p>
      <w:pPr>
        <w:pStyle w:val="ListNumber"/>
      </w:pPr>
      <w:r>
        <w:t>Sabe **quem decide** e em que ordem agir.</w:t>
      </w:r>
    </w:p>
    <w:p>
      <w:pPr>
        <w:pStyle w:val="ListNumber"/>
      </w:pPr>
      <w:r>
        <w:t>Protege os dados e o dinheiro simulado/real dos utilizadores.</w:t>
      </w:r>
    </w:p>
    <w:p>
      <w:pPr>
        <w:pStyle w:val="ListNumber"/>
      </w:pPr>
      <w:r>
        <w:t>Comunica ao utilizador de forma clara e atempada.</w:t>
      </w:r>
    </w:p>
    <w:p>
      <w:pPr>
        <w:pStyle w:val="ListNumber"/>
      </w:pPr>
      <w:r>
        <w:t>Sabe quando **suspender** um serviço e quando **reabrir**.</w:t>
      </w:r>
    </w:p>
    <w:p>
      <w:pPr>
        <w:pStyle w:val="Heading2"/>
      </w:pPr>
      <w:r>
        <w:t>2. Donos e autoridade de decisão</w:t>
      </w:r>
    </w:p>
    <w:p>
      <w:r>
        <w:t>Alinhado ao KOS §2. Em Beta, os papéis podem acumular-se na mesma pessoa.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Decisão</w:t>
            </w:r>
          </w:p>
        </w:tc>
        <w:tc>
          <w:tcPr>
            <w:tcW w:type="dxa" w:w="4320"/>
          </w:tcPr>
          <w:p>
            <w:r>
              <w:t>Quem decide</w:t>
            </w:r>
          </w:p>
        </w:tc>
      </w:tr>
      <w:tr>
        <w:tc>
          <w:tcPr>
            <w:tcW w:type="dxa" w:w="4320"/>
          </w:tcPr>
          <w:p>
            <w:r>
              <w:t>Suspender um módulo/serviço</w:t>
            </w:r>
          </w:p>
        </w:tc>
        <w:tc>
          <w:tcPr>
            <w:tcW w:type="dxa" w:w="4320"/>
          </w:tcPr>
          <w:p>
            <w:r>
              <w:t>Super Administrador + Administrador Geral</w:t>
            </w:r>
          </w:p>
        </w:tc>
      </w:tr>
      <w:tr>
        <w:tc>
          <w:tcPr>
            <w:tcW w:type="dxa" w:w="4320"/>
          </w:tcPr>
          <w:p>
            <w:r>
              <w:t>Suspender pagamentos (Kuteka Pay)</w:t>
            </w:r>
          </w:p>
        </w:tc>
        <w:tc>
          <w:tcPr>
            <w:tcW w:type="dxa" w:w="4320"/>
          </w:tcPr>
          <w:p>
            <w:r>
              <w:t>Super Administrador</w:t>
            </w:r>
          </w:p>
        </w:tc>
      </w:tr>
      <w:tr>
        <w:tc>
          <w:tcPr>
            <w:tcW w:type="dxa" w:w="4320"/>
          </w:tcPr>
          <w:p>
            <w:r>
              <w:t>Comunicar incidente a utilizadores</w:t>
            </w:r>
          </w:p>
        </w:tc>
        <w:tc>
          <w:tcPr>
            <w:tcW w:type="dxa" w:w="4320"/>
          </w:tcPr>
          <w:p>
            <w:r>
              <w:t>Direcção Geral (aprova) + Atendimento (publica)</w:t>
            </w:r>
          </w:p>
        </w:tc>
      </w:tr>
      <w:tr>
        <w:tc>
          <w:tcPr>
            <w:tcW w:type="dxa" w:w="4320"/>
          </w:tcPr>
          <w:p>
            <w:r>
              <w:t>Reabrir após incidente</w:t>
            </w:r>
          </w:p>
        </w:tc>
        <w:tc>
          <w:tcPr>
            <w:tcW w:type="dxa" w:w="4320"/>
          </w:tcPr>
          <w:p>
            <w:r>
              <w:t>Super Administrador, com confirmação de Tecnologia</w:t>
            </w:r>
          </w:p>
        </w:tc>
      </w:tr>
      <w:tr>
        <w:tc>
          <w:tcPr>
            <w:tcW w:type="dxa" w:w="4320"/>
          </w:tcPr>
          <w:p>
            <w:r>
              <w:t>Declarar perda de dados / accionar DRP</w:t>
            </w:r>
          </w:p>
        </w:tc>
        <w:tc>
          <w:tcPr>
            <w:tcW w:type="dxa" w:w="4320"/>
          </w:tcPr>
          <w:p>
            <w:r>
              <w:t>Super Administrador + Tecnologia</w:t>
            </w:r>
          </w:p>
        </w:tc>
      </w:tr>
    </w:tbl>
    <w:p/>
    <w:p>
      <w:r>
        <w:t>Regra: nenhuma suspensão ou reabertura de serviço com impacto em pagamentos ocorre sem registo (data/hora, motivo, quem decidiu) — o registo vive no Super Admin (nota interna) até existir um módulo de incidentes dedicado.</w:t>
      </w:r>
    </w:p>
    <w:p>
      <w:pPr>
        <w:pStyle w:val="Heading2"/>
      </w:pPr>
      <w:r>
        <w:t>3. Processos fundamentais cobertos nesta versão</w:t>
      </w:r>
    </w:p>
    <w:p>
      <w:r>
        <w:t>Cada processo tem: gatilho, acção mínima, dono, e onde fica o registo.</w:t>
      </w:r>
    </w:p>
    <w:p>
      <w:pPr>
        <w:pStyle w:val="Heading3"/>
      </w:pPr>
      <w:r>
        <w:t>3.1 Backups e retenção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Definição mínima v0.9</w:t>
            </w:r>
          </w:p>
        </w:tc>
      </w:tr>
      <w:tr>
        <w:tc>
          <w:tcPr>
            <w:tcW w:type="dxa" w:w="4320"/>
          </w:tcPr>
          <w:p>
            <w:r>
              <w:t>O que é copiado</w:t>
            </w:r>
          </w:p>
        </w:tc>
        <w:tc>
          <w:tcPr>
            <w:tcW w:type="dxa" w:w="4320"/>
          </w:tcPr>
          <w:p>
            <w:r>
              <w:t>Base de dados Supabase (Postgres) completa; buckets de Storage (`property-media`, `identity-documents`, `avatars`)</w:t>
            </w:r>
          </w:p>
        </w:tc>
      </w:tr>
      <w:tr>
        <w:tc>
          <w:tcPr>
            <w:tcW w:type="dxa" w:w="4320"/>
          </w:tcPr>
          <w:p>
            <w:r>
              <w:t>Frequência mínima</w:t>
            </w:r>
          </w:p>
        </w:tc>
        <w:tc>
          <w:tcPr>
            <w:tcW w:type="dxa" w:w="4320"/>
          </w:tcPr>
          <w:p>
            <w:r>
              <w:t>Diária (backup automático do fornecedor Supabase) — **verificação manual da existência do backup** ainda por instituir como rotina (ver DRP §1)</w:t>
            </w:r>
          </w:p>
        </w:tc>
      </w:tr>
      <w:tr>
        <w:tc>
          <w:tcPr>
            <w:tcW w:type="dxa" w:w="4320"/>
          </w:tcPr>
          <w:p>
            <w:r>
              <w:t>Retenção mínima</w:t>
            </w:r>
          </w:p>
        </w:tc>
        <w:tc>
          <w:tcPr>
            <w:tcW w:type="dxa" w:w="4320"/>
          </w:tcPr>
          <w:p>
            <w:r>
              <w:t>Alinhada aos prazos legais indicados na [Política de Privacidade §9](../legal/POLITICA_PRIVACIDADE_v1.md#9-conservação--retenção); nunca inferior ao prazo do plano Supabase activo</w:t>
            </w:r>
          </w:p>
        </w:tc>
      </w:tr>
      <w:tr>
        <w:tc>
          <w:tcPr>
            <w:tcW w:type="dxa" w:w="4320"/>
          </w:tcPr>
          <w:p>
            <w:r>
              <w:t>Dono</w:t>
            </w:r>
          </w:p>
        </w:tc>
        <w:tc>
          <w:tcPr>
            <w:tcW w:type="dxa" w:w="4320"/>
          </w:tcPr>
          <w:p>
            <w:r>
              <w:t>Tecnologia</w:t>
            </w:r>
          </w:p>
        </w:tc>
      </w:tr>
      <w:tr>
        <w:tc>
          <w:tcPr>
            <w:tcW w:type="dxa" w:w="4320"/>
          </w:tcPr>
          <w:p>
            <w:r>
              <w:t>Registo</w:t>
            </w:r>
          </w:p>
        </w:tc>
        <w:tc>
          <w:tcPr>
            <w:tcW w:type="dxa" w:w="4320"/>
          </w:tcPr>
          <w:p>
            <w:r>
              <w:t>Ver detalhe técnico no [DRP §1](./DISASTER_RECOVERY_PLAN_v0.9.md#1-backups-e-retenção)</w:t>
            </w:r>
          </w:p>
        </w:tc>
      </w:tr>
    </w:tbl>
    <w:p/>
    <w:p>
      <w:pPr>
        <w:pStyle w:val="Heading3"/>
      </w:pPr>
      <w:r>
        <w:t>3.2 Documentos KYC / KIS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Definição mínima v0.9</w:t>
            </w:r>
          </w:p>
        </w:tc>
      </w:tr>
      <w:tr>
        <w:tc>
          <w:tcPr>
            <w:tcW w:type="dxa" w:w="4320"/>
          </w:tcPr>
          <w:p>
            <w:r>
              <w:t>Protecção</w:t>
            </w:r>
          </w:p>
        </w:tc>
        <w:tc>
          <w:tcPr>
            <w:tcW w:type="dxa" w:w="4320"/>
          </w:tcPr>
          <w:p>
            <w:r>
              <w:t>Ficam no Storage privado (`identity-documents`); acesso restrito por RLS (ver Privacidade §5)</w:t>
            </w:r>
          </w:p>
        </w:tc>
      </w:tr>
      <w:tr>
        <w:tc>
          <w:tcPr>
            <w:tcW w:type="dxa" w:w="4320"/>
          </w:tcPr>
          <w:p>
            <w:r>
              <w:t>Continuidade</w:t>
            </w:r>
          </w:p>
        </w:tc>
        <w:tc>
          <w:tcPr>
            <w:tcW w:type="dxa" w:w="4320"/>
          </w:tcPr>
          <w:p>
            <w:r>
              <w:t>Em caso de indisponibilidade do Storage, o fluxo de KYC deve **bloquear novos envios** e mostrar mensagem clara ao utilizador ("tente mais tarde"), nunca aceitar upload sem garantia de guarda</w:t>
            </w:r>
          </w:p>
        </w:tc>
      </w:tr>
      <w:tr>
        <w:tc>
          <w:tcPr>
            <w:tcW w:type="dxa" w:w="4320"/>
          </w:tcPr>
          <w:p>
            <w:r>
              <w:t>Retenção</w:t>
            </w:r>
          </w:p>
        </w:tc>
        <w:tc>
          <w:tcPr>
            <w:tcW w:type="dxa" w:w="4320"/>
          </w:tcPr>
          <w:p>
            <w:r>
              <w:t>Conforme prazos legais de identificação (Privacidade §9) — não eliminar por rotina de limpeza automática sem confirmação</w:t>
            </w:r>
          </w:p>
        </w:tc>
      </w:tr>
      <w:tr>
        <w:tc>
          <w:tcPr>
            <w:tcW w:type="dxa" w:w="4320"/>
          </w:tcPr>
          <w:p>
            <w:r>
              <w:t>Dono</w:t>
            </w:r>
          </w:p>
        </w:tc>
        <w:tc>
          <w:tcPr>
            <w:tcW w:type="dxa" w:w="4320"/>
          </w:tcPr>
          <w:p>
            <w:r>
              <w:t>Tecnologia (infra) + Administração Geral (processo)</w:t>
            </w:r>
          </w:p>
        </w:tc>
      </w:tr>
    </w:tbl>
    <w:p/>
    <w:p>
      <w:pPr>
        <w:pStyle w:val="Heading3"/>
      </w:pPr>
      <w:r>
        <w:t>3.3 Contratos (plataforma)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Definição mínima v0.9</w:t>
            </w:r>
          </w:p>
        </w:tc>
      </w:tr>
      <w:tr>
        <w:tc>
          <w:tcPr>
            <w:tcW w:type="dxa" w:w="4320"/>
          </w:tcPr>
          <w:p>
            <w:r>
              <w:t>Protecção</w:t>
            </w:r>
          </w:p>
        </w:tc>
        <w:tc>
          <w:tcPr>
            <w:tcW w:type="dxa" w:w="4320"/>
          </w:tcPr>
          <w:p>
            <w:r>
              <w:t>Registos em base de dados (não ficheiro solto); qualquer anexo vive em Storage com backup</w:t>
            </w:r>
          </w:p>
        </w:tc>
      </w:tr>
      <w:tr>
        <w:tc>
          <w:tcPr>
            <w:tcW w:type="dxa" w:w="4320"/>
          </w:tcPr>
          <w:p>
            <w:r>
              <w:t>Continuidade</w:t>
            </w:r>
          </w:p>
        </w:tc>
        <w:tc>
          <w:tcPr>
            <w:tcW w:type="dxa" w:w="4320"/>
          </w:tcPr>
          <w:p>
            <w:r>
              <w:t>Um contrato em progresso durante uma interrupção mantém o seu último estado gravado — não se perde por reinício do serviço</w:t>
            </w:r>
          </w:p>
        </w:tc>
      </w:tr>
      <w:tr>
        <w:tc>
          <w:tcPr>
            <w:tcW w:type="dxa" w:w="4320"/>
          </w:tcPr>
          <w:p>
            <w:r>
              <w:t>Dono</w:t>
            </w:r>
          </w:p>
        </w:tc>
        <w:tc>
          <w:tcPr>
            <w:tcW w:type="dxa" w:w="4320"/>
          </w:tcPr>
          <w:p>
            <w:r>
              <w:t>Jurídico (processo) + Tecnologia (garantia técnica)</w:t>
            </w:r>
          </w:p>
        </w:tc>
      </w:tr>
    </w:tbl>
    <w:p/>
    <w:p>
      <w:pPr>
        <w:pStyle w:val="Heading3"/>
      </w:pPr>
      <w:r>
        <w:t>3.4 Comunicação ao utilizador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Cenário</w:t>
            </w:r>
          </w:p>
        </w:tc>
        <w:tc>
          <w:tcPr>
            <w:tcW w:type="dxa" w:w="2880"/>
          </w:tcPr>
          <w:p>
            <w:r>
              <w:t>Mensagem mínima obrigatória</w:t>
            </w:r>
          </w:p>
        </w:tc>
        <w:tc>
          <w:tcPr>
            <w:tcW w:type="dxa" w:w="2880"/>
          </w:tcPr>
          <w:p>
            <w:r>
              <w:t>Canal</w:t>
            </w:r>
          </w:p>
        </w:tc>
      </w:tr>
      <w:tr>
        <w:tc>
          <w:tcPr>
            <w:tcW w:type="dxa" w:w="2880"/>
          </w:tcPr>
          <w:p>
            <w:r>
              <w:t>Indisponibilidade total (site/app em baixo)</w:t>
            </w:r>
          </w:p>
        </w:tc>
        <w:tc>
          <w:tcPr>
            <w:tcW w:type="dxa" w:w="2880"/>
          </w:tcPr>
          <w:p>
            <w:r>
              <w:t>Aviso claro de indisponibilidade temporária, sem prometer prazo que não se possa cumprir</w:t>
            </w:r>
          </w:p>
        </w:tc>
        <w:tc>
          <w:tcPr>
            <w:tcW w:type="dxa" w:w="2880"/>
          </w:tcPr>
          <w:p>
            <w:r>
              <w:t>Página de estado (se existir) / email quando aplicável</w:t>
            </w:r>
          </w:p>
        </w:tc>
      </w:tr>
      <w:tr>
        <w:tc>
          <w:tcPr>
            <w:tcW w:type="dxa" w:w="2880"/>
          </w:tcPr>
          <w:p>
            <w:r>
              <w:t>Falha de pagamento em curso</w:t>
            </w:r>
          </w:p>
        </w:tc>
        <w:tc>
          <w:tcPr>
            <w:tcW w:type="dxa" w:w="2880"/>
          </w:tcPr>
          <w:p>
            <w:r>
              <w:t>Estado do pedido nunca fica ambíguo: "falhou", "pendente de confirmação" ou "concluído" — nunca silêncio</w:t>
            </w:r>
          </w:p>
        </w:tc>
        <w:tc>
          <w:tcPr>
            <w:tcW w:type="dxa" w:w="2880"/>
          </w:tcPr>
          <w:p>
            <w:r>
              <w:t>Ecrã do pedido + email (quando SMTP transaccional existir)</w:t>
            </w:r>
          </w:p>
        </w:tc>
      </w:tr>
      <w:tr>
        <w:tc>
          <w:tcPr>
            <w:tcW w:type="dxa" w:w="2880"/>
          </w:tcPr>
          <w:p>
            <w:r>
              <w:t>Suspensão de um serviço específico</w:t>
            </w:r>
          </w:p>
        </w:tc>
        <w:tc>
          <w:tcPr>
            <w:tcW w:type="dxa" w:w="2880"/>
          </w:tcPr>
          <w:p>
            <w:r>
              <w:t>Indicar módulo afectado e que os restantes continuam a funcionar</w:t>
            </w:r>
          </w:p>
        </w:tc>
        <w:tc>
          <w:tcPr>
            <w:tcW w:type="dxa" w:w="2880"/>
          </w:tcPr>
          <w:p>
            <w:r>
              <w:t>Banner no módulo (quando existir) / Atendimento</w:t>
            </w:r>
          </w:p>
        </w:tc>
      </w:tr>
      <w:tr>
        <w:tc>
          <w:tcPr>
            <w:tcW w:type="dxa" w:w="2880"/>
          </w:tcPr>
          <w:p>
            <w:r>
              <w:t>Incidente de dados (se aplicável)</w:t>
            </w:r>
          </w:p>
        </w:tc>
        <w:tc>
          <w:tcPr>
            <w:tcW w:type="dxa" w:w="2880"/>
          </w:tcPr>
          <w:p>
            <w:r>
              <w:t>Comunicação conforme obrigações legais (ver Privacidade §8) — nunca omitir se houver risco real para o titular</w:t>
            </w:r>
          </w:p>
        </w:tc>
        <w:tc>
          <w:tcPr>
            <w:tcW w:type="dxa" w:w="2880"/>
          </w:tcPr>
          <w:p>
            <w:r>
              <w:t>Email directo + canal oficial</w:t>
            </w:r>
          </w:p>
        </w:tc>
      </w:tr>
    </w:tbl>
    <w:p/>
    <w:p>
      <w:r>
        <w:t>Princípio: nunca prometer prazo de resolução que a equipa não possa garantir — comunicar "estamos a investigar" é preferível a um prazo falso (mesmo princípio de honestidade usado no KOS para SLA de Assistência 24h).</w:t>
      </w:r>
    </w:p>
    <w:p>
      <w:pPr>
        <w:pStyle w:val="Heading3"/>
      </w:pPr>
      <w:r>
        <w:t>3.5 Critérios de suspensão de um serviço</w:t>
      </w:r>
    </w:p>
    <w:p>
      <w:r>
        <w:t>Suspender um serviço (D1–D5, Marketplace ou pagamentos) imediatamente quando:</w:t>
      </w:r>
    </w:p>
    <w:p>
      <w:pPr>
        <w:pStyle w:val="ListBullet"/>
      </w:pPr>
      <w:r>
        <w:t>Houver risco de cobrança duplicada ou incorrecta (Kuteka Pay);</w:t>
      </w:r>
    </w:p>
    <w:p>
      <w:pPr>
        <w:pStyle w:val="ListBullet"/>
      </w:pPr>
      <w:r>
        <w:t>Houver indício de fraude activa não contida;</w:t>
      </w:r>
    </w:p>
    <w:p>
      <w:pPr>
        <w:pStyle w:val="ListBullet"/>
      </w:pPr>
      <w:r>
        <w:t>O Storage de documentos sensíveis (KYC) ficar indisponível ou com risco de exposição;</w:t>
      </w:r>
    </w:p>
    <w:p>
      <w:pPr>
        <w:pStyle w:val="ListBullet"/>
      </w:pPr>
      <w:r>
        <w:t>A base de dados apresentar inconsistência que afecte saldos do Ledger.</w:t>
      </w:r>
    </w:p>
    <w:p>
      <w:pPr>
        <w:pStyle w:val="Heading3"/>
      </w:pPr>
      <w:r>
        <w:t>3.6 Critérios de reabertura</w:t>
      </w:r>
    </w:p>
    <w:p>
      <w:r>
        <w:t>Reabrir apenas quando:</w:t>
      </w:r>
    </w:p>
    <w:p>
      <w:pPr>
        <w:pStyle w:val="ListNumber"/>
      </w:pPr>
      <w:r>
        <w:t>A causa raiz estiver identificada (mesmo que a correcção definitiva ainda não esteja implementada — pode reabrir com mitigação temporária documentada).</w:t>
      </w:r>
    </w:p>
    <w:p>
      <w:pPr>
        <w:pStyle w:val="ListNumber"/>
      </w:pPr>
      <w:r>
        <w:t>Não houver pedidos em estado ambíguo (todos os pedidos afectados foram fechados como `completed`, `cancelled`/`failed` com crédito, conforme política do módulo).</w:t>
      </w:r>
    </w:p>
    <w:p>
      <w:pPr>
        <w:pStyle w:val="ListNumber"/>
      </w:pPr>
      <w:r>
        <w:t>Super Administrador confirmar reabertura por escrito (registo interno).</w:t>
      </w:r>
    </w:p>
    <w:p>
      <w:pPr>
        <w:pStyle w:val="Heading2"/>
      </w:pPr>
      <w:r>
        <w:t>4. Fornecedores críticos e continuidade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Fornecedor</w:t>
            </w:r>
          </w:p>
        </w:tc>
        <w:tc>
          <w:tcPr>
            <w:tcW w:type="dxa" w:w="2880"/>
          </w:tcPr>
          <w:p>
            <w:r>
              <w:t>Papel</w:t>
            </w:r>
          </w:p>
        </w:tc>
        <w:tc>
          <w:tcPr>
            <w:tcW w:type="dxa" w:w="2880"/>
          </w:tcPr>
          <w:p>
            <w:r>
              <w:t>Continuidade nesta versão</w:t>
            </w:r>
          </w:p>
        </w:tc>
      </w:tr>
      <w:tr>
        <w:tc>
          <w:tcPr>
            <w:tcW w:type="dxa" w:w="2880"/>
          </w:tcPr>
          <w:p>
            <w:r>
              <w:t>**Supabase**</w:t>
            </w:r>
          </w:p>
        </w:tc>
        <w:tc>
          <w:tcPr>
            <w:tcW w:type="dxa" w:w="2880"/>
          </w:tcPr>
          <w:p>
            <w:r>
              <w:t>Auth, Postgres, Storage</w:t>
            </w:r>
          </w:p>
        </w:tc>
        <w:tc>
          <w:tcPr>
            <w:tcW w:type="dxa" w:w="2880"/>
          </w:tcPr>
          <w:p>
            <w:r>
              <w:t>Ver [DRP §3](./DISASTER_RECOVERY_PLAN_v0.9.md#3-indisponibilidade-supabase) — sem plano de failover multi-fornecedor nesta versão</w:t>
            </w:r>
          </w:p>
        </w:tc>
      </w:tr>
      <w:tr>
        <w:tc>
          <w:tcPr>
            <w:tcW w:type="dxa" w:w="2880"/>
          </w:tcPr>
          <w:p>
            <w:r>
              <w:t>**Gateway de pagamento** (sandbox hoje; Multicaixa/EMIS futuro)</w:t>
            </w:r>
          </w:p>
        </w:tc>
        <w:tc>
          <w:tcPr>
            <w:tcW w:type="dxa" w:w="2880"/>
          </w:tcPr>
          <w:p>
            <w:r>
              <w:t>Processamento de pagamentos</w:t>
            </w:r>
          </w:p>
        </w:tc>
        <w:tc>
          <w:tcPr>
            <w:tcW w:type="dxa" w:w="2880"/>
          </w:tcPr>
          <w:p>
            <w:r>
              <w:t>Ver [DRP §4](./DISASTER_RECOVERY_PLAN_v0.9.md#4-indisponibilidade-do-gateway-de-pagamento)</w:t>
            </w:r>
          </w:p>
        </w:tc>
      </w:tr>
      <w:tr>
        <w:tc>
          <w:tcPr>
            <w:tcW w:type="dxa" w:w="2880"/>
          </w:tcPr>
          <w:p>
            <w:r>
              <w:t>**Deploy** (Render — `kutekalink.com`)</w:t>
            </w:r>
          </w:p>
        </w:tc>
        <w:tc>
          <w:tcPr>
            <w:tcW w:type="dxa" w:w="2880"/>
          </w:tcPr>
          <w:p>
            <w:r>
              <w:t>Hospedagem do site estático</w:t>
            </w:r>
          </w:p>
        </w:tc>
        <w:tc>
          <w:tcPr>
            <w:tcW w:type="dxa" w:w="2880"/>
          </w:tcPr>
          <w:p>
            <w:r>
              <w:t>Rollback documentado no [DRP §2](./DISASTER_RECOVERY_PLAN_v0.9.md#2-rollback-de-deploy)</w:t>
            </w:r>
          </w:p>
        </w:tc>
      </w:tr>
      <w:tr>
        <w:tc>
          <w:tcPr>
            <w:tcW w:type="dxa" w:w="2880"/>
          </w:tcPr>
          <w:p>
            <w:r>
              <w:t>**SMTP** (Supabase Auth)</w:t>
            </w:r>
          </w:p>
        </w:tc>
        <w:tc>
          <w:tcPr>
            <w:tcW w:type="dxa" w:w="2880"/>
          </w:tcPr>
          <w:p>
            <w:r>
              <w:t>Emails de autenticação</w:t>
            </w:r>
          </w:p>
        </w:tc>
        <w:tc>
          <w:tcPr>
            <w:tcW w:type="dxa" w:w="2880"/>
          </w:tcPr>
          <w:p>
            <w:r>
              <w:t>Sem redundância nesta versão; falha bloqueia apenas confirmação de conta/OTP por email (OTP por SMS/segunda via, quando activo, é alternativa)</w:t>
            </w:r>
          </w:p>
        </w:tc>
      </w:tr>
    </w:tbl>
    <w:p/>
    <w:p>
      <w:r>
        <w:t>Nota de honestidade: a Kuteka não tem nesta versão um fornecedor alternativo para nenhum destes serviços. Isto é aceitável em Beta com poucos utilizadores; não é aceitável ao escalar (v1.5+) sem, no mínimo, um plano testado de restauro (DRP) e um segundo canal de comunicação com o utilizador.</w:t>
      </w:r>
    </w:p>
    <w:p>
      <w:pPr>
        <w:pStyle w:val="Heading2"/>
      </w:pPr>
      <w:r>
        <w:t>5. O que esta versão explicitamente NÃO cobre (adiado)</w:t>
      </w:r>
    </w:p>
    <w:p>
      <w:pPr>
        <w:pStyle w:val="ListBullet"/>
      </w:pPr>
      <w:r>
        <w:t>Plano de continuidade multi-região ou multi-fornecedor de base de dados.</w:t>
      </w:r>
    </w:p>
    <w:p>
      <w:pPr>
        <w:pStyle w:val="ListBullet"/>
      </w:pPr>
      <w:r>
        <w:t>SLA contratual de continuidade com fornecedores (Supabase, gateway) — depende de plano pago/enterprise.</w:t>
      </w:r>
    </w:p>
    <w:p>
      <w:pPr>
        <w:pStyle w:val="ListBullet"/>
      </w:pPr>
      <w:r>
        <w:t>Simulação formal de desastre (_disaster recovery drill_) com métricas de RTO/RPO auditadas.</w:t>
      </w:r>
    </w:p>
    <w:p>
      <w:pPr>
        <w:pStyle w:val="ListBullet"/>
      </w:pPr>
      <w:r>
        <w:t>Seguro de continuidade de negócio ou cibersegurança.</w:t>
      </w:r>
    </w:p>
    <w:p>
      <w:pPr>
        <w:pStyle w:val="ListBullet"/>
      </w:pPr>
      <w:r>
        <w:t>Central de comando de crise dedicada (hoje é o Super Admin + comunicação directa da equipa).</w:t>
      </w:r>
    </w:p>
    <w:p>
      <w:r>
        <w:t>Estes itens entram como trabalho de v1.5+, condicionados ao volume real de clientes e dinheiro (ver Roadmap Master).</w:t>
      </w:r>
    </w:p>
    <w:p>
      <w:pPr>
        <w:pStyle w:val="Heading2"/>
      </w:pPr>
      <w:r>
        <w:t>6. Checklist mínimo antes de escalar (v1.5+)</w:t>
      </w:r>
    </w:p>
    <w:p>
      <w:pPr>
        <w:pStyle w:val="ListBullet"/>
      </w:pPr>
      <w:r>
        <w:t>[ ] Backup Supabase verificado manualmente pelo menos uma vez (não só assumido pelo fornecedor)</w:t>
      </w:r>
    </w:p>
    <w:p>
      <w:pPr>
        <w:pStyle w:val="ListBullet"/>
      </w:pPr>
      <w:r>
        <w:t>[ ] Um restauro de teste executado com sucesso (ver DRP §1.2)</w:t>
      </w:r>
    </w:p>
    <w:p>
      <w:pPr>
        <w:pStyle w:val="ListBullet"/>
      </w:pPr>
      <w:r>
        <w:t>[ ] Rollback de deploy testado pelo menos uma vez em produção ou ambiente equivalente</w:t>
      </w:r>
    </w:p>
    <w:p>
      <w:pPr>
        <w:pStyle w:val="ListBullet"/>
      </w:pPr>
      <w:r>
        <w:t>[ ] Critérios de suspensão/reabertura (§3.5–3.6) conhecidos por quem tem acesso ao Super Admin</w:t>
      </w:r>
    </w:p>
    <w:p>
      <w:pPr>
        <w:pStyle w:val="ListBullet"/>
      </w:pPr>
      <w:r>
        <w:t>[ ] Canal de comunicação de incidente definido (mesmo que seja apenas email + rede social oficial)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Controlo de alterações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Versão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0.9</w:t>
            </w:r>
          </w:p>
        </w:tc>
        <w:tc>
          <w:tcPr>
            <w:tcW w:type="dxa" w:w="2880"/>
          </w:tcPr>
          <w:p>
            <w:r>
              <w:t>2026-08-06</w:t>
            </w:r>
          </w:p>
        </w:tc>
        <w:tc>
          <w:tcPr>
            <w:tcW w:type="dxa" w:w="2880"/>
          </w:tcPr>
          <w:p>
            <w:r>
              <w:t>Primeira versão fundacional — processos mínimos, Sprint Beta 1</w:t>
            </w:r>
          </w:p>
        </w:tc>
      </w:tr>
    </w:tbl>
    <w:p/>
    <w:p>
      <w:r>
        <w:t>Próxima revisão: ao iniciar a preparação para v1.5 (pagamentos reais) ou após o primeiro incidente real, o que ocorrer primeiro.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