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FASE 0 — Registo de Decisões Pendentes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**Versão**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**Data**</w:t>
            </w:r>
          </w:p>
        </w:tc>
        <w:tc>
          <w:tcPr>
            <w:tcW w:type="dxa" w:w="4320"/>
          </w:tcPr>
          <w:p>
            <w:r>
              <w:t>2026-08-28</w:t>
            </w:r>
          </w:p>
        </w:tc>
      </w:tr>
      <w:tr>
        <w:tc>
          <w:tcPr>
            <w:tcW w:type="dxa" w:w="4320"/>
          </w:tcPr>
          <w:p>
            <w:r>
              <w:t>**Estado**</w:t>
            </w:r>
          </w:p>
        </w:tc>
        <w:tc>
          <w:tcPr>
            <w:tcW w:type="dxa" w:w="4320"/>
          </w:tcPr>
          <w:p>
            <w:r>
              <w:t>Activo — **não resolver unilateralmente**</w:t>
            </w:r>
          </w:p>
        </w:tc>
      </w:tr>
      <w:tr>
        <w:tc>
          <w:tcPr>
            <w:tcW w:type="dxa" w:w="4320"/>
          </w:tcPr>
          <w:p>
            <w:r>
              <w:t>**Formato**</w:t>
            </w:r>
          </w:p>
        </w:tc>
        <w:tc>
          <w:tcPr>
            <w:tcW w:type="dxa" w:w="4320"/>
          </w:tcPr>
          <w:p>
            <w:r>
              <w:t>Cada item = `DECISÃO PENDENTE` conforme autorização final Fase 0</w:t>
            </w:r>
          </w:p>
        </w:tc>
      </w:tr>
    </w:tbl>
    <w:p/>
    <w:p>
      <w:r>
        <w:t>&gt; Regra: nenhuma destas questões autoriza código, migration, deploy ou alteração substantiva até decisão explícita do responsável indicado.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D1 — Fonte única comissão activação 35%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Conteúdo</w:t>
            </w:r>
          </w:p>
        </w:tc>
      </w:tr>
      <w:tr>
        <w:tc>
          <w:tcPr>
            <w:tcW w:type="dxa" w:w="4320"/>
          </w:tcPr>
          <w:p>
            <w:r>
              <w:t>**Questão**</w:t>
            </w:r>
          </w:p>
        </w:tc>
        <w:tc>
          <w:tcPr>
            <w:tcW w:type="dxa" w:w="4320"/>
          </w:tcPr>
          <w:p>
            <w:r>
              <w:t>Qual via é fonte única de verdade para comissão de activação 35%?</w:t>
            </w:r>
          </w:p>
        </w:tc>
      </w:tr>
      <w:tr>
        <w:tc>
          <w:tcPr>
            <w:tcW w:type="dxa" w:w="4320"/>
          </w:tcPr>
          <w:p>
            <w:r>
              <w:t>**Documentos afectados**</w:t>
            </w:r>
          </w:p>
        </w:tc>
        <w:tc>
          <w:tcPr>
            <w:tcW w:type="dxa" w:w="4320"/>
          </w:tcPr>
          <w:p>
            <w:r>
              <w:t>C2, FIN-005, POL-005, Master Table FIN-005, Decision Register DEC-2026-004</w:t>
            </w:r>
          </w:p>
        </w:tc>
      </w:tr>
      <w:tr>
        <w:tc>
          <w:tcPr>
            <w:tcW w:type="dxa" w:w="4320"/>
          </w:tcPr>
          <w:p>
            <w:r>
              <w:t>**Opções documentadas**</w:t>
            </w:r>
          </w:p>
        </w:tc>
        <w:tc>
          <w:tcPr>
            <w:tcW w:type="dxa" w:w="4320"/>
          </w:tcPr>
          <w:p>
            <w:r>
              <w:t>(A) `platform_commission_params` Founder-only · (B) `finance_commission_rules` Super UI · (C) Híbrido A+B · (D) Manter dual até data X</w:t>
            </w:r>
          </w:p>
        </w:tc>
      </w:tr>
      <w:tr>
        <w:tc>
          <w:tcPr>
            <w:tcW w:type="dxa" w:w="4320"/>
          </w:tcPr>
          <w:p>
            <w:r>
              <w:t>**Consequências documentadas**</w:t>
            </w:r>
          </w:p>
        </w:tc>
        <w:tc>
          <w:tcPr>
            <w:tcW w:type="dxa" w:w="4320"/>
          </w:tcPr>
          <w:p>
            <w:r>
              <w:t>Divergência preços; risco Super alterar sem alinhar Founder; unificação código bloqueada até decisão</w:t>
            </w:r>
          </w:p>
        </w:tc>
      </w:tr>
      <w:tr>
        <w:tc>
          <w:tcPr>
            <w:tcW w:type="dxa" w:w="4320"/>
          </w:tcPr>
          <w:p>
            <w:r>
              <w:t>**Responsável**</w:t>
            </w:r>
          </w:p>
        </w:tc>
        <w:tc>
          <w:tcPr>
            <w:tcW w:type="dxa" w:w="4320"/>
          </w:tcPr>
          <w:p>
            <w:r>
              <w:t>**Founder**</w:t>
            </w:r>
          </w:p>
        </w:tc>
      </w:tr>
      <w:tr>
        <w:tc>
          <w:tcPr>
            <w:tcW w:type="dxa" w:w="4320"/>
          </w:tcPr>
          <w:p>
            <w:r>
              <w:t>**Momento**</w:t>
            </w:r>
          </w:p>
        </w:tc>
        <w:tc>
          <w:tcPr>
            <w:tcW w:type="dxa" w:w="4320"/>
          </w:tcPr>
          <w:p>
            <w:r>
              <w:t>Antes de `AUTORIZO: FASE X — unificação comissão`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D3 — Política demo vs público Beta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Conteúdo</w:t>
            </w:r>
          </w:p>
        </w:tc>
      </w:tr>
      <w:tr>
        <w:tc>
          <w:tcPr>
            <w:tcW w:type="dxa" w:w="4320"/>
          </w:tcPr>
          <w:p>
            <w:r>
              <w:t>**Questão**</w:t>
            </w:r>
          </w:p>
        </w:tc>
        <w:tc>
          <w:tcPr>
            <w:tcW w:type="dxa" w:w="4320"/>
          </w:tcPr>
          <w:p>
            <w:r>
              <w:t>Como rotular/confinar contas e dados DEMO para não confundir utilizadores Beta?</w:t>
            </w:r>
          </w:p>
        </w:tc>
      </w:tr>
      <w:tr>
        <w:tc>
          <w:tcPr>
            <w:tcW w:type="dxa" w:w="4320"/>
          </w:tcPr>
          <w:p>
            <w:r>
              <w:t>**Documentos afectados**</w:t>
            </w:r>
          </w:p>
        </w:tc>
        <w:tc>
          <w:tcPr>
            <w:tcW w:type="dxa" w:w="4320"/>
          </w:tcPr>
          <w:p>
            <w:r>
              <w:t>Beta Charter v2 §3, Doc3 BETA-04, QA Playbook T4 nota, Decision Register DEC-2026-005</w:t>
            </w:r>
          </w:p>
        </w:tc>
      </w:tr>
      <w:tr>
        <w:tc>
          <w:tcPr>
            <w:tcW w:type="dxa" w:w="4320"/>
          </w:tcPr>
          <w:p>
            <w:r>
              <w:t>**Opções documentadas**</w:t>
            </w:r>
          </w:p>
        </w:tc>
        <w:tc>
          <w:tcPr>
            <w:tcW w:type="dxa" w:w="4320"/>
          </w:tcPr>
          <w:p>
            <w:r>
              <w:t>Demo interno only · Badge "Exemplo/Ilustrativo" público · Bloqueio total demo em prod Beta</w:t>
            </w:r>
          </w:p>
        </w:tc>
      </w:tr>
      <w:tr>
        <w:tc>
          <w:tcPr>
            <w:tcW w:type="dxa" w:w="4320"/>
          </w:tcPr>
          <w:p>
            <w:r>
              <w:t>**Consequências documentadas**</w:t>
            </w:r>
          </w:p>
        </w:tc>
        <w:tc>
          <w:tcPr>
            <w:tcW w:type="dxa" w:w="4320"/>
          </w:tcPr>
          <w:p>
            <w:r>
              <w:t>Percepção enganosa; métricas Beta inválidas; confiança</w:t>
            </w:r>
          </w:p>
        </w:tc>
      </w:tr>
      <w:tr>
        <w:tc>
          <w:tcPr>
            <w:tcW w:type="dxa" w:w="4320"/>
          </w:tcPr>
          <w:p>
            <w:r>
              <w:t>**Responsável**</w:t>
            </w:r>
          </w:p>
        </w:tc>
        <w:tc>
          <w:tcPr>
            <w:tcW w:type="dxa" w:w="4320"/>
          </w:tcPr>
          <w:p>
            <w:r>
              <w:t>**Founder**</w:t>
            </w:r>
          </w:p>
        </w:tc>
      </w:tr>
      <w:tr>
        <w:tc>
          <w:tcPr>
            <w:tcW w:type="dxa" w:w="4320"/>
          </w:tcPr>
          <w:p>
            <w:r>
              <w:t>**Momento**</w:t>
            </w:r>
          </w:p>
        </w:tc>
        <w:tc>
          <w:tcPr>
            <w:tcW w:type="dxa" w:w="4320"/>
          </w:tcPr>
          <w:p>
            <w:r>
              <w:t>Antes de ciclo Beta público amplo (BETA-40)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D4 — Nível Growth Engine na Beta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Conteúdo</w:t>
            </w:r>
          </w:p>
        </w:tc>
      </w:tr>
      <w:tr>
        <w:tc>
          <w:tcPr>
            <w:tcW w:type="dxa" w:w="4320"/>
          </w:tcPr>
          <w:p>
            <w:r>
              <w:t>**Questão**</w:t>
            </w:r>
          </w:p>
        </w:tc>
        <w:tc>
          <w:tcPr>
            <w:tcW w:type="dxa" w:w="4320"/>
          </w:tcPr>
          <w:p>
            <w:r>
              <w:t>Até que nível N0–N5 activar Growth funcional durante Beta pública?</w:t>
            </w:r>
          </w:p>
        </w:tc>
      </w:tr>
      <w:tr>
        <w:tc>
          <w:tcPr>
            <w:tcW w:type="dxa" w:w="4320"/>
          </w:tcPr>
          <w:p>
            <w:r>
              <w:t>**Documentos afectados**</w:t>
            </w:r>
          </w:p>
        </w:tc>
        <w:tc>
          <w:tcPr>
            <w:tcW w:type="dxa" w:w="4320"/>
          </w:tcPr>
          <w:p>
            <w:r>
              <w:t>Growth Paper §2/§11, Doc3 GROWTH-22, Beta Charter, Decision Register DEC-2026-006</w:t>
            </w:r>
          </w:p>
        </w:tc>
      </w:tr>
      <w:tr>
        <w:tc>
          <w:tcPr>
            <w:tcW w:type="dxa" w:w="4320"/>
          </w:tcPr>
          <w:p>
            <w:r>
              <w:t>**Opções documentadas**</w:t>
            </w:r>
          </w:p>
        </w:tc>
        <w:tc>
          <w:tcPr>
            <w:tcW w:type="dxa" w:w="4320"/>
          </w:tcPr>
          <w:p>
            <w:r>
              <w:t>N0 nada · N1 instrumentação · N2 partilha · N3+ referral/campanhas</w:t>
            </w:r>
          </w:p>
        </w:tc>
      </w:tr>
      <w:tr>
        <w:tc>
          <w:tcPr>
            <w:tcW w:type="dxa" w:w="4320"/>
          </w:tcPr>
          <w:p>
            <w:r>
              <w:t>**Consequências documentadas**</w:t>
            </w:r>
          </w:p>
        </w:tc>
        <w:tc>
          <w:tcPr>
            <w:tcW w:type="dxa" w:w="4320"/>
          </w:tcPr>
          <w:p>
            <w:r>
              <w:t>Scope creep; confusão Pay vs pontos; compliance campanhas</w:t>
            </w:r>
          </w:p>
        </w:tc>
      </w:tr>
      <w:tr>
        <w:tc>
          <w:tcPr>
            <w:tcW w:type="dxa" w:w="4320"/>
          </w:tcPr>
          <w:p>
            <w:r>
              <w:t>**Responsável**</w:t>
            </w:r>
          </w:p>
        </w:tc>
        <w:tc>
          <w:tcPr>
            <w:tcW w:type="dxa" w:w="4320"/>
          </w:tcPr>
          <w:p>
            <w:r>
              <w:t>**Founder**</w:t>
            </w:r>
          </w:p>
        </w:tc>
      </w:tr>
      <w:tr>
        <w:tc>
          <w:tcPr>
            <w:tcW w:type="dxa" w:w="4320"/>
          </w:tcPr>
          <w:p>
            <w:r>
              <w:t>**Momento**</w:t>
            </w:r>
          </w:p>
        </w:tc>
        <w:tc>
          <w:tcPr>
            <w:tcW w:type="dxa" w:w="4320"/>
          </w:tcPr>
          <w:p>
            <w:r>
              <w:t>Antes de qualquer código Growth Engine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D5 — Activar alteração de email Founder/Co-Founder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Conteúdo</w:t>
            </w:r>
          </w:p>
        </w:tc>
      </w:tr>
      <w:tr>
        <w:tc>
          <w:tcPr>
            <w:tcW w:type="dxa" w:w="4320"/>
          </w:tcPr>
          <w:p>
            <w:r>
              <w:t>**Questão**</w:t>
            </w:r>
          </w:p>
        </w:tc>
        <w:tc>
          <w:tcPr>
            <w:tcW w:type="dxa" w:w="4320"/>
          </w:tcPr>
          <w:p>
            <w:r>
              <w:t>Activar agora o fluxo completo de alteração de email via Security Center?</w:t>
            </w:r>
          </w:p>
        </w:tc>
      </w:tr>
      <w:tr>
        <w:tc>
          <w:tcPr>
            <w:tcW w:type="dxa" w:w="4320"/>
          </w:tcPr>
          <w:p>
            <w:r>
              <w:t>**Documentos afectados**</w:t>
            </w:r>
          </w:p>
        </w:tc>
        <w:tc>
          <w:tcPr>
            <w:tcW w:type="dxa" w:w="4320"/>
          </w:tcPr>
          <w:p>
            <w:r>
              <w:t>ADR-027 §4–5, Doc3 DOC3-29.14/29.7, Decision Register DEC-2026-007</w:t>
            </w:r>
          </w:p>
        </w:tc>
      </w:tr>
      <w:tr>
        <w:tc>
          <w:tcPr>
            <w:tcW w:type="dxa" w:w="4320"/>
          </w:tcPr>
          <w:p>
            <w:r>
              <w:t>**Opções documentadas**</w:t>
            </w:r>
          </w:p>
        </w:tc>
        <w:tc>
          <w:tcPr>
            <w:tcW w:type="dxa" w:w="4320"/>
          </w:tcPr>
          <w:p>
            <w:r>
              <w:t>(A) Manter preparado, não activar (Fase 0) · (B) Activar com testes §29.12</w:t>
            </w:r>
          </w:p>
        </w:tc>
      </w:tr>
      <w:tr>
        <w:tc>
          <w:tcPr>
            <w:tcW w:type="dxa" w:w="4320"/>
          </w:tcPr>
          <w:p>
            <w:r>
              <w:t>**Consequências documentadas**</w:t>
            </w:r>
          </w:p>
        </w:tc>
        <w:tc>
          <w:tcPr>
            <w:tcW w:type="dxa" w:w="4320"/>
          </w:tcPr>
          <w:p>
            <w:r>
              <w:t>Activar cedo sem testes = regressão RBAC/audit; adiar = dependência email pessoal</w:t>
            </w:r>
          </w:p>
        </w:tc>
      </w:tr>
      <w:tr>
        <w:tc>
          <w:tcPr>
            <w:tcW w:type="dxa" w:w="4320"/>
          </w:tcPr>
          <w:p>
            <w:r>
              <w:t>**Responsável**</w:t>
            </w:r>
          </w:p>
        </w:tc>
        <w:tc>
          <w:tcPr>
            <w:tcW w:type="dxa" w:w="4320"/>
          </w:tcPr>
          <w:p>
            <w:r>
              <w:t>**Founder**</w:t>
            </w:r>
          </w:p>
        </w:tc>
      </w:tr>
      <w:tr>
        <w:tc>
          <w:tcPr>
            <w:tcW w:type="dxa" w:w="4320"/>
          </w:tcPr>
          <w:p>
            <w:r>
              <w:t>**Momento**</w:t>
            </w:r>
          </w:p>
        </w:tc>
        <w:tc>
          <w:tcPr>
            <w:tcW w:type="dxa" w:w="4320"/>
          </w:tcPr>
          <w:p>
            <w:r>
              <w:t>Fase dedicada identidade + suite testes ADR-027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D7 — Papel contabilista na plataforma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Conteúdo</w:t>
            </w:r>
          </w:p>
        </w:tc>
      </w:tr>
      <w:tr>
        <w:tc>
          <w:tcPr>
            <w:tcW w:type="dxa" w:w="4320"/>
          </w:tcPr>
          <w:p>
            <w:r>
              <w:t>**Questão**</w:t>
            </w:r>
          </w:p>
        </w:tc>
        <w:tc>
          <w:tcPr>
            <w:tcW w:type="dxa" w:w="4320"/>
          </w:tcPr>
          <w:p>
            <w:r>
              <w:t>Contabilista externo tem login RBAC dedicado ou apenas canal documental/off-platform?</w:t>
            </w:r>
          </w:p>
        </w:tc>
      </w:tr>
      <w:tr>
        <w:tc>
          <w:tcPr>
            <w:tcW w:type="dxa" w:w="4320"/>
          </w:tcPr>
          <w:p>
            <w:r>
              <w:t>**Documentos afectados**</w:t>
            </w:r>
          </w:p>
        </w:tc>
        <w:tc>
          <w:tcPr>
            <w:tcW w:type="dxa" w:w="4320"/>
          </w:tcPr>
          <w:p>
            <w:r>
              <w:t>FIN pack §RACI, FIN-003, FIN-008, GOV-003, Decision Register DEC-2026-008</w:t>
            </w:r>
          </w:p>
        </w:tc>
      </w:tr>
      <w:tr>
        <w:tc>
          <w:tcPr>
            <w:tcW w:type="dxa" w:w="4320"/>
          </w:tcPr>
          <w:p>
            <w:r>
              <w:t>**Opções documentadas**</w:t>
            </w:r>
          </w:p>
        </w:tc>
        <w:tc>
          <w:tcPr>
            <w:tcW w:type="dxa" w:w="4320"/>
          </w:tcPr>
          <w:p>
            <w:r>
              <w:t>(A) Papel read-only futuro · (B) Sem login — entrega mensal offline · (C) Portal export Founder-only</w:t>
            </w:r>
          </w:p>
        </w:tc>
      </w:tr>
      <w:tr>
        <w:tc>
          <w:tcPr>
            <w:tcW w:type="dxa" w:w="4320"/>
          </w:tcPr>
          <w:p>
            <w:r>
              <w:t>**Consequências documentadas**</w:t>
            </w:r>
          </w:p>
        </w:tc>
        <w:tc>
          <w:tcPr>
            <w:tcW w:type="dxa" w:w="4320"/>
          </w:tcPr>
          <w:p>
            <w:r>
              <w:t>RACI incompleto; acesso indevido a dados financeiros</w:t>
            </w:r>
          </w:p>
        </w:tc>
      </w:tr>
      <w:tr>
        <w:tc>
          <w:tcPr>
            <w:tcW w:type="dxa" w:w="4320"/>
          </w:tcPr>
          <w:p>
            <w:r>
              <w:t>**Responsável**</w:t>
            </w:r>
          </w:p>
        </w:tc>
        <w:tc>
          <w:tcPr>
            <w:tcW w:type="dxa" w:w="4320"/>
          </w:tcPr>
          <w:p>
            <w:r>
              <w:t>**Founder** + **Contabilista**</w:t>
            </w:r>
          </w:p>
        </w:tc>
      </w:tr>
      <w:tr>
        <w:tc>
          <w:tcPr>
            <w:tcW w:type="dxa" w:w="4320"/>
          </w:tcPr>
          <w:p>
            <w:r>
              <w:t>**Momento**</w:t>
            </w:r>
          </w:p>
        </w:tc>
        <w:tc>
          <w:tcPr>
            <w:tcW w:type="dxa" w:w="4320"/>
          </w:tcPr>
          <w:p>
            <w:r>
              <w:t>Antes de FIN-008 operacional e pagamentos reais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D-LEG — Validação instrumentos legais P0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Conteúdo</w:t>
            </w:r>
          </w:p>
        </w:tc>
      </w:tr>
      <w:tr>
        <w:tc>
          <w:tcPr>
            <w:tcW w:type="dxa" w:w="4320"/>
          </w:tcPr>
          <w:p>
            <w:r>
              <w:t>**Questão**</w:t>
            </w:r>
          </w:p>
        </w:tc>
        <w:tc>
          <w:tcPr>
            <w:tcW w:type="dxa" w:w="4320"/>
          </w:tcPr>
          <w:p>
            <w:r>
              <w:t>Aprovação formal LEG-001–003 (Pay, comissões, marketplace) por advogado</w:t>
            </w:r>
          </w:p>
        </w:tc>
      </w:tr>
      <w:tr>
        <w:tc>
          <w:tcPr>
            <w:tcW w:type="dxa" w:w="4320"/>
          </w:tcPr>
          <w:p>
            <w:r>
              <w:t>**Documentos afectados**</w:t>
            </w:r>
          </w:p>
        </w:tc>
        <w:tc>
          <w:tcPr>
            <w:tcW w:type="dxa" w:w="4320"/>
          </w:tcPr>
          <w:p>
            <w:r>
              <w:t>LEG pack, ADVICE registry spec, Master Table KUT-ADVICE-*</w:t>
            </w:r>
          </w:p>
        </w:tc>
      </w:tr>
      <w:tr>
        <w:tc>
          <w:tcPr>
            <w:tcW w:type="dxa" w:w="4320"/>
          </w:tcPr>
          <w:p>
            <w:r>
              <w:t>**Opções documentadas**</w:t>
            </w:r>
          </w:p>
        </w:tc>
        <w:tc>
          <w:tcPr>
            <w:tcW w:type="dxa" w:w="4320"/>
          </w:tcPr>
          <w:p>
            <w:r>
              <w:t>Validado / Pendente / Rejeitado por instrumento</w:t>
            </w:r>
          </w:p>
        </w:tc>
      </w:tr>
      <w:tr>
        <w:tc>
          <w:tcPr>
            <w:tcW w:type="dxa" w:w="4320"/>
          </w:tcPr>
          <w:p>
            <w:r>
              <w:t>**Consequências documentadas**</w:t>
            </w:r>
          </w:p>
        </w:tc>
        <w:tc>
          <w:tcPr>
            <w:tcW w:type="dxa" w:w="4320"/>
          </w:tcPr>
          <w:p>
            <w:r>
              <w:t>Pay real e comissões reais bloqueados sem parecer</w:t>
            </w:r>
          </w:p>
        </w:tc>
      </w:tr>
      <w:tr>
        <w:tc>
          <w:tcPr>
            <w:tcW w:type="dxa" w:w="4320"/>
          </w:tcPr>
          <w:p>
            <w:r>
              <w:t>**Responsável**</w:t>
            </w:r>
          </w:p>
        </w:tc>
        <w:tc>
          <w:tcPr>
            <w:tcW w:type="dxa" w:w="4320"/>
          </w:tcPr>
          <w:p>
            <w:r>
              <w:t>**Advogado** + **Founder**</w:t>
            </w:r>
          </w:p>
        </w:tc>
      </w:tr>
      <w:tr>
        <w:tc>
          <w:tcPr>
            <w:tcW w:type="dxa" w:w="4320"/>
          </w:tcPr>
          <w:p>
            <w:r>
              <w:t>**Momento**</w:t>
            </w:r>
          </w:p>
        </w:tc>
        <w:tc>
          <w:tcPr>
            <w:tcW w:type="dxa" w:w="4320"/>
          </w:tcPr>
          <w:p>
            <w:r>
              <w:t>Antes Kuteka Pay produção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D-LEG-RENT — Cobrança de renda e liquidação ao PP (NOVO — 2026-08-29)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Conteúdo</w:t>
            </w:r>
          </w:p>
        </w:tc>
      </w:tr>
      <w:tr>
        <w:tc>
          <w:tcPr>
            <w:tcW w:type="dxa" w:w="4320"/>
          </w:tcPr>
          <w:p>
            <w:r>
              <w:t>**Questão**</w:t>
            </w:r>
          </w:p>
        </w:tc>
        <w:tc>
          <w:tcPr>
            <w:tcW w:type="dxa" w:w="4320"/>
          </w:tcPr>
          <w:p>
            <w:r>
              <w:t>Pode a Kuteka estruturar contratualmente a **cobrança da renda** e a **liquidação do valor ao PP**, recebendo a sua **comissão contratual**, através de uma infraestrutura/PSP autorizada, **sem configurar custódia indevida** de fundos de terceiros? Qual estrutura jurídica e contratual é necessária?</w:t>
            </w:r>
          </w:p>
        </w:tc>
      </w:tr>
      <w:tr>
        <w:tc>
          <w:tcPr>
            <w:tcW w:type="dxa" w:w="4320"/>
          </w:tcPr>
          <w:p>
            <w:r>
              <w:t>**Documentos afectados**</w:t>
            </w:r>
          </w:p>
        </w:tc>
        <w:tc>
          <w:tcPr>
            <w:tcW w:type="dxa" w:w="4320"/>
          </w:tcPr>
          <w:p>
            <w:r>
              <w:t>[KUTEKA_RENT_SETTLEMENT_BUSINESS_MODEL_FASE0.md](../finance/KUTEKA_RENT_SETTLEMENT_BUSINESS_MODEL_FASE0.md), LEG-001, LEG-003, LEG-011, ADVICE-001</w:t>
            </w:r>
          </w:p>
        </w:tc>
      </w:tr>
      <w:tr>
        <w:tc>
          <w:tcPr>
            <w:tcW w:type="dxa" w:w="4320"/>
          </w:tcPr>
          <w:p>
            <w:r>
              <w:t>**Opções documentadas**</w:t>
            </w:r>
          </w:p>
        </w:tc>
        <w:tc>
          <w:tcPr>
            <w:tcW w:type="dxa" w:w="4320"/>
          </w:tcPr>
          <w:p>
            <w:r>
              <w:t>(A) Agregador/plataforma com PSP split · (B) Kuteka cobra só comissão; PP recebe directo · (C) Modelo híbrido contrato gestão · (D) Outro — advogado especifica</w:t>
            </w:r>
          </w:p>
        </w:tc>
      </w:tr>
      <w:tr>
        <w:tc>
          <w:tcPr>
            <w:tcW w:type="dxa" w:w="4320"/>
          </w:tcPr>
          <w:p>
            <w:r>
              <w:t>**Consequências documentadas**</w:t>
            </w:r>
          </w:p>
        </w:tc>
        <w:tc>
          <w:tcPr>
            <w:tcW w:type="dxa" w:w="4320"/>
          </w:tcPr>
          <w:p>
            <w:r>
              <w:t>Pay renda real bloqueado; risco regulatório BNA; responsabilidade civil</w:t>
            </w:r>
          </w:p>
        </w:tc>
      </w:tr>
      <w:tr>
        <w:tc>
          <w:tcPr>
            <w:tcW w:type="dxa" w:w="4320"/>
          </w:tcPr>
          <w:p>
            <w:r>
              <w:t>**Responsável**</w:t>
            </w:r>
          </w:p>
        </w:tc>
        <w:tc>
          <w:tcPr>
            <w:tcW w:type="dxa" w:w="4320"/>
          </w:tcPr>
          <w:p>
            <w:r>
              <w:t>**Advogado** + **Founder**</w:t>
            </w:r>
          </w:p>
        </w:tc>
      </w:tr>
      <w:tr>
        <w:tc>
          <w:tcPr>
            <w:tcW w:type="dxa" w:w="4320"/>
          </w:tcPr>
          <w:p>
            <w:r>
              <w:t>**Momento**</w:t>
            </w:r>
          </w:p>
        </w:tc>
        <w:tc>
          <w:tcPr>
            <w:tcW w:type="dxa" w:w="4320"/>
          </w:tcPr>
          <w:p>
            <w:r>
              <w:t>Antes activar cobrança renda real via Kuteka Pay</w:t>
            </w:r>
          </w:p>
        </w:tc>
      </w:tr>
    </w:tbl>
    <w:p/>
    <w:p>
      <w:r>
        <w:t>Sub-questões explícitas (não decidir sem parecer): merchant of record; papel Kuteka vs PP; termos Cliente/PP; limites responsabilidade; enquadramento BNA.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D-FIN — Validação tratamento contabilístico comissões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Conteúdo</w:t>
            </w:r>
          </w:p>
        </w:tc>
      </w:tr>
      <w:tr>
        <w:tc>
          <w:tcPr>
            <w:tcW w:type="dxa" w:w="4320"/>
          </w:tcPr>
          <w:p>
            <w:r>
              <w:t>**Questão**</w:t>
            </w:r>
          </w:p>
        </w:tc>
        <w:tc>
          <w:tcPr>
            <w:tcW w:type="dxa" w:w="4320"/>
          </w:tcPr>
          <w:p>
            <w:r>
              <w:t>Tratamento contabilístico/fiscal comissão 35% e fluxos sandbox</w:t>
            </w:r>
          </w:p>
        </w:tc>
      </w:tr>
      <w:tr>
        <w:tc>
          <w:tcPr>
            <w:tcW w:type="dxa" w:w="4320"/>
          </w:tcPr>
          <w:p>
            <w:r>
              <w:t>**Documentos afectados**</w:t>
            </w:r>
          </w:p>
        </w:tc>
        <w:tc>
          <w:tcPr>
            <w:tcW w:type="dxa" w:w="4320"/>
          </w:tcPr>
          <w:p>
            <w:r>
              <w:t>FIN-001, FIN-005, FIN-008, KUT-ADVICE-002</w:t>
            </w:r>
          </w:p>
        </w:tc>
      </w:tr>
      <w:tr>
        <w:tc>
          <w:tcPr>
            <w:tcW w:type="dxa" w:w="4320"/>
          </w:tcPr>
          <w:p>
            <w:r>
              <w:t>**Opções documentadas**</w:t>
            </w:r>
          </w:p>
        </w:tc>
        <w:tc>
          <w:tcPr>
            <w:tcW w:type="dxa" w:w="4320"/>
          </w:tcPr>
          <w:p>
            <w:r>
              <w:t>Conforme parecer contabilista registado</w:t>
            </w:r>
          </w:p>
        </w:tc>
      </w:tr>
      <w:tr>
        <w:tc>
          <w:tcPr>
            <w:tcW w:type="dxa" w:w="4320"/>
          </w:tcPr>
          <w:p>
            <w:r>
              <w:t>**Consequências documentadas**</w:t>
            </w:r>
          </w:p>
        </w:tc>
        <w:tc>
          <w:tcPr>
            <w:tcW w:type="dxa" w:w="4320"/>
          </w:tcPr>
          <w:p>
            <w:r>
              <w:t>Risco fiscal; reporting incorrecto</w:t>
            </w:r>
          </w:p>
        </w:tc>
      </w:tr>
      <w:tr>
        <w:tc>
          <w:tcPr>
            <w:tcW w:type="dxa" w:w="4320"/>
          </w:tcPr>
          <w:p>
            <w:r>
              <w:t>**Responsável**</w:t>
            </w:r>
          </w:p>
        </w:tc>
        <w:tc>
          <w:tcPr>
            <w:tcW w:type="dxa" w:w="4320"/>
          </w:tcPr>
          <w:p>
            <w:r>
              <w:t>**Contabilista** + **Founder**</w:t>
            </w:r>
          </w:p>
        </w:tc>
      </w:tr>
      <w:tr>
        <w:tc>
          <w:tcPr>
            <w:tcW w:type="dxa" w:w="4320"/>
          </w:tcPr>
          <w:p>
            <w:r>
              <w:t>**Momento**</w:t>
            </w:r>
          </w:p>
        </w:tc>
        <w:tc>
          <w:tcPr>
            <w:tcW w:type="dxa" w:w="4320"/>
          </w:tcPr>
          <w:p>
            <w:r>
              <w:t>Antes activação financeira real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D-FIN-RENT — Contabilização renda / comissão / saldo PP (NOVO — 2026-08-29)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Conteúdo</w:t>
            </w:r>
          </w:p>
        </w:tc>
      </w:tr>
      <w:tr>
        <w:tc>
          <w:tcPr>
            <w:tcW w:type="dxa" w:w="4320"/>
          </w:tcPr>
          <w:p>
            <w:r>
              <w:t>**Questão**</w:t>
            </w:r>
          </w:p>
        </w:tc>
        <w:tc>
          <w:tcPr>
            <w:tcW w:type="dxa" w:w="4320"/>
          </w:tcPr>
          <w:p>
            <w:r>
              <w:t>Como deve ser contabilizado o **valor total recebido** relativo à renda, a **comissão da Kuteka** e o **valor pertencente ao PP**? Qual é o tratamento contabilístico/fiscal correcto?</w:t>
            </w:r>
          </w:p>
        </w:tc>
      </w:tr>
      <w:tr>
        <w:tc>
          <w:tcPr>
            <w:tcW w:type="dxa" w:w="4320"/>
          </w:tcPr>
          <w:p>
            <w:r>
              <w:t>**Documentos afectados**</w:t>
            </w:r>
          </w:p>
        </w:tc>
        <w:tc>
          <w:tcPr>
            <w:tcW w:type="dxa" w:w="4320"/>
          </w:tcPr>
          <w:p>
            <w:r>
              <w:t>[KUTEKA_RENT_SETTLEMENT_BUSINESS_MODEL_FASE0.md](../finance/KUTEKA_RENT_SETTLEMENT_BUSINESS_MODEL_FASE0.md), FIN-001, FIN-004, FIN-008, ADVICE-002, ADVICE-003</w:t>
            </w:r>
          </w:p>
        </w:tc>
      </w:tr>
      <w:tr>
        <w:tc>
          <w:tcPr>
            <w:tcW w:type="dxa" w:w="4320"/>
          </w:tcPr>
          <w:p>
            <w:r>
              <w:t>**Opções documentadas**</w:t>
            </w:r>
          </w:p>
        </w:tc>
        <w:tc>
          <w:tcPr>
            <w:tcW w:type="dxa" w:w="4320"/>
          </w:tcPr>
          <w:p>
            <w:r>
              <w:t>Conforme plano contas e parecer; pass-through vs receita bruta; momento reconhecimento comissão</w:t>
            </w:r>
          </w:p>
        </w:tc>
      </w:tr>
      <w:tr>
        <w:tc>
          <w:tcPr>
            <w:tcW w:type="dxa" w:w="4320"/>
          </w:tcPr>
          <w:p>
            <w:r>
              <w:t>**Consequências documentadas**</w:t>
            </w:r>
          </w:p>
        </w:tc>
        <w:tc>
          <w:tcPr>
            <w:tcW w:type="dxa" w:w="4320"/>
          </w:tcPr>
          <w:p>
            <w:r>
              <w:t>IVA/imposto incorrecto; passivo PP mal classificado; auditoria falha</w:t>
            </w:r>
          </w:p>
        </w:tc>
      </w:tr>
      <w:tr>
        <w:tc>
          <w:tcPr>
            <w:tcW w:type="dxa" w:w="4320"/>
          </w:tcPr>
          <w:p>
            <w:r>
              <w:t>**Responsável**</w:t>
            </w:r>
          </w:p>
        </w:tc>
        <w:tc>
          <w:tcPr>
            <w:tcW w:type="dxa" w:w="4320"/>
          </w:tcPr>
          <w:p>
            <w:r>
              <w:t>**Contabilista** + **Founder**</w:t>
            </w:r>
          </w:p>
        </w:tc>
      </w:tr>
      <w:tr>
        <w:tc>
          <w:tcPr>
            <w:tcW w:type="dxa" w:w="4320"/>
          </w:tcPr>
          <w:p>
            <w:r>
              <w:t>**Momento**</w:t>
            </w:r>
          </w:p>
        </w:tc>
        <w:tc>
          <w:tcPr>
            <w:tcW w:type="dxa" w:w="4320"/>
          </w:tcPr>
          <w:p>
            <w:r>
              <w:t>Antes FIN-008 operacional e cobrança renda real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D-BCP — Promover BCP/DRP v0.9 → KUT formais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Conteúdo</w:t>
            </w:r>
          </w:p>
        </w:tc>
      </w:tr>
      <w:tr>
        <w:tc>
          <w:tcPr>
            <w:tcW w:type="dxa" w:w="4320"/>
          </w:tcPr>
          <w:p>
            <w:r>
              <w:t>**Questão**</w:t>
            </w:r>
          </w:p>
        </w:tc>
        <w:tc>
          <w:tcPr>
            <w:tcW w:type="dxa" w:w="4320"/>
          </w:tcPr>
          <w:p>
            <w:r>
              <w:t>Executar renomeação/promoção documental BCP v0.9 e DRP v0.9 para KUT-BCP-001 / KUT-DRP-001?</w:t>
            </w:r>
          </w:p>
        </w:tc>
      </w:tr>
      <w:tr>
        <w:tc>
          <w:tcPr>
            <w:tcW w:type="dxa" w:w="4320"/>
          </w:tcPr>
          <w:p>
            <w:r>
              <w:t>**Documentos afectados**</w:t>
            </w:r>
          </w:p>
        </w:tc>
        <w:tc>
          <w:tcPr>
            <w:tcW w:type="dxa" w:w="4320"/>
          </w:tcPr>
          <w:p>
            <w:r>
              <w:t>Compliance pack §POL-010, Master Table BCP/DRP</w:t>
            </w:r>
          </w:p>
        </w:tc>
      </w:tr>
      <w:tr>
        <w:tc>
          <w:tcPr>
            <w:tcW w:type="dxa" w:w="4320"/>
          </w:tcPr>
          <w:p>
            <w:r>
              <w:t>**Opções documentadas**</w:t>
            </w:r>
          </w:p>
        </w:tc>
        <w:tc>
          <w:tcPr>
            <w:tcW w:type="dxa" w:w="4320"/>
          </w:tcPr>
          <w:p>
            <w:r>
              <w:t>(A) Promover header KUT mantendo conteúdo · (B) Aguardar revisão ops</w:t>
            </w:r>
          </w:p>
        </w:tc>
      </w:tr>
      <w:tr>
        <w:tc>
          <w:tcPr>
            <w:tcW w:type="dxa" w:w="4320"/>
          </w:tcPr>
          <w:p>
            <w:r>
              <w:t>**Consequências documentadas**</w:t>
            </w:r>
          </w:p>
        </w:tc>
        <w:tc>
          <w:tcPr>
            <w:tcW w:type="dxa" w:w="4320"/>
          </w:tcPr>
          <w:p>
            <w:r>
              <w:t>Duplicação nomes; confusão auditoria</w:t>
            </w:r>
          </w:p>
        </w:tc>
      </w:tr>
      <w:tr>
        <w:tc>
          <w:tcPr>
            <w:tcW w:type="dxa" w:w="4320"/>
          </w:tcPr>
          <w:p>
            <w:r>
              <w:t>**Responsável**</w:t>
            </w:r>
          </w:p>
        </w:tc>
        <w:tc>
          <w:tcPr>
            <w:tcW w:type="dxa" w:w="4320"/>
          </w:tcPr>
          <w:p>
            <w:r>
              <w:t>**Founder** + **Ops**</w:t>
            </w:r>
          </w:p>
        </w:tc>
      </w:tr>
      <w:tr>
        <w:tc>
          <w:tcPr>
            <w:tcW w:type="dxa" w:w="4320"/>
          </w:tcPr>
          <w:p>
            <w:r>
              <w:t>**Momento**</w:t>
            </w:r>
          </w:p>
        </w:tc>
        <w:tc>
          <w:tcPr>
            <w:tcW w:type="dxa" w:w="4320"/>
          </w:tcPr>
          <w:p>
            <w:r>
              <w:t>Fase documental ops ou Fase 1 infra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Precedência documental (já estabelecida — não alterar)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Conflito</w:t>
            </w:r>
          </w:p>
        </w:tc>
        <w:tc>
          <w:tcPr>
            <w:tcW w:type="dxa" w:w="4320"/>
          </w:tcPr>
          <w:p>
            <w:r>
              <w:t>Regra prevalecente</w:t>
            </w:r>
          </w:p>
        </w:tc>
      </w:tr>
      <w:tr>
        <w:tc>
          <w:tcPr>
            <w:tcW w:type="dxa" w:w="4320"/>
          </w:tcPr>
          <w:p>
            <w:r>
              <w:t>FIN IDs Doc1 vs Doc2</w:t>
            </w:r>
          </w:p>
        </w:tc>
        <w:tc>
          <w:tcPr>
            <w:tcW w:type="dxa" w:w="4320"/>
          </w:tcPr>
          <w:p>
            <w:r>
              <w:t>**C1** (2026-08-28 Founder)</w:t>
            </w:r>
          </w:p>
        </w:tc>
      </w:tr>
      <w:tr>
        <w:tc>
          <w:tcPr>
            <w:tcW w:type="dxa" w:w="4320"/>
          </w:tcPr>
          <w:p>
            <w:r>
              <w:t>Comissão dual path</w:t>
            </w:r>
          </w:p>
        </w:tc>
        <w:tc>
          <w:tcPr>
            <w:tcW w:type="dxa" w:w="4320"/>
          </w:tcPr>
          <w:p>
            <w:r>
              <w:t>**C2** documenta ambas; **D1** resolve</w:t>
            </w:r>
          </w:p>
        </w:tc>
      </w:tr>
      <w:tr>
        <w:tc>
          <w:tcPr>
            <w:tcW w:type="dxa" w:w="4320"/>
          </w:tcPr>
          <w:p>
            <w:r>
              <w:t>Beta Charter v1.4 vs v2</w:t>
            </w:r>
          </w:p>
        </w:tc>
        <w:tc>
          <w:tcPr>
            <w:tcW w:type="dxa" w:w="4320"/>
          </w:tcPr>
          <w:p>
            <w:r>
              <w:t>**Ambos** — v1.4 sprints; v2 ecossistema</w:t>
            </w:r>
          </w:p>
        </w:tc>
      </w:tr>
      <w:tr>
        <w:tc>
          <w:tcPr>
            <w:tcW w:type="dxa" w:w="4320"/>
          </w:tcPr>
          <w:p>
            <w:r>
              <w:t>Growth vs Beta freeze</w:t>
            </w:r>
          </w:p>
        </w:tc>
        <w:tc>
          <w:tcPr>
            <w:tcW w:type="dxa" w:w="4320"/>
          </w:tcPr>
          <w:p>
            <w:r>
              <w:t>**Growth bloqueado** até **D4**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Referências</w:t>
      </w:r>
    </w:p>
    <w:p>
      <w:pPr>
        <w:pStyle w:val="ListBullet"/>
      </w:pPr>
      <w:r>
        <w:t>[Decision Register template](../templates/KUT-GOV-002_DECISION_REGISTER_TEMPLATE.md)</w:t>
      </w:r>
    </w:p>
    <w:p>
      <w:pPr>
        <w:pStyle w:val="ListBullet"/>
      </w:pPr>
      <w:r>
        <w:t>[Handover](./KUTEKA_FASE0_HANDOVER_2026-08-28.md)</w:t>
      </w:r>
    </w:p>
    <w:p>
      <w:pPr>
        <w:pStyle w:val="ListBullet"/>
      </w:pPr>
      <w:r>
        <w:t>[Manifest](./KUTEKA_FASE0_DELIVERY_MANIFEST_2026-08-28.md)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