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KUT-POL / CMP / BCP / DRP / INC — Compliance Pack v0.1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0.1-DRAFT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Rascunho Fase 0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KUT-POL-001 — Política de Segurança da Informação</w:t>
      </w:r>
    </w:p>
    <w:p>
      <w:r>
        <w:t>Nível: Regra empresarial (PRO desce implementação)</w:t>
      </w:r>
    </w:p>
    <w:p>
      <w:pPr>
        <w:pStyle w:val="ListBullet"/>
      </w:pPr>
      <w:r>
        <w:t>Acessos mínimos, MFA para admin, logs, incidentes</w:t>
      </w:r>
    </w:p>
    <w:p>
      <w:pPr>
        <w:pStyle w:val="ListBullet"/>
      </w:pPr>
      <w:r>
        <w:t>Referência: ADR-026, Security Center</w:t>
      </w:r>
    </w:p>
    <w:p>
      <w:pPr>
        <w:pStyle w:val="ListBullet"/>
      </w:pPr>
      <w:r>
        <w:t>**Estado:** 🔴 formal KUT-POL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KUT-POL-002 — Política de Protecção de Dados</w:t>
      </w:r>
    </w:p>
    <w:p>
      <w:r>
        <w:t>Base: POLITICA_PRIVACIDADE_v1.md → promover a POL-002 formal</w:t>
      </w:r>
    </w:p>
    <w:p>
      <w:pPr>
        <w:pStyle w:val="ListBullet"/>
      </w:pPr>
      <w:r>
        <w:t>Bases legais, retenção, direitos titular, DPO contacto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KUT-POL-003 — Política Financeira</w:t>
      </w:r>
    </w:p>
    <w:p>
      <w:r>
        <w:t>Princípios: segregação, aprovações, sandbox vs real, SoD comissão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KUT-POL-004 — Política de Pagamentos</w:t>
      </w:r>
    </w:p>
    <w:p>
      <w:r>
        <w:t>Quando nasce/paga/falha/reembolsa; gates KYC por risco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KUT-POL-005 — Política de Comissões</w:t>
      </w:r>
    </w:p>
    <w:p>
      <w:pPr>
        <w:pStyle w:val="ListBullet"/>
      </w:pPr>
      <w:r>
        <w:t>Activacao 35% Founder-only</w:t>
      </w:r>
    </w:p>
    <w:p>
      <w:pPr>
        <w:pStyle w:val="ListBullet"/>
      </w:pPr>
      <w:r>
        <w:t>Ver [C2](../finance/C2_KUT-FIN-005_DUAL_COMMISSION_PATHS.md)</w:t>
      </w:r>
    </w:p>
    <w:p>
      <w:pPr>
        <w:pStyle w:val="ListBullet"/>
      </w:pPr>
      <w:r>
        <w:t>Sem retroactividade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KUT-POL-006 — Política de Reembolsos</w:t>
      </w:r>
    </w:p>
    <w:p>
      <w:r>
        <w:t>Distinto FIN-009 (procedimento) e LEG-043 (contrato)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KUT-POL-007 — Política Gestão Prestadores</w:t>
      </w:r>
    </w:p>
    <w:p>
      <w:r>
        <w:t>Onboarding, moderação, comissão, publicidade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KUT-POL-008 — Política Gestão Agentes</w:t>
      </w:r>
    </w:p>
    <w:p>
      <w:r>
        <w:t>Conduta, leads, conflitos, visitas — alinhar LEG-040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KUT-POL-009 — Política Conflitos de Interesse</w:t>
      </w:r>
    </w:p>
    <w:p>
      <w:r>
        <w:t>Declaração, sanções — agente/prestador/PP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KUT-POL-010 — Política Continuidade do Negócio</w:t>
      </w:r>
    </w:p>
    <w:p>
      <w:r>
        <w:t>Base: promover BCP v0.9 + DRP v0.9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KUT-CMP-001 — Compliance Framework</w:t>
      </w:r>
    </w:p>
    <w:p>
      <w:pPr>
        <w:pStyle w:val="ListNumber"/>
      </w:pPr>
      <w:r>
        <w:t>Inventário políticas POL/LEG/FIN</w:t>
      </w:r>
    </w:p>
    <w:p>
      <w:pPr>
        <w:pStyle w:val="ListNumber"/>
      </w:pPr>
      <w:r>
        <w:t>Responsáveis por domínio</w:t>
      </w:r>
    </w:p>
    <w:p>
      <w:pPr>
        <w:pStyle w:val="ListNumber"/>
      </w:pPr>
      <w:r>
        <w:t>Calendário revisão</w:t>
      </w:r>
    </w:p>
    <w:p>
      <w:pPr>
        <w:pStyle w:val="ListNumber"/>
      </w:pPr>
      <w:r>
        <w:t>Registo pareceres ADVICE</w:t>
      </w:r>
    </w:p>
    <w:p>
      <w:pPr>
        <w:pStyle w:val="ListNumber"/>
      </w:pPr>
      <w:r>
        <w:t>Roadmap compliance Founder Center (futuro)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KUT-CMP-002 — Tax Compliance Procedure</w:t>
      </w:r>
    </w:p>
    <w:p>
      <w:pPr>
        <w:pStyle w:val="ListBullet"/>
      </w:pPr>
      <w:r>
        <w:t>Calendário fiscal Angola (manual)</w:t>
      </w:r>
    </w:p>
    <w:p>
      <w:pPr>
        <w:pStyle w:val="ListBullet"/>
      </w:pPr>
      <w:r>
        <w:t>Export SAF-T comentado — **sem scraping AGT**</w:t>
      </w:r>
    </w:p>
    <w:p>
      <w:pPr>
        <w:pStyle w:val="ListBullet"/>
      </w:pPr>
      <w:r>
        <w:t>Evidências por período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KUT-CMP-003 — Payment Compliance Framework</w:t>
      </w:r>
    </w:p>
    <w:p>
      <w:r>
        <w:t>Bloqueado até LEG-003 + ADVICE-001. Classificação D.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KUT-BCP-001 — Business Continuity Plan</w:t>
      </w:r>
    </w:p>
    <w:p>
      <w:r>
        <w:t>Acção Fase 0: Promover BUSINESS_CONTINUITY_PLAN_v0.9.md → KUT-BCP-001 v1.0-KUT (renomear header, manter conteúdo)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KUT-DRP-001 — Disaster Recovery Plan</w:t>
      </w:r>
    </w:p>
    <w:p>
      <w:r>
        <w:t>Acção Fase 0: Promover DISASTER_RECOVERY_PLAN_v0.9.md → KUT-DRP-001 v1.0-KUT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KUT-INC-001 — Incident Management Procedure</w:t>
      </w:r>
    </w:p>
    <w:p>
      <w:pPr>
        <w:pStyle w:val="ListNumber"/>
      </w:pPr>
      <w:r>
        <w:t>Classificação (P1–P4)</w:t>
      </w:r>
    </w:p>
    <w:p>
      <w:pPr>
        <w:pStyle w:val="ListNumber"/>
      </w:pPr>
      <w:r>
        <w:t>Resposta e comunicação</w:t>
      </w:r>
    </w:p>
    <w:p>
      <w:pPr>
        <w:pStyle w:val="ListNumber"/>
      </w:pPr>
      <w:r>
        <w:t>Pós-mortem</w:t>
      </w:r>
    </w:p>
    <w:p>
      <w:pPr>
        <w:pStyle w:val="ListNumber"/>
      </w:pPr>
      <w:r>
        <w:t>Template: [KUT-INC-2026-001](../templates/KUT-INC-2026-001_TEMPLATE.md)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KUT-DOC-001 — Document Management Policy</w:t>
      </w:r>
    </w:p>
    <w:p>
      <w:pPr>
        <w:pStyle w:val="ListBullet"/>
      </w:pPr>
      <w:r>
        <w:t>Versionamento sem apagar histórico</w:t>
      </w:r>
    </w:p>
    <w:p>
      <w:pPr>
        <w:pStyle w:val="ListBullet"/>
      </w:pPr>
      <w:r>
        <w:t>Estados: Rascunho → Revisão → Validado → Publicado → Arquivado</w:t>
      </w:r>
    </w:p>
    <w:p>
      <w:pPr>
        <w:pStyle w:val="ListBullet"/>
      </w:pPr>
      <w:r>
        <w:t>Legal Pack no Master Dossier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Histórico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Alteração</w:t>
            </w:r>
          </w:p>
        </w:tc>
      </w:tr>
      <w:tr>
        <w:tc>
          <w:tcPr>
            <w:tcW w:type="dxa" w:w="2880"/>
          </w:tcPr>
          <w:p>
            <w:r>
              <w:t>0.1-DRAFT</w:t>
            </w:r>
          </w:p>
        </w:tc>
        <w:tc>
          <w:tcPr>
            <w:tcW w:type="dxa" w:w="2880"/>
          </w:tcPr>
          <w:p>
            <w:r>
              <w:t>2026-08-28</w:t>
            </w:r>
          </w:p>
        </w:tc>
        <w:tc>
          <w:tcPr>
            <w:tcW w:type="dxa" w:w="2880"/>
          </w:tcPr>
          <w:p>
            <w:r>
              <w:t>Fase 0 compliance pack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