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6948" w14:textId="59BFF5B8" w:rsidR="003F6125" w:rsidRPr="00182DF5" w:rsidRDefault="00182DF5" w:rsidP="00182DF5">
      <w:pPr>
        <w:pStyle w:val="Ttulo1"/>
        <w:jc w:val="both"/>
        <w:rPr>
          <w:rFonts w:ascii="Times New Roman" w:hAnsi="Times New Roman" w:cs="Times New Roman"/>
          <w:b/>
          <w:color w:val="auto"/>
        </w:rPr>
      </w:pPr>
      <w:r w:rsidRPr="00182DF5">
        <w:rPr>
          <w:rFonts w:ascii="Times New Roman" w:hAnsi="Times New Roman" w:cs="Times New Roman"/>
          <w:b/>
          <w:color w:val="auto"/>
        </w:rPr>
        <w:t>AVALIAÇÃO DO RISCO RADIOLÓGICO AMBIENTAL EM AMBIENTE MARINHO E SEUS COMPARTIMENTOS A PARTIR DE UMA LIBERAÇÃO NÃO PLANEJADA EM UMA USINA NUCLEAR DO TIPO PWR.</w:t>
      </w:r>
    </w:p>
    <w:p w14:paraId="206EE52C" w14:textId="2BB51C7E" w:rsidR="003F6125" w:rsidRDefault="003F6125" w:rsidP="003F6125">
      <w:pPr>
        <w:pStyle w:val="texto"/>
        <w:spacing w:after="120"/>
        <w:ind w:right="0"/>
        <w:rPr>
          <w:rFonts w:ascii="Segoe UI" w:hAnsi="Segoe UI" w:cs="Segoe UI"/>
          <w:sz w:val="20"/>
        </w:rPr>
      </w:pPr>
    </w:p>
    <w:p w14:paraId="595A7FAE" w14:textId="77777777" w:rsidR="003F6125" w:rsidRDefault="003F6125" w:rsidP="003F6125">
      <w:pPr>
        <w:pStyle w:val="texto"/>
        <w:spacing w:after="120"/>
        <w:ind w:left="567" w:right="0"/>
        <w:rPr>
          <w:rFonts w:ascii="Segoe UI" w:hAnsi="Segoe UI" w:cs="Segoe UI"/>
          <w:b/>
          <w:bCs/>
          <w:sz w:val="20"/>
        </w:rPr>
      </w:pPr>
    </w:p>
    <w:p w14:paraId="06B026EF" w14:textId="77777777" w:rsidR="003F6125" w:rsidRPr="00182DF5" w:rsidRDefault="003F6125" w:rsidP="003F6125">
      <w:pPr>
        <w:pStyle w:val="PargrafodaLista"/>
        <w:tabs>
          <w:tab w:val="left" w:pos="426"/>
        </w:tabs>
        <w:spacing w:after="120"/>
        <w:ind w:right="1871"/>
        <w:rPr>
          <w:rFonts w:ascii="Times New Roman" w:hAnsi="Times New Roman" w:cs="Times New Roman"/>
          <w:b/>
          <w:bCs/>
          <w:sz w:val="24"/>
          <w:szCs w:val="24"/>
        </w:rPr>
      </w:pPr>
    </w:p>
    <w:p w14:paraId="2ED24B09" w14:textId="77777777" w:rsidR="003F6125" w:rsidRPr="00182DF5" w:rsidRDefault="003F6125" w:rsidP="003F6125">
      <w:pPr>
        <w:numPr>
          <w:ilvl w:val="0"/>
          <w:numId w:val="2"/>
        </w:numPr>
        <w:tabs>
          <w:tab w:val="left" w:pos="567"/>
        </w:tabs>
        <w:ind w:right="1871"/>
        <w:jc w:val="both"/>
        <w:rPr>
          <w:rFonts w:ascii="Times New Roman" w:hAnsi="Times New Roman"/>
          <w:b/>
          <w:sz w:val="24"/>
          <w:szCs w:val="24"/>
        </w:rPr>
      </w:pPr>
      <w:r w:rsidRPr="00182DF5">
        <w:rPr>
          <w:rFonts w:ascii="Times New Roman" w:hAnsi="Times New Roman"/>
          <w:b/>
          <w:sz w:val="24"/>
          <w:szCs w:val="24"/>
        </w:rPr>
        <w:t>RESUMO</w:t>
      </w:r>
    </w:p>
    <w:p w14:paraId="54955230" w14:textId="77777777" w:rsidR="003F6125" w:rsidRPr="00182DF5" w:rsidRDefault="003F6125" w:rsidP="00767789">
      <w:pPr>
        <w:tabs>
          <w:tab w:val="left" w:pos="567"/>
        </w:tabs>
        <w:jc w:val="both"/>
        <w:rPr>
          <w:rFonts w:ascii="Times New Roman" w:hAnsi="Times New Roman"/>
          <w:b/>
          <w:sz w:val="24"/>
          <w:szCs w:val="24"/>
        </w:rPr>
      </w:pPr>
    </w:p>
    <w:p w14:paraId="7F7EE4EF" w14:textId="2C634F91"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 xml:space="preserve">Diante de um cenário hipotético de vazamento de todo o conteúdo do Tanque de Água de Recarregamento (TAR), a </w:t>
      </w:r>
      <w:r w:rsidR="00767789">
        <w:rPr>
          <w:rFonts w:ascii="Times New Roman" w:hAnsi="Times New Roman"/>
          <w:bCs/>
          <w:sz w:val="24"/>
          <w:szCs w:val="24"/>
        </w:rPr>
        <w:t>Eletronuclear</w:t>
      </w:r>
      <w:r w:rsidRPr="00182DF5">
        <w:rPr>
          <w:rFonts w:ascii="Times New Roman" w:hAnsi="Times New Roman"/>
          <w:bCs/>
          <w:sz w:val="24"/>
          <w:szCs w:val="24"/>
        </w:rPr>
        <w:t xml:space="preserve"> utilizou uma série de documentos para formular uma resposta embasada no que diz respeito a um provável impacto ao meio ambiente. Após a utilização de equações específicas para os seguintes compartimentos ambientais: Água, peixes, invertebrados e sedimento, foram encontradas as concentrações dos radionuclídeos e comparadas aos níveis de notificação e, em nenhum dos casos, as concentrações ultrapassaram tais níveis.</w:t>
      </w:r>
    </w:p>
    <w:p w14:paraId="42219B70" w14:textId="77777777" w:rsidR="003F6125" w:rsidRPr="00182DF5" w:rsidRDefault="003F6125" w:rsidP="00767789">
      <w:pPr>
        <w:tabs>
          <w:tab w:val="left" w:pos="567"/>
        </w:tabs>
        <w:spacing w:before="60"/>
        <w:jc w:val="both"/>
        <w:rPr>
          <w:rFonts w:ascii="Times New Roman" w:hAnsi="Times New Roman"/>
          <w:b/>
          <w:sz w:val="24"/>
          <w:szCs w:val="24"/>
        </w:rPr>
      </w:pPr>
    </w:p>
    <w:p w14:paraId="1E54DFD9" w14:textId="77777777" w:rsidR="003F6125" w:rsidRPr="00182DF5" w:rsidRDefault="003F6125" w:rsidP="00767789">
      <w:pPr>
        <w:numPr>
          <w:ilvl w:val="0"/>
          <w:numId w:val="2"/>
        </w:numPr>
        <w:tabs>
          <w:tab w:val="left" w:pos="567"/>
        </w:tabs>
        <w:jc w:val="both"/>
        <w:rPr>
          <w:rFonts w:ascii="Times New Roman" w:hAnsi="Times New Roman"/>
          <w:b/>
          <w:sz w:val="24"/>
          <w:szCs w:val="24"/>
        </w:rPr>
      </w:pPr>
      <w:r w:rsidRPr="00182DF5">
        <w:rPr>
          <w:rFonts w:ascii="Times New Roman" w:hAnsi="Times New Roman"/>
          <w:b/>
          <w:sz w:val="24"/>
          <w:szCs w:val="24"/>
        </w:rPr>
        <w:t>INTRODUÇÃO</w:t>
      </w:r>
    </w:p>
    <w:p w14:paraId="391C383D" w14:textId="77777777" w:rsidR="003F6125" w:rsidRPr="00182DF5" w:rsidRDefault="003F6125" w:rsidP="00767789">
      <w:pPr>
        <w:tabs>
          <w:tab w:val="left" w:pos="567"/>
        </w:tabs>
        <w:jc w:val="both"/>
        <w:rPr>
          <w:rFonts w:ascii="Times New Roman" w:hAnsi="Times New Roman"/>
          <w:b/>
          <w:sz w:val="24"/>
          <w:szCs w:val="24"/>
        </w:rPr>
      </w:pPr>
    </w:p>
    <w:p w14:paraId="0AA63CAD" w14:textId="77777777" w:rsidR="003F6125" w:rsidRPr="00182DF5" w:rsidRDefault="003F6125" w:rsidP="00767789">
      <w:pPr>
        <w:jc w:val="both"/>
        <w:rPr>
          <w:rFonts w:ascii="Times New Roman" w:hAnsi="Times New Roman"/>
          <w:sz w:val="24"/>
          <w:szCs w:val="24"/>
        </w:rPr>
      </w:pPr>
      <w:r w:rsidRPr="00182DF5">
        <w:rPr>
          <w:rFonts w:ascii="Times New Roman" w:hAnsi="Times New Roman"/>
          <w:sz w:val="24"/>
          <w:szCs w:val="24"/>
        </w:rPr>
        <w:t xml:space="preserve">Durante a rotina de operação, o impacto no meio ambiente devido às descargas de efluentes radioativos das Usinas é avaliado por meio do Programa de Monitoração Ambiental Radiológico Operacional (PMARO), cuja descrição geral consta no Manual de Controle Radiológico do Meio Ambiente da CNAAA (MCRMA) (ELETRONUCLEAR, 2013) e o detalhamento é feito no procedimento PA-AG-010 (ELETRONUCLEAR, 2023). </w:t>
      </w:r>
    </w:p>
    <w:p w14:paraId="26727B63" w14:textId="77777777" w:rsidR="003F6125" w:rsidRPr="00182DF5" w:rsidRDefault="003F6125" w:rsidP="00767789">
      <w:pPr>
        <w:jc w:val="both"/>
        <w:rPr>
          <w:rFonts w:ascii="Times New Roman" w:hAnsi="Times New Roman"/>
          <w:b/>
          <w:bCs/>
          <w:sz w:val="24"/>
          <w:szCs w:val="24"/>
        </w:rPr>
      </w:pPr>
    </w:p>
    <w:p w14:paraId="10F443D5" w14:textId="77777777" w:rsidR="003F6125" w:rsidRPr="00182DF5" w:rsidRDefault="003F6125" w:rsidP="00767789">
      <w:pPr>
        <w:jc w:val="both"/>
        <w:rPr>
          <w:rFonts w:ascii="Times New Roman" w:hAnsi="Times New Roman"/>
          <w:sz w:val="24"/>
          <w:szCs w:val="24"/>
        </w:rPr>
      </w:pPr>
      <w:r w:rsidRPr="00182DF5">
        <w:rPr>
          <w:rFonts w:ascii="Times New Roman" w:hAnsi="Times New Roman"/>
          <w:sz w:val="24"/>
          <w:szCs w:val="24"/>
        </w:rPr>
        <w:t>Este Programa faz o acompanhamento dos níveis de radiação em amostras ambientais e relaciona os resultados obtidos aos do período pré-operacional.</w:t>
      </w:r>
    </w:p>
    <w:p w14:paraId="05DB0512" w14:textId="77777777" w:rsidR="003F6125" w:rsidRPr="00182DF5" w:rsidRDefault="003F6125" w:rsidP="00767789">
      <w:pPr>
        <w:jc w:val="both"/>
        <w:rPr>
          <w:rFonts w:ascii="Times New Roman" w:hAnsi="Times New Roman"/>
          <w:sz w:val="24"/>
          <w:szCs w:val="24"/>
        </w:rPr>
      </w:pPr>
    </w:p>
    <w:p w14:paraId="3E5E29FA" w14:textId="77777777" w:rsidR="003F6125" w:rsidRPr="00182DF5" w:rsidRDefault="003F6125" w:rsidP="00767789">
      <w:pPr>
        <w:jc w:val="both"/>
        <w:rPr>
          <w:rFonts w:ascii="Times New Roman" w:hAnsi="Times New Roman"/>
          <w:sz w:val="24"/>
          <w:szCs w:val="24"/>
        </w:rPr>
      </w:pPr>
      <w:r w:rsidRPr="00182DF5">
        <w:rPr>
          <w:rFonts w:ascii="Times New Roman" w:hAnsi="Times New Roman"/>
          <w:sz w:val="24"/>
          <w:szCs w:val="24"/>
        </w:rPr>
        <w:t>Conforme estabelece o item 3.1.1 b do MCRMA (ELETRONUCLEAR, 2013), a ação requerida, em resultado das monitorações ambientais, tem relação direta com os Níveis de Notificação, que por sua vez estão descritos no Anexo 1 do PA-AG-010 (ELETRONUCLEAR, 2023).</w:t>
      </w:r>
    </w:p>
    <w:p w14:paraId="3D7D3CA1" w14:textId="77777777" w:rsidR="003F6125" w:rsidRPr="00182DF5" w:rsidRDefault="003F6125" w:rsidP="00767789">
      <w:pPr>
        <w:jc w:val="both"/>
        <w:rPr>
          <w:rFonts w:ascii="Times New Roman" w:hAnsi="Times New Roman"/>
          <w:sz w:val="24"/>
          <w:szCs w:val="24"/>
        </w:rPr>
      </w:pPr>
    </w:p>
    <w:p w14:paraId="088BBA0B" w14:textId="77777777" w:rsidR="003F6125" w:rsidRPr="00182DF5" w:rsidRDefault="003F6125" w:rsidP="00767789">
      <w:pPr>
        <w:tabs>
          <w:tab w:val="left" w:pos="567"/>
          <w:tab w:val="left" w:pos="8364"/>
          <w:tab w:val="left" w:pos="8505"/>
        </w:tabs>
        <w:jc w:val="both"/>
        <w:rPr>
          <w:rFonts w:ascii="Times New Roman" w:hAnsi="Times New Roman"/>
          <w:i/>
          <w:sz w:val="24"/>
          <w:szCs w:val="24"/>
        </w:rPr>
      </w:pPr>
      <w:r w:rsidRPr="00182DF5">
        <w:rPr>
          <w:rFonts w:ascii="Times New Roman" w:hAnsi="Times New Roman"/>
          <w:sz w:val="24"/>
          <w:szCs w:val="24"/>
        </w:rPr>
        <w:t>Deste modo, nesta avaliação para a Exigência 4.3: “</w:t>
      </w:r>
      <w:r w:rsidRPr="00182DF5">
        <w:rPr>
          <w:rFonts w:ascii="Times New Roman" w:hAnsi="Times New Roman"/>
          <w:i/>
          <w:sz w:val="24"/>
          <w:szCs w:val="24"/>
        </w:rPr>
        <w:t xml:space="preserve">A Eletronuclear deverá informar qual seria o impacto ao meio ambiente, considerando o limite de dose calculado, considerando a condição operacional onde o Tanque de Recarregamento possua o maior volume e presença de radionuclídeos artificiais de maior meia vida”. </w:t>
      </w:r>
    </w:p>
    <w:p w14:paraId="736CEB65" w14:textId="77777777" w:rsidR="003F6125" w:rsidRPr="00182DF5" w:rsidRDefault="003F6125" w:rsidP="00767789">
      <w:pPr>
        <w:tabs>
          <w:tab w:val="left" w:pos="567"/>
          <w:tab w:val="left" w:pos="8364"/>
          <w:tab w:val="left" w:pos="8505"/>
        </w:tabs>
        <w:jc w:val="both"/>
        <w:rPr>
          <w:rFonts w:ascii="Times New Roman" w:hAnsi="Times New Roman"/>
          <w:i/>
          <w:sz w:val="24"/>
          <w:szCs w:val="24"/>
        </w:rPr>
      </w:pPr>
    </w:p>
    <w:p w14:paraId="348F72C2"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iCs/>
          <w:sz w:val="24"/>
          <w:szCs w:val="24"/>
        </w:rPr>
        <w:t>O</w:t>
      </w:r>
      <w:r w:rsidRPr="00182DF5">
        <w:rPr>
          <w:rFonts w:ascii="Times New Roman" w:hAnsi="Times New Roman"/>
          <w:sz w:val="24"/>
          <w:szCs w:val="24"/>
        </w:rPr>
        <w:t xml:space="preserve"> parâmetro utilizado para considerar o impacto no meio ambiente consiste em comparar a concentração de material radioativo, oriunda da liberação total estimada do TAR para os compartimentos ambientais, com os Níveis de Notificação.</w:t>
      </w:r>
    </w:p>
    <w:p w14:paraId="7E325A0F" w14:textId="77777777" w:rsidR="003F6125" w:rsidRPr="00182DF5" w:rsidRDefault="003F6125" w:rsidP="00767789">
      <w:pPr>
        <w:tabs>
          <w:tab w:val="left" w:pos="567"/>
          <w:tab w:val="left" w:pos="8364"/>
          <w:tab w:val="left" w:pos="8505"/>
        </w:tabs>
        <w:jc w:val="both"/>
        <w:rPr>
          <w:rFonts w:ascii="Times New Roman" w:hAnsi="Times New Roman"/>
          <w:i/>
          <w:sz w:val="24"/>
          <w:szCs w:val="24"/>
        </w:rPr>
      </w:pPr>
    </w:p>
    <w:p w14:paraId="6CB5ECA1" w14:textId="77777777" w:rsidR="003F6125" w:rsidRPr="00182DF5" w:rsidRDefault="003F6125" w:rsidP="00767789">
      <w:pPr>
        <w:jc w:val="both"/>
        <w:rPr>
          <w:rFonts w:ascii="Times New Roman" w:hAnsi="Times New Roman"/>
          <w:sz w:val="24"/>
          <w:szCs w:val="24"/>
        </w:rPr>
      </w:pPr>
      <w:r w:rsidRPr="00182DF5">
        <w:rPr>
          <w:rFonts w:ascii="Times New Roman" w:hAnsi="Times New Roman"/>
          <w:sz w:val="24"/>
          <w:szCs w:val="24"/>
        </w:rPr>
        <w:t>Os caminhos críticos de liberação no meio líquido estão descritos no MCRMA (ELETRONUCLEAR, 2013) e incluem a ingestão de alimento marinho (peixes e invertebrados) e a exposição externa ao sedimento contaminado (recreação na praia), sendo assim, estes foram os parâmetros escolhidos para avaliação deste cenário hipotético.</w:t>
      </w:r>
    </w:p>
    <w:p w14:paraId="1A43CE02" w14:textId="77777777" w:rsidR="003F6125" w:rsidRPr="00182DF5" w:rsidRDefault="003F6125" w:rsidP="00767789">
      <w:pPr>
        <w:jc w:val="both"/>
        <w:rPr>
          <w:rFonts w:ascii="Times New Roman" w:hAnsi="Times New Roman"/>
          <w:sz w:val="24"/>
          <w:szCs w:val="24"/>
        </w:rPr>
      </w:pPr>
      <w:r w:rsidRPr="00182DF5">
        <w:rPr>
          <w:rFonts w:ascii="Times New Roman" w:hAnsi="Times New Roman"/>
          <w:sz w:val="24"/>
          <w:szCs w:val="24"/>
        </w:rPr>
        <w:t xml:space="preserve"> </w:t>
      </w:r>
    </w:p>
    <w:p w14:paraId="3642DD65" w14:textId="77777777" w:rsidR="003F6125" w:rsidRPr="00182DF5" w:rsidRDefault="003F6125" w:rsidP="00767789">
      <w:pPr>
        <w:jc w:val="both"/>
        <w:rPr>
          <w:rFonts w:ascii="Times New Roman" w:hAnsi="Times New Roman"/>
          <w:sz w:val="24"/>
          <w:szCs w:val="24"/>
        </w:rPr>
      </w:pPr>
      <w:r w:rsidRPr="00182DF5">
        <w:rPr>
          <w:rFonts w:ascii="Times New Roman" w:hAnsi="Times New Roman"/>
          <w:sz w:val="24"/>
          <w:szCs w:val="24"/>
        </w:rPr>
        <w:t>Visto que os parâmetros e o modelo descrito no MCRMA (ELETRONUCLEAR, 2013) são aplicados ao cálculo de dose anual no grupo crítico, para avaliação do impacto no ambiente, foi também considerado um cenário de liberação anual do efluente, permitindo assim, a utilização da mesma metodologia e parâmetros descritos no referido manual.</w:t>
      </w:r>
    </w:p>
    <w:p w14:paraId="203B8A2A" w14:textId="77777777" w:rsidR="003F6125" w:rsidRPr="00182DF5" w:rsidRDefault="003F6125" w:rsidP="00767789">
      <w:pPr>
        <w:tabs>
          <w:tab w:val="left" w:pos="567"/>
          <w:tab w:val="left" w:pos="8364"/>
          <w:tab w:val="left" w:pos="8505"/>
        </w:tabs>
        <w:jc w:val="both"/>
        <w:rPr>
          <w:rFonts w:ascii="Times New Roman" w:hAnsi="Times New Roman"/>
          <w:i/>
          <w:sz w:val="24"/>
          <w:szCs w:val="24"/>
        </w:rPr>
      </w:pPr>
    </w:p>
    <w:p w14:paraId="27304227" w14:textId="77777777" w:rsidR="003F6125" w:rsidRPr="00182DF5" w:rsidRDefault="003F6125" w:rsidP="00767789">
      <w:pPr>
        <w:numPr>
          <w:ilvl w:val="0"/>
          <w:numId w:val="2"/>
        </w:numPr>
        <w:tabs>
          <w:tab w:val="left" w:pos="567"/>
        </w:tabs>
        <w:ind w:left="0" w:hanging="357"/>
        <w:jc w:val="both"/>
        <w:rPr>
          <w:rFonts w:ascii="Times New Roman" w:hAnsi="Times New Roman"/>
          <w:b/>
          <w:sz w:val="24"/>
          <w:szCs w:val="24"/>
        </w:rPr>
      </w:pPr>
      <w:r w:rsidRPr="00182DF5">
        <w:rPr>
          <w:rFonts w:ascii="Times New Roman" w:hAnsi="Times New Roman"/>
          <w:b/>
          <w:sz w:val="24"/>
          <w:szCs w:val="24"/>
        </w:rPr>
        <w:t>METODOLOGIA</w:t>
      </w:r>
    </w:p>
    <w:p w14:paraId="0166A44B"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59B987B8"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Utilizando as mesmas premissas adotadas pela Eletronuclear para a elaboração do cálculo da dose efetiva e das atividades totais de cada radionuclídeo (carta ALI.T-0502/23), foram adotados os cálculos de vazão anual das duas usinas, Angra 1 e Angra 2, para liberação de efluentes no meio ambiente baseados nos itens 4.3.1.1 e 4.3.1.2 do MCRMA (ELETRONUCLEAR, 2013). A vazão encontrada foi de 2,96E+09 m</w:t>
      </w:r>
      <w:r w:rsidRPr="00182DF5">
        <w:rPr>
          <w:rFonts w:ascii="Times New Roman" w:hAnsi="Times New Roman"/>
          <w:sz w:val="24"/>
          <w:szCs w:val="24"/>
          <w:vertAlign w:val="superscript"/>
        </w:rPr>
        <w:t>3</w:t>
      </w:r>
      <w:r w:rsidRPr="00182DF5">
        <w:rPr>
          <w:rFonts w:ascii="Times New Roman" w:hAnsi="Times New Roman"/>
          <w:sz w:val="24"/>
          <w:szCs w:val="24"/>
        </w:rPr>
        <w:t>/ano.</w:t>
      </w:r>
    </w:p>
    <w:p w14:paraId="3D9879B5"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1D81EE39"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Para Angra 1, considerou-se a operação contínua, durante 10 meses por ano, de duas bombas de água de circulação (CW) e de uma bomba de água de serviço (SW); e, durante dois meses por ano, apenas duas SW.</w:t>
      </w:r>
    </w:p>
    <w:p w14:paraId="1C9CAF8A"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420708C4"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 xml:space="preserve">Para Angra 2, considerou-se a operação contínua, durante 10 meses por ano, de seis bombas de refrigeração principal (PAC) mais quatro bombas do circuito de segurança (PEC) e, durante dois meses por ano, duas PEC. </w:t>
      </w:r>
    </w:p>
    <w:p w14:paraId="22E8138F"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3C430BF2" w14:textId="77777777" w:rsidR="003F612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i/>
          <w:iCs/>
          <w:sz w:val="24"/>
          <w:szCs w:val="24"/>
        </w:rPr>
        <w:t>Nota 1</w:t>
      </w:r>
      <w:r w:rsidRPr="00182DF5">
        <w:rPr>
          <w:rFonts w:ascii="Times New Roman" w:hAnsi="Times New Roman"/>
          <w:sz w:val="24"/>
          <w:szCs w:val="24"/>
        </w:rPr>
        <w:t>:</w:t>
      </w:r>
    </w:p>
    <w:p w14:paraId="04C52D84" w14:textId="77777777" w:rsidR="00767789" w:rsidRPr="00182DF5" w:rsidRDefault="00767789" w:rsidP="00767789">
      <w:pPr>
        <w:tabs>
          <w:tab w:val="left" w:pos="567"/>
          <w:tab w:val="left" w:pos="8364"/>
          <w:tab w:val="left" w:pos="8505"/>
        </w:tabs>
        <w:jc w:val="both"/>
        <w:rPr>
          <w:rFonts w:ascii="Times New Roman" w:hAnsi="Times New Roman"/>
          <w:sz w:val="24"/>
          <w:szCs w:val="24"/>
        </w:rPr>
      </w:pPr>
    </w:p>
    <w:p w14:paraId="732E2930" w14:textId="77777777" w:rsidR="003F6125" w:rsidRPr="00182DF5" w:rsidRDefault="003F6125" w:rsidP="00767789">
      <w:pPr>
        <w:pStyle w:val="PargrafodaLista"/>
        <w:numPr>
          <w:ilvl w:val="0"/>
          <w:numId w:val="3"/>
        </w:numPr>
        <w:tabs>
          <w:tab w:val="left" w:pos="567"/>
          <w:tab w:val="left" w:pos="8364"/>
          <w:tab w:val="left" w:pos="8505"/>
        </w:tabs>
        <w:ind w:left="0" w:hanging="218"/>
        <w:jc w:val="both"/>
        <w:rPr>
          <w:rFonts w:ascii="Times New Roman" w:hAnsi="Times New Roman" w:cs="Times New Roman"/>
          <w:sz w:val="24"/>
          <w:szCs w:val="24"/>
        </w:rPr>
      </w:pPr>
      <w:r w:rsidRPr="00182DF5">
        <w:rPr>
          <w:rFonts w:ascii="Times New Roman" w:hAnsi="Times New Roman" w:cs="Times New Roman"/>
          <w:sz w:val="24"/>
          <w:szCs w:val="24"/>
        </w:rPr>
        <w:t>Vazão da bomba de água de circulação (CW): 1000 m</w:t>
      </w:r>
      <w:r w:rsidRPr="00182DF5">
        <w:rPr>
          <w:rFonts w:ascii="Times New Roman" w:hAnsi="Times New Roman" w:cs="Times New Roman"/>
          <w:sz w:val="24"/>
          <w:szCs w:val="24"/>
          <w:vertAlign w:val="superscript"/>
        </w:rPr>
        <w:t>3</w:t>
      </w:r>
      <w:r w:rsidRPr="00182DF5">
        <w:rPr>
          <w:rFonts w:ascii="Times New Roman" w:hAnsi="Times New Roman" w:cs="Times New Roman"/>
          <w:sz w:val="24"/>
          <w:szCs w:val="24"/>
        </w:rPr>
        <w:t>/min;</w:t>
      </w:r>
    </w:p>
    <w:p w14:paraId="4CEF1451" w14:textId="77777777" w:rsidR="003F6125" w:rsidRPr="00182DF5" w:rsidRDefault="003F6125" w:rsidP="00767789">
      <w:pPr>
        <w:pStyle w:val="PargrafodaLista"/>
        <w:numPr>
          <w:ilvl w:val="0"/>
          <w:numId w:val="3"/>
        </w:numPr>
        <w:tabs>
          <w:tab w:val="left" w:pos="567"/>
          <w:tab w:val="left" w:pos="8364"/>
          <w:tab w:val="left" w:pos="8505"/>
        </w:tabs>
        <w:ind w:left="0" w:hanging="218"/>
        <w:jc w:val="both"/>
        <w:rPr>
          <w:rFonts w:ascii="Times New Roman" w:hAnsi="Times New Roman" w:cs="Times New Roman"/>
          <w:sz w:val="24"/>
          <w:szCs w:val="24"/>
        </w:rPr>
      </w:pPr>
      <w:r w:rsidRPr="00182DF5">
        <w:rPr>
          <w:rFonts w:ascii="Times New Roman" w:hAnsi="Times New Roman" w:cs="Times New Roman"/>
          <w:sz w:val="24"/>
          <w:szCs w:val="24"/>
        </w:rPr>
        <w:t>Vazão da bomba de água de serviço (SW): 35 m</w:t>
      </w:r>
      <w:r w:rsidRPr="00182DF5">
        <w:rPr>
          <w:rFonts w:ascii="Times New Roman" w:hAnsi="Times New Roman" w:cs="Times New Roman"/>
          <w:sz w:val="24"/>
          <w:szCs w:val="24"/>
          <w:vertAlign w:val="superscript"/>
        </w:rPr>
        <w:t>3</w:t>
      </w:r>
      <w:r w:rsidRPr="00182DF5">
        <w:rPr>
          <w:rFonts w:ascii="Times New Roman" w:hAnsi="Times New Roman" w:cs="Times New Roman"/>
          <w:sz w:val="24"/>
          <w:szCs w:val="24"/>
        </w:rPr>
        <w:t>/min;</w:t>
      </w:r>
    </w:p>
    <w:p w14:paraId="0AEB4743" w14:textId="77777777" w:rsidR="003F6125" w:rsidRPr="00182DF5" w:rsidRDefault="003F6125" w:rsidP="00767789">
      <w:pPr>
        <w:pStyle w:val="PargrafodaLista"/>
        <w:numPr>
          <w:ilvl w:val="0"/>
          <w:numId w:val="3"/>
        </w:numPr>
        <w:tabs>
          <w:tab w:val="left" w:pos="567"/>
          <w:tab w:val="left" w:pos="8364"/>
          <w:tab w:val="left" w:pos="8505"/>
        </w:tabs>
        <w:ind w:left="0" w:hanging="218"/>
        <w:jc w:val="both"/>
        <w:rPr>
          <w:rFonts w:ascii="Times New Roman" w:hAnsi="Times New Roman" w:cs="Times New Roman"/>
          <w:sz w:val="24"/>
          <w:szCs w:val="24"/>
        </w:rPr>
      </w:pPr>
      <w:r w:rsidRPr="00182DF5">
        <w:rPr>
          <w:rFonts w:ascii="Times New Roman" w:hAnsi="Times New Roman" w:cs="Times New Roman"/>
          <w:sz w:val="24"/>
          <w:szCs w:val="24"/>
        </w:rPr>
        <w:t>Vazão da bomba de refrigeração principal (PAC): 3,86E+08 m</w:t>
      </w:r>
      <w:r w:rsidRPr="00182DF5">
        <w:rPr>
          <w:rFonts w:ascii="Times New Roman" w:hAnsi="Times New Roman" w:cs="Times New Roman"/>
          <w:sz w:val="24"/>
          <w:szCs w:val="24"/>
          <w:vertAlign w:val="superscript"/>
        </w:rPr>
        <w:t>3</w:t>
      </w:r>
      <w:r w:rsidRPr="00182DF5">
        <w:rPr>
          <w:rFonts w:ascii="Times New Roman" w:hAnsi="Times New Roman" w:cs="Times New Roman"/>
          <w:sz w:val="24"/>
          <w:szCs w:val="24"/>
        </w:rPr>
        <w:t>/ano;</w:t>
      </w:r>
    </w:p>
    <w:p w14:paraId="7F199506" w14:textId="77777777" w:rsidR="003F6125" w:rsidRPr="00182DF5" w:rsidRDefault="003F6125" w:rsidP="00767789">
      <w:pPr>
        <w:pStyle w:val="PargrafodaLista"/>
        <w:numPr>
          <w:ilvl w:val="0"/>
          <w:numId w:val="3"/>
        </w:numPr>
        <w:tabs>
          <w:tab w:val="left" w:pos="567"/>
          <w:tab w:val="left" w:pos="8364"/>
          <w:tab w:val="left" w:pos="8505"/>
        </w:tabs>
        <w:ind w:left="0" w:hanging="218"/>
        <w:jc w:val="both"/>
        <w:rPr>
          <w:rFonts w:ascii="Times New Roman" w:hAnsi="Times New Roman" w:cs="Times New Roman"/>
          <w:sz w:val="24"/>
          <w:szCs w:val="24"/>
        </w:rPr>
      </w:pPr>
      <w:r w:rsidRPr="00182DF5">
        <w:rPr>
          <w:rFonts w:ascii="Times New Roman" w:hAnsi="Times New Roman" w:cs="Times New Roman"/>
          <w:sz w:val="24"/>
          <w:szCs w:val="24"/>
        </w:rPr>
        <w:t>Vazão da bomba do circuito de segurança (PEC): 3,68E+07 m</w:t>
      </w:r>
      <w:r w:rsidRPr="00182DF5">
        <w:rPr>
          <w:rFonts w:ascii="Times New Roman" w:hAnsi="Times New Roman" w:cs="Times New Roman"/>
          <w:sz w:val="24"/>
          <w:szCs w:val="24"/>
          <w:vertAlign w:val="superscript"/>
        </w:rPr>
        <w:t>3</w:t>
      </w:r>
      <w:r w:rsidRPr="00182DF5">
        <w:rPr>
          <w:rFonts w:ascii="Times New Roman" w:hAnsi="Times New Roman" w:cs="Times New Roman"/>
          <w:sz w:val="24"/>
          <w:szCs w:val="24"/>
        </w:rPr>
        <w:t>/ano.</w:t>
      </w:r>
    </w:p>
    <w:p w14:paraId="13771685"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5AA7B239"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A vazão anual de efluentes no meio ambiente foi calculada considerando a liberação total de todo conteúdo do TAR (1078 m</w:t>
      </w:r>
      <w:r w:rsidRPr="00182DF5">
        <w:rPr>
          <w:rFonts w:ascii="Times New Roman" w:hAnsi="Times New Roman"/>
          <w:sz w:val="24"/>
          <w:szCs w:val="24"/>
          <w:vertAlign w:val="superscript"/>
        </w:rPr>
        <w:t>3</w:t>
      </w:r>
      <w:r w:rsidRPr="00182DF5">
        <w:rPr>
          <w:rFonts w:ascii="Times New Roman" w:hAnsi="Times New Roman"/>
          <w:sz w:val="24"/>
          <w:szCs w:val="24"/>
        </w:rPr>
        <w:t>). O maior valor de atividade total no programa de controle de atividades do TAR, fornecido pela Divisão de Química de Angra 1 (DQAU.O) entre 2019 e 2023, foi de 2,69E+11 Bq/ano.</w:t>
      </w:r>
    </w:p>
    <w:p w14:paraId="6E6D209A"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6B88A35D"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 xml:space="preserve">Para calcular a concentração total da mistura do conteúdo do TAR no meio ambiente aquático, foi utilizada a seguinte expressão: </w:t>
      </w:r>
    </w:p>
    <w:p w14:paraId="73F00485" w14:textId="77777777" w:rsidR="003F6125" w:rsidRPr="00182DF5" w:rsidRDefault="003F6125" w:rsidP="00767789">
      <w:pPr>
        <w:tabs>
          <w:tab w:val="left" w:pos="567"/>
          <w:tab w:val="left" w:pos="8364"/>
          <w:tab w:val="left" w:pos="8505"/>
        </w:tabs>
        <w:jc w:val="both"/>
        <w:rPr>
          <w:rFonts w:ascii="Times New Roman" w:hAnsi="Times New Roman"/>
          <w:b/>
          <w:sz w:val="24"/>
          <w:szCs w:val="24"/>
        </w:rPr>
      </w:pPr>
    </w:p>
    <w:p w14:paraId="59EA4525" w14:textId="77777777" w:rsidR="003F6125" w:rsidRPr="00182DF5" w:rsidRDefault="003F6125" w:rsidP="00767789">
      <w:pPr>
        <w:tabs>
          <w:tab w:val="left" w:pos="567"/>
          <w:tab w:val="left" w:pos="8364"/>
          <w:tab w:val="left" w:pos="8505"/>
        </w:tabs>
        <w:jc w:val="both"/>
        <w:rPr>
          <w:rFonts w:ascii="Times New Roman" w:hAnsi="Times New Roman"/>
          <w:b/>
          <w:i/>
          <w:sz w:val="24"/>
          <w:szCs w:val="24"/>
        </w:rPr>
      </w:pPr>
      <m:oMathPara>
        <m:oMath>
          <m:r>
            <m:rPr>
              <m:sty m:val="bi"/>
            </m:rPr>
            <w:rPr>
              <w:rFonts w:ascii="Cambria Math" w:hAnsi="Cambria Math"/>
              <w:sz w:val="24"/>
              <w:szCs w:val="24"/>
            </w:rPr>
            <m:t>C=</m:t>
          </m:r>
          <m:f>
            <m:fPr>
              <m:ctrlPr>
                <w:rPr>
                  <w:rFonts w:ascii="Cambria Math" w:hAnsi="Cambria Math"/>
                  <w:b/>
                  <w:bCs/>
                  <w:i/>
                  <w:iCs/>
                  <w:sz w:val="24"/>
                  <w:szCs w:val="24"/>
                </w:rPr>
              </m:ctrlPr>
            </m:fPr>
            <m:num>
              <m:sSub>
                <m:sSubPr>
                  <m:ctrlPr>
                    <w:rPr>
                      <w:rFonts w:ascii="Cambria Math" w:hAnsi="Cambria Math"/>
                      <w:b/>
                      <w:bCs/>
                      <w:i/>
                      <w:iCs/>
                      <w:sz w:val="24"/>
                      <w:szCs w:val="24"/>
                    </w:rPr>
                  </m:ctrlPr>
                </m:sSubPr>
                <m:e>
                  <m:r>
                    <m:rPr>
                      <m:sty m:val="bi"/>
                    </m:rPr>
                    <w:rPr>
                      <w:rFonts w:ascii="Cambria Math" w:hAnsi="Cambria Math"/>
                      <w:sz w:val="24"/>
                      <w:szCs w:val="24"/>
                    </w:rPr>
                    <m:t>A</m:t>
                  </m:r>
                </m:e>
                <m:sub>
                  <m:r>
                    <m:rPr>
                      <m:sty m:val="bi"/>
                    </m:rPr>
                    <w:rPr>
                      <w:rFonts w:ascii="Cambria Math" w:hAnsi="Cambria Math"/>
                      <w:sz w:val="24"/>
                      <w:szCs w:val="24"/>
                    </w:rPr>
                    <m:t>total anual</m:t>
                  </m:r>
                </m:sub>
              </m:sSub>
            </m:num>
            <m:den>
              <m:r>
                <m:rPr>
                  <m:sty m:val="bi"/>
                </m:rPr>
                <w:rPr>
                  <w:rFonts w:ascii="Cambria Math" w:hAnsi="Cambria Math"/>
                  <w:sz w:val="24"/>
                  <w:szCs w:val="24"/>
                </w:rPr>
                <m:t>Qv</m:t>
              </m:r>
            </m:den>
          </m:f>
          <m:r>
            <m:rPr>
              <m:sty m:val="bi"/>
            </m:rPr>
            <w:rPr>
              <w:rFonts w:ascii="Cambria Math" w:hAnsi="Cambria Math"/>
              <w:sz w:val="24"/>
              <w:szCs w:val="24"/>
            </w:rPr>
            <m:t xml:space="preserve"> </m:t>
          </m:r>
        </m:oMath>
      </m:oMathPara>
    </w:p>
    <w:p w14:paraId="3161345A" w14:textId="77777777" w:rsidR="00767789" w:rsidRDefault="00767789" w:rsidP="00767789">
      <w:pPr>
        <w:tabs>
          <w:tab w:val="left" w:pos="567"/>
          <w:tab w:val="left" w:pos="8364"/>
          <w:tab w:val="left" w:pos="8505"/>
        </w:tabs>
        <w:jc w:val="both"/>
        <w:rPr>
          <w:rFonts w:ascii="Times New Roman" w:hAnsi="Times New Roman"/>
          <w:bCs/>
          <w:iCs/>
          <w:sz w:val="24"/>
          <w:szCs w:val="24"/>
        </w:rPr>
      </w:pPr>
    </w:p>
    <w:p w14:paraId="0B6B8CC3" w14:textId="6B58311E" w:rsidR="003F6125" w:rsidRPr="00182DF5" w:rsidRDefault="003F6125" w:rsidP="00767789">
      <w:pPr>
        <w:tabs>
          <w:tab w:val="left" w:pos="567"/>
          <w:tab w:val="left" w:pos="8364"/>
          <w:tab w:val="left" w:pos="8505"/>
        </w:tabs>
        <w:jc w:val="both"/>
        <w:rPr>
          <w:rFonts w:ascii="Times New Roman" w:hAnsi="Times New Roman"/>
          <w:bCs/>
          <w:iCs/>
          <w:sz w:val="24"/>
          <w:szCs w:val="24"/>
        </w:rPr>
      </w:pPr>
      <w:r w:rsidRPr="00182DF5">
        <w:rPr>
          <w:rFonts w:ascii="Times New Roman" w:hAnsi="Times New Roman"/>
          <w:bCs/>
          <w:iCs/>
          <w:sz w:val="24"/>
          <w:szCs w:val="24"/>
        </w:rPr>
        <w:t>Onde:</w:t>
      </w:r>
    </w:p>
    <w:p w14:paraId="3803D308" w14:textId="77777777" w:rsidR="003F6125" w:rsidRPr="00182DF5" w:rsidRDefault="003F6125" w:rsidP="00767789">
      <w:pPr>
        <w:tabs>
          <w:tab w:val="left" w:pos="567"/>
          <w:tab w:val="left" w:pos="8364"/>
          <w:tab w:val="left" w:pos="8505"/>
        </w:tabs>
        <w:jc w:val="both"/>
        <w:rPr>
          <w:rFonts w:ascii="Times New Roman" w:hAnsi="Times New Roman"/>
          <w:bCs/>
          <w:iCs/>
          <w:sz w:val="24"/>
          <w:szCs w:val="24"/>
        </w:rPr>
      </w:pPr>
      <w:r w:rsidRPr="00182DF5">
        <w:rPr>
          <w:rFonts w:ascii="Times New Roman" w:hAnsi="Times New Roman"/>
          <w:bCs/>
          <w:i/>
          <w:sz w:val="24"/>
          <w:szCs w:val="24"/>
        </w:rPr>
        <w:t>C</w:t>
      </w:r>
      <w:r w:rsidRPr="00182DF5">
        <w:rPr>
          <w:rFonts w:ascii="Times New Roman" w:hAnsi="Times New Roman"/>
          <w:bCs/>
          <w:iCs/>
          <w:sz w:val="24"/>
          <w:szCs w:val="24"/>
        </w:rPr>
        <w:t xml:space="preserve"> = concentração total de radionuclídeos </w:t>
      </w:r>
      <w:r w:rsidRPr="00182DF5">
        <w:rPr>
          <w:rFonts w:ascii="Times New Roman" w:hAnsi="Times New Roman"/>
          <w:bCs/>
          <w:sz w:val="24"/>
          <w:szCs w:val="24"/>
        </w:rPr>
        <w:t>na água do mar</w:t>
      </w:r>
      <w:r w:rsidRPr="00182DF5">
        <w:rPr>
          <w:rFonts w:ascii="Times New Roman" w:hAnsi="Times New Roman"/>
          <w:bCs/>
          <w:iCs/>
          <w:sz w:val="24"/>
          <w:szCs w:val="24"/>
        </w:rPr>
        <w:t xml:space="preserve"> (Bq/m³);</w:t>
      </w:r>
    </w:p>
    <w:p w14:paraId="05C3AA9C" w14:textId="77777777" w:rsidR="003F6125" w:rsidRPr="00182DF5" w:rsidRDefault="00372E23" w:rsidP="00767789">
      <w:pPr>
        <w:tabs>
          <w:tab w:val="left" w:pos="567"/>
          <w:tab w:val="left" w:pos="8364"/>
          <w:tab w:val="left" w:pos="8505"/>
        </w:tabs>
        <w:jc w:val="both"/>
        <w:rPr>
          <w:rFonts w:ascii="Times New Roman" w:hAnsi="Times New Roman"/>
          <w:bCs/>
          <w:iCs/>
          <w:sz w:val="24"/>
          <w:szCs w:val="24"/>
        </w:rPr>
      </w:pPr>
      <m:oMath>
        <m:sSub>
          <m:sSubPr>
            <m:ctrlPr>
              <w:rPr>
                <w:rFonts w:ascii="Cambria Math" w:hAnsi="Cambria Math"/>
                <w:bCs/>
                <w:i/>
                <w:iCs/>
                <w:sz w:val="24"/>
                <w:szCs w:val="24"/>
              </w:rPr>
            </m:ctrlPr>
          </m:sSubPr>
          <m:e>
            <m:r>
              <w:rPr>
                <w:rFonts w:ascii="Cambria Math" w:hAnsi="Cambria Math"/>
                <w:sz w:val="24"/>
                <w:szCs w:val="24"/>
              </w:rPr>
              <m:t>A</m:t>
            </m:r>
          </m:e>
          <m:sub>
            <m:r>
              <w:rPr>
                <w:rFonts w:ascii="Cambria Math" w:hAnsi="Cambria Math"/>
                <w:sz w:val="24"/>
                <w:szCs w:val="24"/>
              </w:rPr>
              <m:t>total anual</m:t>
            </m:r>
          </m:sub>
        </m:sSub>
      </m:oMath>
      <w:r w:rsidR="003F6125" w:rsidRPr="00182DF5">
        <w:rPr>
          <w:rFonts w:ascii="Times New Roman" w:hAnsi="Times New Roman"/>
          <w:bCs/>
          <w:iCs/>
          <w:sz w:val="24"/>
          <w:szCs w:val="24"/>
        </w:rPr>
        <w:t xml:space="preserve"> = maior atividade total do controle de atividades do TAR (Bq/ano);</w:t>
      </w:r>
    </w:p>
    <w:p w14:paraId="3E74C7D6" w14:textId="77777777" w:rsidR="003F6125" w:rsidRPr="00182DF5" w:rsidRDefault="003F6125" w:rsidP="00767789">
      <w:pPr>
        <w:tabs>
          <w:tab w:val="left" w:pos="567"/>
          <w:tab w:val="left" w:pos="8364"/>
          <w:tab w:val="left" w:pos="8505"/>
        </w:tabs>
        <w:jc w:val="both"/>
        <w:rPr>
          <w:rFonts w:ascii="Times New Roman" w:hAnsi="Times New Roman"/>
          <w:bCs/>
          <w:iCs/>
          <w:sz w:val="24"/>
          <w:szCs w:val="24"/>
        </w:rPr>
      </w:pPr>
      <m:oMath>
        <m:r>
          <w:rPr>
            <w:rFonts w:ascii="Cambria Math" w:hAnsi="Cambria Math"/>
            <w:sz w:val="24"/>
            <w:szCs w:val="24"/>
          </w:rPr>
          <m:t>Qv</m:t>
        </m:r>
      </m:oMath>
      <w:r w:rsidRPr="00182DF5">
        <w:rPr>
          <w:rFonts w:ascii="Times New Roman" w:hAnsi="Times New Roman"/>
          <w:bCs/>
          <w:iCs/>
          <w:sz w:val="24"/>
          <w:szCs w:val="24"/>
        </w:rPr>
        <w:t xml:space="preserve"> = Vazão volumétrica anual de Angra 1 e Angra 2 (m</w:t>
      </w:r>
      <w:r w:rsidRPr="00182DF5">
        <w:rPr>
          <w:rFonts w:ascii="Times New Roman" w:hAnsi="Times New Roman"/>
          <w:bCs/>
          <w:iCs/>
          <w:sz w:val="24"/>
          <w:szCs w:val="24"/>
          <w:vertAlign w:val="superscript"/>
        </w:rPr>
        <w:t>3</w:t>
      </w:r>
      <w:r w:rsidRPr="00182DF5">
        <w:rPr>
          <w:rFonts w:ascii="Times New Roman" w:hAnsi="Times New Roman"/>
          <w:bCs/>
          <w:iCs/>
          <w:sz w:val="24"/>
          <w:szCs w:val="24"/>
        </w:rPr>
        <w:t>/ano).</w:t>
      </w:r>
    </w:p>
    <w:p w14:paraId="21233A2E" w14:textId="77777777" w:rsidR="003F6125" w:rsidRPr="00182DF5" w:rsidRDefault="003F6125" w:rsidP="00767789">
      <w:pPr>
        <w:tabs>
          <w:tab w:val="left" w:pos="567"/>
          <w:tab w:val="left" w:pos="8364"/>
          <w:tab w:val="left" w:pos="8505"/>
        </w:tabs>
        <w:jc w:val="both"/>
        <w:rPr>
          <w:rFonts w:ascii="Times New Roman" w:hAnsi="Times New Roman"/>
          <w:b/>
          <w:bCs/>
          <w:i/>
          <w:iCs/>
          <w:sz w:val="24"/>
          <w:szCs w:val="24"/>
        </w:rPr>
      </w:pPr>
    </w:p>
    <w:p w14:paraId="5F7BBD97"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 xml:space="preserve">A partir da concentração no meio ambiente aquático, buscou-se referências nos documentos: MCRMA de Angra 1, NUREG 1301, Regulatory Guide 4.8 e Safety Reports Series 19 para estimar qual seria o impacto em outros compartimentos ambientais. </w:t>
      </w:r>
    </w:p>
    <w:p w14:paraId="2925439E" w14:textId="77777777" w:rsidR="003F6125" w:rsidRPr="00182DF5" w:rsidRDefault="003F6125" w:rsidP="00182DF5">
      <w:pPr>
        <w:tabs>
          <w:tab w:val="left" w:pos="567"/>
          <w:tab w:val="left" w:pos="8364"/>
          <w:tab w:val="left" w:pos="8505"/>
        </w:tabs>
        <w:ind w:right="-57"/>
        <w:jc w:val="both"/>
        <w:rPr>
          <w:rFonts w:ascii="Times New Roman" w:hAnsi="Times New Roman"/>
          <w:sz w:val="24"/>
          <w:szCs w:val="24"/>
        </w:rPr>
      </w:pPr>
    </w:p>
    <w:p w14:paraId="159FBE3F"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 xml:space="preserve">Pereira </w:t>
      </w:r>
      <w:r w:rsidRPr="00182DF5">
        <w:rPr>
          <w:rFonts w:ascii="Times New Roman" w:hAnsi="Times New Roman"/>
          <w:i/>
          <w:iCs/>
          <w:sz w:val="24"/>
          <w:szCs w:val="24"/>
        </w:rPr>
        <w:t>et al.</w:t>
      </w:r>
      <w:r w:rsidRPr="00182DF5">
        <w:rPr>
          <w:rFonts w:ascii="Times New Roman" w:hAnsi="Times New Roman"/>
          <w:sz w:val="24"/>
          <w:szCs w:val="24"/>
        </w:rPr>
        <w:t xml:space="preserve"> (2008) observaram que é importante definir uma metodologia de quantificação das doses absorvidas pelo meio ambiente por meio de uma metodologia de valoração de dano ambiental, pois os radionuclídeos liberados em ambientes aquáticos são incorporados por organismos vivos. Alguns destes radionuclídeos podem ser transportados pela cadeia alimentar até eventualmente impactarem os seres humanos.</w:t>
      </w:r>
    </w:p>
    <w:p w14:paraId="2C52330E"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687D7474" w14:textId="77777777" w:rsidR="003F612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 xml:space="preserve">Diversos modelos podem ser utilizados para simular o transporte destes radionuclídeos em meios aquáticos. O Safety Reports Series 19 - SRS 19 (IAEA, 2001), apresenta no item 5.2.1 um modelo básico de transporte a partir de descargas líquidas que foi utilizado neste relatório e está representado pela fórmula a seguir: </w:t>
      </w:r>
    </w:p>
    <w:p w14:paraId="3B22E1F9" w14:textId="77777777" w:rsidR="00767789" w:rsidRPr="00182DF5" w:rsidRDefault="00767789" w:rsidP="00767789">
      <w:pPr>
        <w:tabs>
          <w:tab w:val="left" w:pos="567"/>
          <w:tab w:val="left" w:pos="8364"/>
          <w:tab w:val="left" w:pos="8505"/>
        </w:tabs>
        <w:jc w:val="both"/>
        <w:rPr>
          <w:rFonts w:ascii="Times New Roman" w:hAnsi="Times New Roman"/>
          <w:sz w:val="24"/>
          <w:szCs w:val="24"/>
        </w:rPr>
      </w:pPr>
    </w:p>
    <w:p w14:paraId="2FE97436"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2A1C0EF0" w14:textId="77777777" w:rsidR="003F6125" w:rsidRPr="00767789" w:rsidRDefault="00372E23" w:rsidP="00767789">
      <w:pPr>
        <w:tabs>
          <w:tab w:val="left" w:pos="567"/>
          <w:tab w:val="left" w:pos="8364"/>
          <w:tab w:val="left" w:pos="8505"/>
        </w:tabs>
        <w:jc w:val="both"/>
        <w:rPr>
          <w:rFonts w:ascii="Times New Roman" w:hAnsi="Times New Roman"/>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af,i</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w,i</m:t>
              </m:r>
            </m:sub>
          </m:sSub>
          <m:sSub>
            <m:sSubPr>
              <m:ctrlPr>
                <w:rPr>
                  <w:rFonts w:ascii="Cambria Math" w:hAnsi="Cambria Math"/>
                  <w:b/>
                  <w:bCs/>
                  <w:i/>
                  <w:sz w:val="24"/>
                  <w:szCs w:val="24"/>
                </w:rPr>
              </m:ctrlPr>
            </m:sSubPr>
            <m:e>
              <m:r>
                <m:rPr>
                  <m:sty m:val="bi"/>
                </m:rPr>
                <w:rPr>
                  <w:rFonts w:ascii="Cambria Math" w:hAnsi="Cambria Math"/>
                  <w:sz w:val="24"/>
                  <w:szCs w:val="24"/>
                </w:rPr>
                <m:t>B</m:t>
              </m:r>
            </m:e>
            <m:sub>
              <m:r>
                <m:rPr>
                  <m:sty m:val="bi"/>
                </m:rPr>
                <w:rPr>
                  <w:rFonts w:ascii="Cambria Math" w:hAnsi="Cambria Math"/>
                  <w:sz w:val="24"/>
                  <w:szCs w:val="24"/>
                </w:rPr>
                <m:t>p</m:t>
              </m:r>
            </m:sub>
          </m:sSub>
        </m:oMath>
      </m:oMathPara>
    </w:p>
    <w:p w14:paraId="5EA7EDBC" w14:textId="77777777" w:rsidR="00767789" w:rsidRPr="00182DF5" w:rsidRDefault="00767789" w:rsidP="00767789">
      <w:pPr>
        <w:tabs>
          <w:tab w:val="left" w:pos="567"/>
          <w:tab w:val="left" w:pos="8364"/>
          <w:tab w:val="left" w:pos="8505"/>
        </w:tabs>
        <w:jc w:val="both"/>
        <w:rPr>
          <w:rFonts w:ascii="Times New Roman" w:hAnsi="Times New Roman"/>
          <w:b/>
          <w:bCs/>
          <w:sz w:val="24"/>
          <w:szCs w:val="24"/>
        </w:rPr>
      </w:pPr>
    </w:p>
    <w:p w14:paraId="1175E66E" w14:textId="77777777" w:rsidR="003F6125" w:rsidRPr="00182DF5" w:rsidRDefault="003F6125" w:rsidP="00767789">
      <w:pPr>
        <w:tabs>
          <w:tab w:val="left" w:pos="567"/>
          <w:tab w:val="left" w:pos="8364"/>
          <w:tab w:val="left" w:pos="8505"/>
        </w:tabs>
        <w:jc w:val="both"/>
        <w:rPr>
          <w:rFonts w:ascii="Times New Roman" w:hAnsi="Times New Roman"/>
          <w:sz w:val="24"/>
          <w:szCs w:val="24"/>
        </w:rPr>
      </w:pPr>
      <w:bookmarkStart w:id="0" w:name="_Hlk165905944"/>
      <w:r w:rsidRPr="00182DF5">
        <w:rPr>
          <w:rFonts w:ascii="Times New Roman" w:hAnsi="Times New Roman"/>
          <w:sz w:val="24"/>
          <w:szCs w:val="24"/>
        </w:rPr>
        <w:t>Onde:</w:t>
      </w:r>
    </w:p>
    <w:p w14:paraId="7315CA3F" w14:textId="77777777" w:rsidR="003F6125" w:rsidRPr="00182DF5" w:rsidRDefault="00372E23" w:rsidP="00767789">
      <w:pPr>
        <w:tabs>
          <w:tab w:val="left" w:pos="567"/>
          <w:tab w:val="left" w:pos="8364"/>
          <w:tab w:val="left" w:pos="8505"/>
        </w:tabs>
        <w:jc w:val="both"/>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af,i</m:t>
            </m:r>
          </m:sub>
        </m:sSub>
      </m:oMath>
      <w:r w:rsidR="003F6125" w:rsidRPr="00182DF5">
        <w:rPr>
          <w:rFonts w:ascii="Times New Roman" w:hAnsi="Times New Roman"/>
          <w:sz w:val="24"/>
          <w:szCs w:val="24"/>
        </w:rPr>
        <w:t xml:space="preserve"> = concentração do radionuclídeo </w:t>
      </w:r>
      <w:r w:rsidR="003F6125" w:rsidRPr="00182DF5">
        <w:rPr>
          <w:rFonts w:ascii="Times New Roman" w:hAnsi="Times New Roman"/>
          <w:i/>
          <w:iCs/>
          <w:sz w:val="24"/>
          <w:szCs w:val="24"/>
        </w:rPr>
        <w:t>i</w:t>
      </w:r>
      <w:r w:rsidR="003F6125" w:rsidRPr="00182DF5">
        <w:rPr>
          <w:rFonts w:ascii="Times New Roman" w:hAnsi="Times New Roman"/>
          <w:sz w:val="24"/>
          <w:szCs w:val="24"/>
        </w:rPr>
        <w:t xml:space="preserve"> no alimento </w:t>
      </w:r>
      <w:r w:rsidR="003F6125" w:rsidRPr="00182DF5">
        <w:rPr>
          <w:rFonts w:ascii="Times New Roman" w:hAnsi="Times New Roman"/>
          <w:i/>
          <w:iCs/>
          <w:sz w:val="24"/>
          <w:szCs w:val="24"/>
        </w:rPr>
        <w:t>p</w:t>
      </w:r>
      <w:r w:rsidR="003F6125" w:rsidRPr="00182DF5">
        <w:rPr>
          <w:rFonts w:ascii="Times New Roman" w:hAnsi="Times New Roman"/>
          <w:sz w:val="24"/>
          <w:szCs w:val="24"/>
        </w:rPr>
        <w:t xml:space="preserve"> (Bq/kg); </w:t>
      </w:r>
    </w:p>
    <w:p w14:paraId="25FCCD3F" w14:textId="77777777" w:rsidR="003F6125" w:rsidRPr="00182DF5" w:rsidRDefault="00372E23" w:rsidP="00767789">
      <w:pPr>
        <w:tabs>
          <w:tab w:val="left" w:pos="567"/>
          <w:tab w:val="left" w:pos="8364"/>
          <w:tab w:val="left" w:pos="8505"/>
        </w:tabs>
        <w:jc w:val="both"/>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w,i</m:t>
            </m:r>
          </m:sub>
        </m:sSub>
      </m:oMath>
      <w:r w:rsidR="003F6125" w:rsidRPr="00182DF5">
        <w:rPr>
          <w:rFonts w:ascii="Times New Roman" w:hAnsi="Times New Roman"/>
          <w:sz w:val="24"/>
          <w:szCs w:val="24"/>
        </w:rPr>
        <w:t xml:space="preserve"> = concentração do radionuclídeo </w:t>
      </w:r>
      <w:r w:rsidR="003F6125" w:rsidRPr="00182DF5">
        <w:rPr>
          <w:rFonts w:ascii="Times New Roman" w:hAnsi="Times New Roman"/>
          <w:i/>
          <w:iCs/>
          <w:sz w:val="24"/>
          <w:szCs w:val="24"/>
        </w:rPr>
        <w:t>i</w:t>
      </w:r>
      <w:r w:rsidR="003F6125" w:rsidRPr="00182DF5">
        <w:rPr>
          <w:rFonts w:ascii="Times New Roman" w:hAnsi="Times New Roman"/>
          <w:sz w:val="24"/>
          <w:szCs w:val="24"/>
        </w:rPr>
        <w:t xml:space="preserve"> dissolvido em água (Bq/m³); </w:t>
      </w:r>
    </w:p>
    <w:p w14:paraId="6E5AB530" w14:textId="77777777" w:rsidR="003F6125" w:rsidRPr="00182DF5" w:rsidRDefault="00372E23" w:rsidP="00767789">
      <w:pPr>
        <w:tabs>
          <w:tab w:val="left" w:pos="567"/>
          <w:tab w:val="left" w:pos="8364"/>
          <w:tab w:val="left" w:pos="8505"/>
        </w:tabs>
        <w:jc w:val="both"/>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p</m:t>
            </m:r>
          </m:sub>
        </m:sSub>
      </m:oMath>
      <w:r w:rsidR="003F6125" w:rsidRPr="00182DF5">
        <w:rPr>
          <w:rFonts w:ascii="Times New Roman" w:hAnsi="Times New Roman"/>
          <w:sz w:val="24"/>
          <w:szCs w:val="24"/>
        </w:rPr>
        <w:t xml:space="preserve"> = razão de equilíbrio da concentração do radionuclídeo </w:t>
      </w:r>
      <w:bookmarkEnd w:id="0"/>
      <w:r w:rsidR="003F6125" w:rsidRPr="00182DF5">
        <w:rPr>
          <w:rFonts w:ascii="Times New Roman" w:hAnsi="Times New Roman"/>
          <w:i/>
          <w:iCs/>
          <w:sz w:val="24"/>
          <w:szCs w:val="24"/>
        </w:rPr>
        <w:t xml:space="preserve">i </w:t>
      </w:r>
      <w:r w:rsidR="003F6125" w:rsidRPr="00182DF5">
        <w:rPr>
          <w:rFonts w:ascii="Times New Roman" w:hAnsi="Times New Roman"/>
          <w:sz w:val="24"/>
          <w:szCs w:val="24"/>
        </w:rPr>
        <w:t>no alimento aquático</w:t>
      </w:r>
      <w:r w:rsidR="003F6125" w:rsidRPr="00182DF5">
        <w:rPr>
          <w:rFonts w:ascii="Times New Roman" w:hAnsi="Times New Roman"/>
          <w:i/>
          <w:iCs/>
          <w:sz w:val="24"/>
          <w:szCs w:val="24"/>
        </w:rPr>
        <w:t xml:space="preserve"> p</w:t>
      </w:r>
      <w:r w:rsidR="003F6125" w:rsidRPr="00182DF5">
        <w:rPr>
          <w:rFonts w:ascii="Times New Roman" w:hAnsi="Times New Roman"/>
          <w:sz w:val="24"/>
          <w:szCs w:val="24"/>
        </w:rPr>
        <w:t xml:space="preserve"> e sua concentração dissociada em água (Bq.kg</w:t>
      </w:r>
      <w:r w:rsidR="003F6125" w:rsidRPr="00182DF5">
        <w:rPr>
          <w:rFonts w:ascii="Times New Roman" w:hAnsi="Times New Roman"/>
          <w:sz w:val="24"/>
          <w:szCs w:val="24"/>
          <w:vertAlign w:val="superscript"/>
        </w:rPr>
        <w:t>-1</w:t>
      </w:r>
      <w:r w:rsidR="003F6125" w:rsidRPr="00182DF5">
        <w:rPr>
          <w:rFonts w:ascii="Times New Roman" w:hAnsi="Times New Roman"/>
          <w:sz w:val="24"/>
          <w:szCs w:val="24"/>
        </w:rPr>
        <w:t>/Bq.L</w:t>
      </w:r>
      <w:r w:rsidR="003F6125" w:rsidRPr="00182DF5">
        <w:rPr>
          <w:rFonts w:ascii="Times New Roman" w:hAnsi="Times New Roman"/>
          <w:sz w:val="24"/>
          <w:szCs w:val="24"/>
          <w:vertAlign w:val="superscript"/>
        </w:rPr>
        <w:t>-1</w:t>
      </w:r>
      <w:r w:rsidR="003F6125" w:rsidRPr="00182DF5">
        <w:rPr>
          <w:rFonts w:ascii="Times New Roman" w:hAnsi="Times New Roman"/>
          <w:sz w:val="24"/>
          <w:szCs w:val="24"/>
        </w:rPr>
        <w:t>, ou L/kg), conhecido como fator de bioacumulação.</w:t>
      </w:r>
    </w:p>
    <w:p w14:paraId="28E5E155"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16024D21"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 xml:space="preserve">Utilizando a tabela 4.3.1.2-a do MCRMA (ELETRONUCLEAR, 2013) de Angra 1 para fornecer a variável </w:t>
      </w:r>
      <w:r w:rsidRPr="00182DF5">
        <w:rPr>
          <w:rFonts w:ascii="Times New Roman" w:hAnsi="Times New Roman"/>
          <w:i/>
          <w:iCs/>
          <w:sz w:val="24"/>
          <w:szCs w:val="24"/>
        </w:rPr>
        <w:t>Bp</w:t>
      </w:r>
      <w:r w:rsidRPr="00182DF5">
        <w:rPr>
          <w:rFonts w:ascii="Times New Roman" w:hAnsi="Times New Roman"/>
          <w:sz w:val="24"/>
          <w:szCs w:val="24"/>
        </w:rPr>
        <w:t xml:space="preserve"> e, o modelo básico do SRS 19 para simular o transporte dos radionuclídeos em outros compartimentos ambientais, foi possível obter valores para peixes e invertebrados.</w:t>
      </w:r>
    </w:p>
    <w:p w14:paraId="715596E5"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7B8AB9F6"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A fim de simular o transporte dos radionuclídeos da água para o sedimento marinho, a equação 4.3.1.1 do MCRMA (ELETRONUCLEAR, 2013) a seguir foi utilizada para estimar a concentração no sedimento a partir da concentração na água:</w:t>
      </w:r>
    </w:p>
    <w:p w14:paraId="140D0C6E" w14:textId="77777777" w:rsidR="003F6125" w:rsidRDefault="003F6125" w:rsidP="00767789">
      <w:pPr>
        <w:tabs>
          <w:tab w:val="left" w:pos="567"/>
          <w:tab w:val="left" w:pos="8364"/>
          <w:tab w:val="left" w:pos="8505"/>
        </w:tabs>
        <w:jc w:val="both"/>
        <w:rPr>
          <w:rFonts w:ascii="Times New Roman" w:hAnsi="Times New Roman"/>
          <w:sz w:val="24"/>
          <w:szCs w:val="24"/>
        </w:rPr>
      </w:pPr>
    </w:p>
    <w:p w14:paraId="545FC27E" w14:textId="77777777" w:rsidR="00767789" w:rsidRPr="00182DF5" w:rsidRDefault="00767789" w:rsidP="00767789">
      <w:pPr>
        <w:tabs>
          <w:tab w:val="left" w:pos="567"/>
          <w:tab w:val="left" w:pos="8364"/>
          <w:tab w:val="left" w:pos="8505"/>
        </w:tabs>
        <w:jc w:val="both"/>
        <w:rPr>
          <w:rFonts w:ascii="Times New Roman" w:hAnsi="Times New Roman"/>
          <w:sz w:val="24"/>
          <w:szCs w:val="24"/>
        </w:rPr>
      </w:pPr>
    </w:p>
    <w:p w14:paraId="53A28764" w14:textId="77777777" w:rsidR="003F6125" w:rsidRPr="00182DF5" w:rsidRDefault="00372E23" w:rsidP="00182DF5">
      <w:pPr>
        <w:tabs>
          <w:tab w:val="left" w:pos="567"/>
          <w:tab w:val="left" w:pos="8364"/>
          <w:tab w:val="left" w:pos="8505"/>
        </w:tabs>
        <w:ind w:right="-57"/>
        <w:jc w:val="both"/>
        <w:rPr>
          <w:rFonts w:ascii="Times New Roman" w:hAnsi="Times New Roman"/>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Ci</m:t>
              </m:r>
            </m:e>
            <m:sub>
              <m:r>
                <m:rPr>
                  <m:sty m:val="bi"/>
                </m:rPr>
                <w:rPr>
                  <w:rFonts w:ascii="Cambria Math" w:hAnsi="Cambria Math"/>
                  <w:sz w:val="24"/>
                  <w:szCs w:val="24"/>
                </w:rPr>
                <m:t>s</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Ci</m:t>
              </m:r>
            </m:e>
            <m:sub>
              <m:r>
                <m:rPr>
                  <m:sty m:val="bi"/>
                </m:rPr>
                <w:rPr>
                  <w:rFonts w:ascii="Cambria Math" w:hAnsi="Cambria Math"/>
                  <w:sz w:val="24"/>
                  <w:szCs w:val="24"/>
                </w:rPr>
                <m:t>a</m:t>
              </m:r>
            </m:sub>
          </m:sSub>
          <m:r>
            <m:rPr>
              <m:sty m:val="bi"/>
            </m:rPr>
            <w:rPr>
              <w:rFonts w:ascii="Cambria Math" w:hAnsi="Cambria Math"/>
              <w:sz w:val="24"/>
              <w:szCs w:val="24"/>
            </w:rPr>
            <m:t xml:space="preserve"> . </m:t>
          </m:r>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c</m:t>
              </m:r>
            </m:sub>
          </m:sSub>
          <m:f>
            <m:fPr>
              <m:ctrlPr>
                <w:rPr>
                  <w:rFonts w:ascii="Cambria Math" w:hAnsi="Cambria Math"/>
                  <w:b/>
                  <w:bCs/>
                  <w:i/>
                  <w:sz w:val="24"/>
                  <w:szCs w:val="24"/>
                </w:rPr>
              </m:ctrlPr>
            </m:fPr>
            <m:num>
              <m:r>
                <m:rPr>
                  <m:sty m:val="bi"/>
                </m:rPr>
                <w:rPr>
                  <w:rFonts w:ascii="Cambria Math" w:hAnsi="Cambria Math"/>
                  <w:sz w:val="24"/>
                  <w:szCs w:val="24"/>
                </w:rPr>
                <m:t>1-</m:t>
              </m:r>
              <m:sSup>
                <m:sSupPr>
                  <m:ctrlPr>
                    <w:rPr>
                      <w:rFonts w:ascii="Cambria Math" w:hAnsi="Cambria Math"/>
                      <w:b/>
                      <w:bCs/>
                      <w:i/>
                      <w:sz w:val="24"/>
                      <w:szCs w:val="24"/>
                    </w:rPr>
                  </m:ctrlPr>
                </m:sSupPr>
                <m:e>
                  <m:r>
                    <m:rPr>
                      <m:sty m:val="bi"/>
                    </m:rPr>
                    <w:rPr>
                      <w:rFonts w:ascii="Cambria Math" w:hAnsi="Cambria Math"/>
                      <w:sz w:val="24"/>
                      <w:szCs w:val="24"/>
                    </w:rPr>
                    <m:t>e</m:t>
                  </m:r>
                </m:e>
                <m:sup>
                  <m:sSub>
                    <m:sSubPr>
                      <m:ctrlPr>
                        <w:rPr>
                          <w:rFonts w:ascii="Cambria Math" w:hAnsi="Cambria Math"/>
                          <w:b/>
                          <w:bCs/>
                          <w:i/>
                          <w:sz w:val="24"/>
                          <w:szCs w:val="24"/>
                        </w:rPr>
                      </m:ctrlPr>
                    </m:sSubPr>
                    <m:e>
                      <m:r>
                        <m:rPr>
                          <m:sty m:val="bi"/>
                        </m:rPr>
                        <w:rPr>
                          <w:rFonts w:ascii="Cambria Math" w:hAnsi="Cambria Math"/>
                          <w:sz w:val="24"/>
                          <w:szCs w:val="24"/>
                        </w:rPr>
                        <m:t>-λ</m:t>
                      </m:r>
                    </m:e>
                    <m:sub>
                      <m:r>
                        <m:rPr>
                          <m:sty m:val="bi"/>
                        </m:rPr>
                        <w:rPr>
                          <w:rFonts w:ascii="Cambria Math" w:hAnsi="Cambria Math"/>
                          <w:sz w:val="24"/>
                          <w:szCs w:val="24"/>
                        </w:rPr>
                        <m:t>i</m:t>
                      </m:r>
                    </m:sub>
                  </m:sSub>
                  <m:sSub>
                    <m:sSubPr>
                      <m:ctrlPr>
                        <w:rPr>
                          <w:rFonts w:ascii="Cambria Math" w:hAnsi="Cambria Math"/>
                          <w:b/>
                          <w:bCs/>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b</m:t>
                      </m:r>
                    </m:sub>
                  </m:sSub>
                </m:sup>
              </m:sSup>
            </m:num>
            <m:den>
              <m:sSub>
                <m:sSubPr>
                  <m:ctrlPr>
                    <w:rPr>
                      <w:rFonts w:ascii="Cambria Math" w:hAnsi="Cambria Math"/>
                      <w:b/>
                      <w:bCs/>
                      <w:i/>
                      <w:sz w:val="24"/>
                      <w:szCs w:val="24"/>
                    </w:rPr>
                  </m:ctrlPr>
                </m:sSubPr>
                <m:e>
                  <m:r>
                    <m:rPr>
                      <m:sty m:val="bi"/>
                    </m:rPr>
                    <w:rPr>
                      <w:rFonts w:ascii="Cambria Math" w:hAnsi="Cambria Math"/>
                      <w:sz w:val="24"/>
                      <w:szCs w:val="24"/>
                    </w:rPr>
                    <m:t>λ</m:t>
                  </m:r>
                </m:e>
                <m:sub>
                  <m:r>
                    <m:rPr>
                      <m:sty m:val="bi"/>
                    </m:rPr>
                    <w:rPr>
                      <w:rFonts w:ascii="Cambria Math" w:hAnsi="Cambria Math"/>
                      <w:sz w:val="24"/>
                      <w:szCs w:val="24"/>
                    </w:rPr>
                    <m:t>i</m:t>
                  </m:r>
                </m:sub>
              </m:sSub>
            </m:den>
          </m:f>
        </m:oMath>
      </m:oMathPara>
    </w:p>
    <w:p w14:paraId="1D30E058" w14:textId="77777777" w:rsidR="003F6125" w:rsidRPr="00182DF5" w:rsidRDefault="003F6125" w:rsidP="00182DF5">
      <w:pPr>
        <w:tabs>
          <w:tab w:val="left" w:pos="567"/>
          <w:tab w:val="left" w:pos="8364"/>
          <w:tab w:val="left" w:pos="8505"/>
        </w:tabs>
        <w:ind w:right="-57"/>
        <w:jc w:val="both"/>
        <w:rPr>
          <w:rFonts w:ascii="Times New Roman" w:hAnsi="Times New Roman"/>
          <w:b/>
          <w:bCs/>
          <w:sz w:val="24"/>
          <w:szCs w:val="24"/>
        </w:rPr>
      </w:pPr>
    </w:p>
    <w:p w14:paraId="771B61B6" w14:textId="77777777" w:rsidR="003F6125" w:rsidRPr="00182DF5" w:rsidRDefault="003F6125" w:rsidP="00182DF5">
      <w:pPr>
        <w:tabs>
          <w:tab w:val="left" w:pos="567"/>
          <w:tab w:val="left" w:pos="8364"/>
          <w:tab w:val="left" w:pos="8505"/>
        </w:tabs>
        <w:ind w:right="-57"/>
        <w:jc w:val="both"/>
        <w:rPr>
          <w:rFonts w:ascii="Times New Roman" w:hAnsi="Times New Roman"/>
          <w:sz w:val="24"/>
          <w:szCs w:val="24"/>
        </w:rPr>
      </w:pPr>
      <w:r w:rsidRPr="00182DF5">
        <w:rPr>
          <w:rFonts w:ascii="Times New Roman" w:hAnsi="Times New Roman"/>
          <w:sz w:val="24"/>
          <w:szCs w:val="24"/>
        </w:rPr>
        <w:t>Onde:</w:t>
      </w:r>
    </w:p>
    <w:p w14:paraId="708089D6" w14:textId="77777777" w:rsidR="003F6125" w:rsidRPr="00182DF5" w:rsidRDefault="003F6125" w:rsidP="00182DF5">
      <w:pPr>
        <w:tabs>
          <w:tab w:val="left" w:pos="567"/>
          <w:tab w:val="left" w:pos="8364"/>
          <w:tab w:val="left" w:pos="8505"/>
        </w:tabs>
        <w:ind w:right="-57"/>
        <w:jc w:val="both"/>
        <w:rPr>
          <w:rFonts w:ascii="Times New Roman" w:hAnsi="Times New Roman"/>
          <w:sz w:val="24"/>
          <w:szCs w:val="24"/>
        </w:rPr>
      </w:pPr>
      <w:r w:rsidRPr="00182DF5">
        <w:rPr>
          <w:rFonts w:ascii="Times New Roman" w:hAnsi="Times New Roman"/>
          <w:i/>
          <w:iCs/>
          <w:sz w:val="24"/>
          <w:szCs w:val="24"/>
        </w:rPr>
        <w:t>Ci</w:t>
      </w:r>
      <w:r w:rsidRPr="00182DF5">
        <w:rPr>
          <w:rFonts w:ascii="Times New Roman" w:hAnsi="Times New Roman"/>
          <w:i/>
          <w:iCs/>
          <w:sz w:val="24"/>
          <w:szCs w:val="24"/>
          <w:vertAlign w:val="subscript"/>
        </w:rPr>
        <w:t>s</w:t>
      </w:r>
      <w:r w:rsidRPr="00182DF5">
        <w:rPr>
          <w:rFonts w:ascii="Times New Roman" w:hAnsi="Times New Roman"/>
          <w:sz w:val="24"/>
          <w:szCs w:val="24"/>
        </w:rPr>
        <w:t xml:space="preserve"> = Concentração no sedimento (Bq/Kg);</w:t>
      </w:r>
    </w:p>
    <w:p w14:paraId="0E34C75D" w14:textId="77777777" w:rsidR="003F6125" w:rsidRPr="00182DF5" w:rsidRDefault="003F6125" w:rsidP="00182DF5">
      <w:pPr>
        <w:tabs>
          <w:tab w:val="left" w:pos="567"/>
          <w:tab w:val="left" w:pos="8364"/>
          <w:tab w:val="left" w:pos="8505"/>
        </w:tabs>
        <w:ind w:right="-57"/>
        <w:jc w:val="both"/>
        <w:rPr>
          <w:rFonts w:ascii="Times New Roman" w:hAnsi="Times New Roman"/>
          <w:sz w:val="24"/>
          <w:szCs w:val="24"/>
        </w:rPr>
      </w:pPr>
      <w:r w:rsidRPr="00182DF5">
        <w:rPr>
          <w:rFonts w:ascii="Times New Roman" w:hAnsi="Times New Roman"/>
          <w:i/>
          <w:iCs/>
          <w:sz w:val="24"/>
          <w:szCs w:val="24"/>
        </w:rPr>
        <w:t>Ci</w:t>
      </w:r>
      <w:r w:rsidRPr="00182DF5">
        <w:rPr>
          <w:rFonts w:ascii="Times New Roman" w:hAnsi="Times New Roman"/>
          <w:i/>
          <w:iCs/>
          <w:sz w:val="24"/>
          <w:szCs w:val="24"/>
          <w:vertAlign w:val="subscript"/>
        </w:rPr>
        <w:t>a</w:t>
      </w:r>
      <w:r w:rsidRPr="00182DF5">
        <w:rPr>
          <w:rFonts w:ascii="Times New Roman" w:hAnsi="Times New Roman"/>
          <w:sz w:val="24"/>
          <w:szCs w:val="24"/>
        </w:rPr>
        <w:t xml:space="preserve"> = Concentração na água (Bq/m</w:t>
      </w:r>
      <w:r w:rsidRPr="00182DF5">
        <w:rPr>
          <w:rFonts w:ascii="Times New Roman" w:hAnsi="Times New Roman"/>
          <w:sz w:val="24"/>
          <w:szCs w:val="24"/>
          <w:vertAlign w:val="superscript"/>
        </w:rPr>
        <w:t>3</w:t>
      </w:r>
      <w:r w:rsidRPr="00182DF5">
        <w:rPr>
          <w:rFonts w:ascii="Times New Roman" w:hAnsi="Times New Roman"/>
          <w:sz w:val="24"/>
          <w:szCs w:val="24"/>
        </w:rPr>
        <w:t>);</w:t>
      </w:r>
    </w:p>
    <w:p w14:paraId="19D0EE90" w14:textId="77777777" w:rsidR="003F6125" w:rsidRPr="00182DF5" w:rsidRDefault="003F6125" w:rsidP="00182DF5">
      <w:pPr>
        <w:tabs>
          <w:tab w:val="left" w:pos="567"/>
          <w:tab w:val="left" w:pos="8364"/>
          <w:tab w:val="left" w:pos="8505"/>
        </w:tabs>
        <w:ind w:right="-57"/>
        <w:jc w:val="both"/>
        <w:rPr>
          <w:rFonts w:ascii="Times New Roman" w:hAnsi="Times New Roman"/>
          <w:sz w:val="24"/>
          <w:szCs w:val="24"/>
        </w:rPr>
      </w:pPr>
      <w:r w:rsidRPr="00182DF5">
        <w:rPr>
          <w:rFonts w:ascii="Times New Roman" w:hAnsi="Times New Roman"/>
          <w:i/>
          <w:iCs/>
          <w:sz w:val="24"/>
          <w:szCs w:val="24"/>
        </w:rPr>
        <w:t>K</w:t>
      </w:r>
      <w:r w:rsidRPr="00182DF5">
        <w:rPr>
          <w:rFonts w:ascii="Times New Roman" w:hAnsi="Times New Roman"/>
          <w:i/>
          <w:iCs/>
          <w:sz w:val="24"/>
          <w:szCs w:val="24"/>
          <w:vertAlign w:val="subscript"/>
        </w:rPr>
        <w:t>c</w:t>
      </w:r>
      <w:r w:rsidRPr="00182DF5">
        <w:rPr>
          <w:rFonts w:ascii="Times New Roman" w:hAnsi="Times New Roman"/>
          <w:sz w:val="24"/>
          <w:szCs w:val="24"/>
        </w:rPr>
        <w:t xml:space="preserve"> = Constante de transferência da água para o sedimento (7,2E-05 m³/Kg.h);</w:t>
      </w:r>
    </w:p>
    <w:p w14:paraId="7F5CD17E" w14:textId="77777777" w:rsidR="003F6125" w:rsidRPr="00182DF5" w:rsidRDefault="003F6125" w:rsidP="00182DF5">
      <w:pPr>
        <w:tabs>
          <w:tab w:val="left" w:pos="567"/>
          <w:tab w:val="left" w:pos="8364"/>
          <w:tab w:val="left" w:pos="8505"/>
        </w:tabs>
        <w:ind w:right="-57"/>
        <w:jc w:val="both"/>
        <w:rPr>
          <w:rFonts w:ascii="Times New Roman" w:hAnsi="Times New Roman"/>
          <w:sz w:val="24"/>
          <w:szCs w:val="24"/>
        </w:rPr>
      </w:pPr>
      <w:r w:rsidRPr="00182DF5">
        <w:rPr>
          <w:rFonts w:ascii="Times New Roman" w:hAnsi="Times New Roman"/>
          <w:i/>
          <w:iCs/>
          <w:sz w:val="24"/>
          <w:szCs w:val="24"/>
        </w:rPr>
        <w:t>λ</w:t>
      </w:r>
      <w:r w:rsidRPr="00182DF5">
        <w:rPr>
          <w:rFonts w:ascii="Times New Roman" w:hAnsi="Times New Roman"/>
          <w:i/>
          <w:iCs/>
          <w:sz w:val="24"/>
          <w:szCs w:val="24"/>
          <w:vertAlign w:val="subscript"/>
        </w:rPr>
        <w:t>i</w:t>
      </w:r>
      <w:r w:rsidRPr="00182DF5">
        <w:rPr>
          <w:rFonts w:ascii="Times New Roman" w:hAnsi="Times New Roman"/>
          <w:sz w:val="24"/>
          <w:szCs w:val="24"/>
        </w:rPr>
        <w:t xml:space="preserve"> = Constante de decaimento do radionuclídeo “</w:t>
      </w:r>
      <w:r w:rsidRPr="00182DF5">
        <w:rPr>
          <w:rFonts w:ascii="Times New Roman" w:hAnsi="Times New Roman"/>
          <w:i/>
          <w:iCs/>
          <w:sz w:val="24"/>
          <w:szCs w:val="24"/>
        </w:rPr>
        <w:t>i</w:t>
      </w:r>
      <w:r w:rsidRPr="00182DF5">
        <w:rPr>
          <w:rFonts w:ascii="Times New Roman" w:hAnsi="Times New Roman"/>
          <w:sz w:val="24"/>
          <w:szCs w:val="24"/>
        </w:rPr>
        <w:t>” em horas;</w:t>
      </w:r>
    </w:p>
    <w:p w14:paraId="26DDBE0B" w14:textId="77777777" w:rsidR="003F6125" w:rsidRPr="00182DF5" w:rsidRDefault="003F6125" w:rsidP="00182DF5">
      <w:pPr>
        <w:tabs>
          <w:tab w:val="left" w:pos="567"/>
          <w:tab w:val="left" w:pos="8364"/>
          <w:tab w:val="left" w:pos="8505"/>
        </w:tabs>
        <w:ind w:right="-57"/>
        <w:jc w:val="both"/>
        <w:rPr>
          <w:rFonts w:ascii="Times New Roman" w:hAnsi="Times New Roman"/>
          <w:sz w:val="24"/>
          <w:szCs w:val="24"/>
        </w:rPr>
      </w:pPr>
      <w:r w:rsidRPr="00182DF5">
        <w:rPr>
          <w:rFonts w:ascii="Times New Roman" w:hAnsi="Times New Roman"/>
          <w:i/>
          <w:iCs/>
          <w:sz w:val="24"/>
          <w:szCs w:val="24"/>
        </w:rPr>
        <w:t>t</w:t>
      </w:r>
      <w:r w:rsidRPr="00182DF5">
        <w:rPr>
          <w:rFonts w:ascii="Times New Roman" w:hAnsi="Times New Roman"/>
          <w:i/>
          <w:iCs/>
          <w:sz w:val="24"/>
          <w:szCs w:val="24"/>
          <w:vertAlign w:val="subscript"/>
        </w:rPr>
        <w:t>b</w:t>
      </w:r>
      <w:r w:rsidRPr="00182DF5">
        <w:rPr>
          <w:rFonts w:ascii="Times New Roman" w:hAnsi="Times New Roman"/>
          <w:sz w:val="24"/>
          <w:szCs w:val="24"/>
        </w:rPr>
        <w:t xml:space="preserve"> = Tempo de exposição do sedimento à água contaminada (30 anos – 262980 h).</w:t>
      </w:r>
    </w:p>
    <w:p w14:paraId="23D07BCC" w14:textId="77777777" w:rsidR="003F6125" w:rsidRPr="00182DF5" w:rsidRDefault="003F6125" w:rsidP="00182DF5">
      <w:pPr>
        <w:tabs>
          <w:tab w:val="left" w:pos="567"/>
          <w:tab w:val="left" w:pos="8364"/>
          <w:tab w:val="left" w:pos="8505"/>
        </w:tabs>
        <w:ind w:right="1871"/>
        <w:jc w:val="both"/>
        <w:rPr>
          <w:rFonts w:ascii="Times New Roman" w:hAnsi="Times New Roman"/>
          <w:sz w:val="24"/>
          <w:szCs w:val="24"/>
        </w:rPr>
      </w:pPr>
    </w:p>
    <w:p w14:paraId="102A05BF" w14:textId="77777777" w:rsidR="003F6125" w:rsidRPr="00182DF5" w:rsidRDefault="003F6125" w:rsidP="00182DF5">
      <w:pPr>
        <w:tabs>
          <w:tab w:val="left" w:pos="567"/>
          <w:tab w:val="left" w:pos="8364"/>
          <w:tab w:val="left" w:pos="8505"/>
        </w:tabs>
        <w:ind w:right="1871"/>
        <w:jc w:val="both"/>
        <w:rPr>
          <w:rFonts w:ascii="Times New Roman" w:hAnsi="Times New Roman"/>
          <w:sz w:val="24"/>
          <w:szCs w:val="24"/>
        </w:rPr>
      </w:pPr>
    </w:p>
    <w:p w14:paraId="372B328D" w14:textId="77777777" w:rsidR="003F6125" w:rsidRPr="00182DF5" w:rsidRDefault="003F6125" w:rsidP="00182DF5">
      <w:pPr>
        <w:numPr>
          <w:ilvl w:val="0"/>
          <w:numId w:val="2"/>
        </w:numPr>
        <w:tabs>
          <w:tab w:val="left" w:pos="567"/>
        </w:tabs>
        <w:ind w:left="0" w:right="1871"/>
        <w:jc w:val="both"/>
        <w:rPr>
          <w:rFonts w:ascii="Times New Roman" w:hAnsi="Times New Roman"/>
          <w:b/>
          <w:sz w:val="24"/>
          <w:szCs w:val="24"/>
        </w:rPr>
      </w:pPr>
      <w:r w:rsidRPr="00182DF5">
        <w:rPr>
          <w:rFonts w:ascii="Times New Roman" w:hAnsi="Times New Roman"/>
          <w:b/>
          <w:sz w:val="24"/>
          <w:szCs w:val="24"/>
        </w:rPr>
        <w:t>RESULTADOS E DISCUSSÕES</w:t>
      </w:r>
    </w:p>
    <w:p w14:paraId="0F3F0D9D" w14:textId="77777777" w:rsidR="003F6125" w:rsidRPr="00182DF5" w:rsidRDefault="003F6125" w:rsidP="00182DF5">
      <w:pPr>
        <w:tabs>
          <w:tab w:val="left" w:pos="567"/>
        </w:tabs>
        <w:ind w:right="1871"/>
        <w:jc w:val="both"/>
        <w:rPr>
          <w:rFonts w:ascii="Times New Roman" w:hAnsi="Times New Roman"/>
          <w:b/>
          <w:sz w:val="24"/>
          <w:szCs w:val="24"/>
        </w:rPr>
      </w:pPr>
    </w:p>
    <w:p w14:paraId="00F9F0F8" w14:textId="77777777" w:rsidR="003F6125" w:rsidRPr="00182DF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Os resultados apontados na Tabela 1 foram obtidos considerando um modelo de transporte robusto. Este modelo considera um cenário cuja atividade de liberação do TAR é adicionada às liberações rotineiras para o meio ambiente.</w:t>
      </w:r>
    </w:p>
    <w:p w14:paraId="0F9DFEA9" w14:textId="77777777" w:rsidR="003F6125" w:rsidRPr="00182DF5" w:rsidRDefault="003F6125" w:rsidP="00767789">
      <w:pPr>
        <w:tabs>
          <w:tab w:val="left" w:pos="567"/>
          <w:tab w:val="left" w:pos="8364"/>
          <w:tab w:val="left" w:pos="8505"/>
        </w:tabs>
        <w:jc w:val="both"/>
        <w:rPr>
          <w:rFonts w:ascii="Times New Roman" w:hAnsi="Times New Roman"/>
          <w:sz w:val="24"/>
          <w:szCs w:val="24"/>
        </w:rPr>
      </w:pPr>
    </w:p>
    <w:p w14:paraId="3B3F6573" w14:textId="77777777" w:rsidR="003F6125" w:rsidRDefault="003F6125" w:rsidP="00767789">
      <w:pPr>
        <w:tabs>
          <w:tab w:val="left" w:pos="567"/>
          <w:tab w:val="left" w:pos="8364"/>
          <w:tab w:val="left" w:pos="8505"/>
        </w:tabs>
        <w:jc w:val="both"/>
        <w:rPr>
          <w:rFonts w:ascii="Times New Roman" w:hAnsi="Times New Roman"/>
          <w:sz w:val="24"/>
          <w:szCs w:val="24"/>
        </w:rPr>
      </w:pPr>
      <w:r w:rsidRPr="00182DF5">
        <w:rPr>
          <w:rFonts w:ascii="Times New Roman" w:hAnsi="Times New Roman"/>
          <w:sz w:val="24"/>
          <w:szCs w:val="24"/>
        </w:rPr>
        <w:t>Tabela 1: Resultados da simulação de transporte dos radionuclídeos em outros compartimentos ambientais.</w:t>
      </w:r>
    </w:p>
    <w:p w14:paraId="3A1EFE96" w14:textId="77777777" w:rsidR="00767789" w:rsidRPr="00182DF5" w:rsidRDefault="00767789" w:rsidP="00767789">
      <w:pPr>
        <w:tabs>
          <w:tab w:val="left" w:pos="567"/>
          <w:tab w:val="left" w:pos="8364"/>
          <w:tab w:val="left" w:pos="8505"/>
        </w:tabs>
        <w:jc w:val="both"/>
        <w:rPr>
          <w:rFonts w:ascii="Times New Roman" w:hAnsi="Times New Roman"/>
          <w:sz w:val="24"/>
          <w:szCs w:val="24"/>
        </w:rPr>
      </w:pPr>
    </w:p>
    <w:p w14:paraId="0A23B9C5" w14:textId="77777777" w:rsidR="003F6125" w:rsidRPr="00182DF5" w:rsidRDefault="003F6125" w:rsidP="00182DF5">
      <w:pPr>
        <w:tabs>
          <w:tab w:val="left" w:pos="567"/>
        </w:tabs>
        <w:ind w:right="1871"/>
        <w:jc w:val="both"/>
        <w:rPr>
          <w:rFonts w:ascii="Times New Roman" w:hAnsi="Times New Roman"/>
          <w:b/>
          <w:sz w:val="24"/>
          <w:szCs w:val="24"/>
        </w:rPr>
      </w:pPr>
      <w:r w:rsidRPr="00182DF5">
        <w:rPr>
          <w:rFonts w:ascii="Times New Roman" w:hAnsi="Times New Roman"/>
          <w:b/>
          <w:noProof/>
          <w:sz w:val="24"/>
          <w:szCs w:val="24"/>
        </w:rPr>
        <w:drawing>
          <wp:inline distT="0" distB="0" distL="0" distR="0" wp14:anchorId="79C60DE3" wp14:editId="3E0FC8E8">
            <wp:extent cx="5419725" cy="2552700"/>
            <wp:effectExtent l="0" t="0" r="9525" b="0"/>
            <wp:docPr id="2" name="Imagem 2"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1" descr="Tabela&#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9725" cy="2552700"/>
                    </a:xfrm>
                    <a:prstGeom prst="rect">
                      <a:avLst/>
                    </a:prstGeom>
                    <a:noFill/>
                    <a:ln>
                      <a:noFill/>
                    </a:ln>
                  </pic:spPr>
                </pic:pic>
              </a:graphicData>
            </a:graphic>
          </wp:inline>
        </w:drawing>
      </w:r>
    </w:p>
    <w:p w14:paraId="179A7337" w14:textId="77777777" w:rsidR="003F6125" w:rsidRPr="00182DF5" w:rsidRDefault="003F6125" w:rsidP="00182DF5">
      <w:pPr>
        <w:tabs>
          <w:tab w:val="left" w:pos="567"/>
        </w:tabs>
        <w:ind w:right="1871"/>
        <w:jc w:val="both"/>
        <w:rPr>
          <w:rFonts w:ascii="Times New Roman" w:hAnsi="Times New Roman"/>
          <w:bCs/>
          <w:sz w:val="24"/>
          <w:szCs w:val="24"/>
        </w:rPr>
      </w:pPr>
    </w:p>
    <w:p w14:paraId="1B42C4BF"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Neste cenário hipotético da liberação de todo o conteúdo do TAR, as concentrações em amostras ambientais nos compartimentos: água, peixes e sedimento, não atingiram os Níveis de Notificação (</w:t>
      </w:r>
      <w:r w:rsidRPr="00182DF5">
        <w:rPr>
          <w:rFonts w:ascii="Times New Roman" w:hAnsi="Times New Roman"/>
          <w:bCs/>
          <w:i/>
          <w:iCs/>
          <w:sz w:val="24"/>
          <w:szCs w:val="24"/>
        </w:rPr>
        <w:t>Report Level</w:t>
      </w:r>
      <w:r w:rsidRPr="00182DF5">
        <w:rPr>
          <w:rFonts w:ascii="Times New Roman" w:hAnsi="Times New Roman"/>
          <w:bCs/>
          <w:sz w:val="24"/>
          <w:szCs w:val="24"/>
        </w:rPr>
        <w:t xml:space="preserve">), preconizados no </w:t>
      </w:r>
      <w:r w:rsidRPr="00182DF5">
        <w:rPr>
          <w:rFonts w:ascii="Times New Roman" w:hAnsi="Times New Roman"/>
          <w:sz w:val="24"/>
          <w:szCs w:val="24"/>
        </w:rPr>
        <w:t>NUREG 1301</w:t>
      </w:r>
      <w:r w:rsidRPr="00182DF5">
        <w:rPr>
          <w:rFonts w:ascii="Times New Roman" w:hAnsi="Times New Roman"/>
          <w:bCs/>
          <w:sz w:val="24"/>
          <w:szCs w:val="24"/>
        </w:rPr>
        <w:t xml:space="preserve"> </w:t>
      </w:r>
      <w:r w:rsidRPr="00182DF5">
        <w:rPr>
          <w:rFonts w:ascii="Times New Roman" w:hAnsi="Times New Roman"/>
          <w:sz w:val="24"/>
          <w:szCs w:val="24"/>
        </w:rPr>
        <w:t xml:space="preserve">e Regulatory Guide 4.8, documentos estes que também são utilizados como referência </w:t>
      </w:r>
      <w:r w:rsidRPr="00182DF5">
        <w:rPr>
          <w:rFonts w:ascii="Times New Roman" w:hAnsi="Times New Roman"/>
          <w:bCs/>
          <w:sz w:val="24"/>
          <w:szCs w:val="24"/>
        </w:rPr>
        <w:t xml:space="preserve">no PMARO </w:t>
      </w:r>
      <w:r w:rsidRPr="00182DF5">
        <w:rPr>
          <w:rFonts w:ascii="Times New Roman" w:hAnsi="Times New Roman"/>
          <w:sz w:val="24"/>
          <w:szCs w:val="24"/>
        </w:rPr>
        <w:t>(ELETRONUCLEAR, 2023)</w:t>
      </w:r>
      <w:r w:rsidRPr="00182DF5">
        <w:rPr>
          <w:rFonts w:ascii="Times New Roman" w:hAnsi="Times New Roman"/>
          <w:bCs/>
          <w:sz w:val="24"/>
          <w:szCs w:val="24"/>
        </w:rPr>
        <w:t>.</w:t>
      </w:r>
    </w:p>
    <w:p w14:paraId="6B829CF7" w14:textId="77777777" w:rsidR="003F6125" w:rsidRPr="00182DF5" w:rsidRDefault="003F6125" w:rsidP="00767789">
      <w:pPr>
        <w:tabs>
          <w:tab w:val="left" w:pos="567"/>
        </w:tabs>
        <w:jc w:val="both"/>
        <w:rPr>
          <w:rFonts w:ascii="Times New Roman" w:hAnsi="Times New Roman"/>
          <w:bCs/>
          <w:sz w:val="24"/>
          <w:szCs w:val="24"/>
        </w:rPr>
      </w:pPr>
    </w:p>
    <w:p w14:paraId="0CCC97CF"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 xml:space="preserve">A premissa que visa mensurar o impacto foi estabelecida com base nos parâmetros da Tabela 2. Logo, dentro do cenário proposto, não são esperadas detecções de quaisquer radionuclídeos em amostras ambientais que requeiram ações específicas previstas no MCRMA </w:t>
      </w:r>
      <w:r w:rsidRPr="00182DF5">
        <w:rPr>
          <w:rFonts w:ascii="Times New Roman" w:hAnsi="Times New Roman"/>
          <w:sz w:val="24"/>
          <w:szCs w:val="24"/>
        </w:rPr>
        <w:t>(ELETRONUCLEAR, 2013)</w:t>
      </w:r>
      <w:r w:rsidRPr="00182DF5">
        <w:rPr>
          <w:rFonts w:ascii="Times New Roman" w:hAnsi="Times New Roman"/>
          <w:bCs/>
          <w:sz w:val="24"/>
          <w:szCs w:val="24"/>
        </w:rPr>
        <w:t xml:space="preserve">. </w:t>
      </w:r>
    </w:p>
    <w:p w14:paraId="1FE89F37" w14:textId="77777777" w:rsidR="003F6125" w:rsidRPr="00182DF5" w:rsidRDefault="003F6125" w:rsidP="00767789">
      <w:pPr>
        <w:tabs>
          <w:tab w:val="left" w:pos="567"/>
        </w:tabs>
        <w:jc w:val="both"/>
        <w:rPr>
          <w:rFonts w:ascii="Times New Roman" w:hAnsi="Times New Roman"/>
          <w:bCs/>
          <w:sz w:val="24"/>
          <w:szCs w:val="24"/>
        </w:rPr>
      </w:pPr>
    </w:p>
    <w:p w14:paraId="3A30D19B"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 xml:space="preserve">O Programa Complementar de Monitoração Ambiental Radiológico, definido no procedimento PA-AG-013 </w:t>
      </w:r>
      <w:r w:rsidRPr="00182DF5">
        <w:rPr>
          <w:rFonts w:ascii="Times New Roman" w:hAnsi="Times New Roman"/>
          <w:sz w:val="24"/>
          <w:szCs w:val="24"/>
        </w:rPr>
        <w:t>(ELETRONUCLEAR, 2022),</w:t>
      </w:r>
      <w:r w:rsidRPr="00182DF5">
        <w:rPr>
          <w:rFonts w:ascii="Times New Roman" w:hAnsi="Times New Roman"/>
          <w:bCs/>
          <w:sz w:val="24"/>
          <w:szCs w:val="24"/>
        </w:rPr>
        <w:t xml:space="preserve"> tem por objetivo o acompanhamento dos níveis de radiação ambiental em várias matrizes e meios, provocados por liberações radiológicas em condições atípicas de operação da CNAAA. Seu caráter é investigativo, de forma a determinar a amplitude dessas influências, para nortear as ações corretivas. Este Programa será acionado sempre que forem atingidos os níveis de notificação e será desativado apenas quando as condições retornarem aos níveis similares àqueles observados antes do evento.</w:t>
      </w:r>
    </w:p>
    <w:p w14:paraId="7DE5EBDD" w14:textId="77777777" w:rsidR="003F6125" w:rsidRPr="00182DF5" w:rsidRDefault="003F6125" w:rsidP="00767789">
      <w:pPr>
        <w:tabs>
          <w:tab w:val="left" w:pos="567"/>
        </w:tabs>
        <w:jc w:val="both"/>
        <w:rPr>
          <w:rFonts w:ascii="Times New Roman" w:hAnsi="Times New Roman"/>
          <w:bCs/>
          <w:sz w:val="24"/>
          <w:szCs w:val="24"/>
        </w:rPr>
      </w:pPr>
    </w:p>
    <w:p w14:paraId="78968534" w14:textId="77777777" w:rsidR="003F612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 xml:space="preserve">Sendo assim, os resultados inferiores aos níveis de notificação, conforme Tabela 2, serão informados dentro da sistemática normal do PMARO </w:t>
      </w:r>
      <w:r w:rsidRPr="00182DF5">
        <w:rPr>
          <w:rFonts w:ascii="Times New Roman" w:hAnsi="Times New Roman"/>
          <w:sz w:val="24"/>
          <w:szCs w:val="24"/>
        </w:rPr>
        <w:t>(ELETRONUCLEAR, 2023)</w:t>
      </w:r>
      <w:r w:rsidRPr="00182DF5">
        <w:rPr>
          <w:rFonts w:ascii="Times New Roman" w:hAnsi="Times New Roman"/>
          <w:bCs/>
          <w:sz w:val="24"/>
          <w:szCs w:val="24"/>
        </w:rPr>
        <w:t>.</w:t>
      </w:r>
    </w:p>
    <w:p w14:paraId="018A5E2E" w14:textId="77777777" w:rsidR="00767789" w:rsidRDefault="00767789" w:rsidP="00182DF5">
      <w:pPr>
        <w:tabs>
          <w:tab w:val="left" w:pos="567"/>
        </w:tabs>
        <w:ind w:right="-57"/>
        <w:jc w:val="both"/>
        <w:rPr>
          <w:rFonts w:ascii="Times New Roman" w:hAnsi="Times New Roman"/>
          <w:bCs/>
          <w:sz w:val="24"/>
          <w:szCs w:val="24"/>
        </w:rPr>
      </w:pPr>
    </w:p>
    <w:p w14:paraId="58AC6A88" w14:textId="77777777" w:rsidR="00767789" w:rsidRDefault="00767789" w:rsidP="00182DF5">
      <w:pPr>
        <w:tabs>
          <w:tab w:val="left" w:pos="567"/>
        </w:tabs>
        <w:ind w:right="-57"/>
        <w:jc w:val="both"/>
        <w:rPr>
          <w:rFonts w:ascii="Times New Roman" w:hAnsi="Times New Roman"/>
          <w:bCs/>
          <w:sz w:val="24"/>
          <w:szCs w:val="24"/>
        </w:rPr>
      </w:pPr>
    </w:p>
    <w:p w14:paraId="673F3C6B" w14:textId="77777777" w:rsidR="00767789" w:rsidRDefault="00767789" w:rsidP="00182DF5">
      <w:pPr>
        <w:tabs>
          <w:tab w:val="left" w:pos="567"/>
        </w:tabs>
        <w:ind w:right="-57"/>
        <w:jc w:val="both"/>
        <w:rPr>
          <w:rFonts w:ascii="Times New Roman" w:hAnsi="Times New Roman"/>
          <w:bCs/>
          <w:sz w:val="24"/>
          <w:szCs w:val="24"/>
        </w:rPr>
      </w:pPr>
    </w:p>
    <w:p w14:paraId="428049A7" w14:textId="77777777" w:rsidR="00767789" w:rsidRDefault="00767789" w:rsidP="00182DF5">
      <w:pPr>
        <w:tabs>
          <w:tab w:val="left" w:pos="567"/>
        </w:tabs>
        <w:ind w:right="-57"/>
        <w:jc w:val="both"/>
        <w:rPr>
          <w:rFonts w:ascii="Times New Roman" w:hAnsi="Times New Roman"/>
          <w:bCs/>
          <w:sz w:val="24"/>
          <w:szCs w:val="24"/>
        </w:rPr>
      </w:pPr>
    </w:p>
    <w:p w14:paraId="78319B62" w14:textId="77777777" w:rsidR="00767789" w:rsidRDefault="00767789" w:rsidP="00182DF5">
      <w:pPr>
        <w:tabs>
          <w:tab w:val="left" w:pos="567"/>
        </w:tabs>
        <w:ind w:right="-57"/>
        <w:jc w:val="both"/>
        <w:rPr>
          <w:rFonts w:ascii="Times New Roman" w:hAnsi="Times New Roman"/>
          <w:bCs/>
          <w:sz w:val="24"/>
          <w:szCs w:val="24"/>
        </w:rPr>
      </w:pPr>
    </w:p>
    <w:p w14:paraId="309958FC" w14:textId="77777777" w:rsidR="00767789" w:rsidRDefault="00767789" w:rsidP="00182DF5">
      <w:pPr>
        <w:tabs>
          <w:tab w:val="left" w:pos="567"/>
        </w:tabs>
        <w:ind w:right="-57"/>
        <w:jc w:val="both"/>
        <w:rPr>
          <w:rFonts w:ascii="Times New Roman" w:hAnsi="Times New Roman"/>
          <w:bCs/>
          <w:sz w:val="24"/>
          <w:szCs w:val="24"/>
        </w:rPr>
      </w:pPr>
    </w:p>
    <w:p w14:paraId="04B23995" w14:textId="77777777" w:rsidR="00767789" w:rsidRDefault="00767789" w:rsidP="00182DF5">
      <w:pPr>
        <w:tabs>
          <w:tab w:val="left" w:pos="567"/>
        </w:tabs>
        <w:ind w:right="-57"/>
        <w:jc w:val="both"/>
        <w:rPr>
          <w:rFonts w:ascii="Times New Roman" w:hAnsi="Times New Roman"/>
          <w:bCs/>
          <w:sz w:val="24"/>
          <w:szCs w:val="24"/>
        </w:rPr>
      </w:pPr>
    </w:p>
    <w:p w14:paraId="754473F8" w14:textId="77777777" w:rsidR="00767789" w:rsidRDefault="00767789" w:rsidP="00182DF5">
      <w:pPr>
        <w:tabs>
          <w:tab w:val="left" w:pos="567"/>
        </w:tabs>
        <w:ind w:right="-57"/>
        <w:jc w:val="both"/>
        <w:rPr>
          <w:rFonts w:ascii="Times New Roman" w:hAnsi="Times New Roman"/>
          <w:bCs/>
          <w:sz w:val="24"/>
          <w:szCs w:val="24"/>
        </w:rPr>
      </w:pPr>
    </w:p>
    <w:p w14:paraId="553BB8EA" w14:textId="77777777" w:rsidR="00767789" w:rsidRDefault="00767789" w:rsidP="00182DF5">
      <w:pPr>
        <w:tabs>
          <w:tab w:val="left" w:pos="567"/>
        </w:tabs>
        <w:ind w:right="-57"/>
        <w:jc w:val="both"/>
        <w:rPr>
          <w:rFonts w:ascii="Times New Roman" w:hAnsi="Times New Roman"/>
          <w:bCs/>
          <w:sz w:val="24"/>
          <w:szCs w:val="24"/>
        </w:rPr>
      </w:pPr>
    </w:p>
    <w:p w14:paraId="61D37E99" w14:textId="77777777" w:rsidR="00767789" w:rsidRDefault="00767789" w:rsidP="00182DF5">
      <w:pPr>
        <w:tabs>
          <w:tab w:val="left" w:pos="567"/>
        </w:tabs>
        <w:ind w:right="-57"/>
        <w:jc w:val="both"/>
        <w:rPr>
          <w:rFonts w:ascii="Times New Roman" w:hAnsi="Times New Roman"/>
          <w:bCs/>
          <w:sz w:val="24"/>
          <w:szCs w:val="24"/>
        </w:rPr>
      </w:pPr>
    </w:p>
    <w:p w14:paraId="3FBF4B9C" w14:textId="77777777" w:rsidR="00767789" w:rsidRPr="00182DF5" w:rsidRDefault="00767789" w:rsidP="00182DF5">
      <w:pPr>
        <w:tabs>
          <w:tab w:val="left" w:pos="567"/>
        </w:tabs>
        <w:ind w:right="-57"/>
        <w:jc w:val="both"/>
        <w:rPr>
          <w:rFonts w:ascii="Times New Roman" w:hAnsi="Times New Roman"/>
          <w:bCs/>
          <w:sz w:val="24"/>
          <w:szCs w:val="24"/>
        </w:rPr>
      </w:pPr>
    </w:p>
    <w:p w14:paraId="418108E9" w14:textId="77777777" w:rsidR="003F6125" w:rsidRPr="00182DF5" w:rsidRDefault="003F6125" w:rsidP="00182DF5">
      <w:pPr>
        <w:tabs>
          <w:tab w:val="left" w:pos="567"/>
        </w:tabs>
        <w:ind w:right="-57"/>
        <w:jc w:val="both"/>
        <w:rPr>
          <w:rFonts w:ascii="Times New Roman" w:hAnsi="Times New Roman"/>
          <w:bCs/>
          <w:sz w:val="24"/>
          <w:szCs w:val="24"/>
        </w:rPr>
      </w:pPr>
    </w:p>
    <w:p w14:paraId="0E3FB794" w14:textId="77777777" w:rsidR="003F6125" w:rsidRDefault="003F6125" w:rsidP="00182DF5">
      <w:pPr>
        <w:tabs>
          <w:tab w:val="left" w:pos="567"/>
        </w:tabs>
        <w:ind w:right="-57"/>
        <w:jc w:val="both"/>
        <w:rPr>
          <w:rFonts w:ascii="Times New Roman" w:hAnsi="Times New Roman"/>
          <w:bCs/>
          <w:sz w:val="24"/>
          <w:szCs w:val="24"/>
        </w:rPr>
      </w:pPr>
      <w:r w:rsidRPr="00182DF5">
        <w:rPr>
          <w:rFonts w:ascii="Times New Roman" w:hAnsi="Times New Roman"/>
          <w:bCs/>
          <w:sz w:val="24"/>
          <w:szCs w:val="24"/>
        </w:rPr>
        <w:t xml:space="preserve">Tabela 2: Resultados dos compartimentos ambientais comparados aos níveis de notificação e LLD. </w:t>
      </w:r>
    </w:p>
    <w:p w14:paraId="11C4874E" w14:textId="77777777" w:rsidR="00767789" w:rsidRPr="00182DF5" w:rsidRDefault="00767789" w:rsidP="00182DF5">
      <w:pPr>
        <w:tabs>
          <w:tab w:val="left" w:pos="567"/>
        </w:tabs>
        <w:ind w:right="-57"/>
        <w:jc w:val="both"/>
        <w:rPr>
          <w:rFonts w:ascii="Times New Roman" w:hAnsi="Times New Roman"/>
          <w:bCs/>
          <w:sz w:val="24"/>
          <w:szCs w:val="24"/>
        </w:rPr>
      </w:pPr>
    </w:p>
    <w:p w14:paraId="3D724F94" w14:textId="77777777" w:rsidR="003F6125" w:rsidRPr="00182DF5" w:rsidRDefault="003F6125" w:rsidP="00182DF5">
      <w:pPr>
        <w:tabs>
          <w:tab w:val="left" w:pos="567"/>
        </w:tabs>
        <w:ind w:right="1871"/>
        <w:jc w:val="center"/>
        <w:rPr>
          <w:rFonts w:ascii="Times New Roman" w:hAnsi="Times New Roman"/>
          <w:b/>
          <w:sz w:val="24"/>
          <w:szCs w:val="24"/>
        </w:rPr>
      </w:pPr>
      <w:r w:rsidRPr="00182DF5">
        <w:rPr>
          <w:rFonts w:ascii="Times New Roman" w:hAnsi="Times New Roman"/>
          <w:b/>
          <w:noProof/>
          <w:sz w:val="24"/>
          <w:szCs w:val="24"/>
        </w:rPr>
        <w:drawing>
          <wp:inline distT="0" distB="0" distL="0" distR="0" wp14:anchorId="7E9B4777" wp14:editId="2611A29C">
            <wp:extent cx="5410200" cy="23717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2371725"/>
                    </a:xfrm>
                    <a:prstGeom prst="rect">
                      <a:avLst/>
                    </a:prstGeom>
                    <a:noFill/>
                    <a:ln>
                      <a:noFill/>
                    </a:ln>
                  </pic:spPr>
                </pic:pic>
              </a:graphicData>
            </a:graphic>
          </wp:inline>
        </w:drawing>
      </w:r>
    </w:p>
    <w:p w14:paraId="6563BE0D" w14:textId="77777777" w:rsidR="003F6125" w:rsidRPr="00182DF5" w:rsidRDefault="003F6125" w:rsidP="00182DF5">
      <w:pPr>
        <w:tabs>
          <w:tab w:val="left" w:pos="567"/>
        </w:tabs>
        <w:ind w:right="1871"/>
        <w:jc w:val="both"/>
        <w:rPr>
          <w:rFonts w:ascii="Times New Roman" w:hAnsi="Times New Roman"/>
          <w:bCs/>
          <w:sz w:val="24"/>
          <w:szCs w:val="24"/>
        </w:rPr>
      </w:pPr>
      <w:r w:rsidRPr="00182DF5">
        <w:rPr>
          <w:rFonts w:ascii="Times New Roman" w:hAnsi="Times New Roman"/>
          <w:bCs/>
          <w:sz w:val="24"/>
          <w:szCs w:val="24"/>
        </w:rPr>
        <w:t>*Não foram encontrados valores preconizados nas bibliografias consultadas.</w:t>
      </w:r>
    </w:p>
    <w:p w14:paraId="3E7ED808" w14:textId="77777777" w:rsidR="003F6125" w:rsidRPr="00182DF5" w:rsidRDefault="003F6125" w:rsidP="00182DF5">
      <w:pPr>
        <w:tabs>
          <w:tab w:val="left" w:pos="567"/>
        </w:tabs>
        <w:ind w:right="1871"/>
        <w:jc w:val="both"/>
        <w:rPr>
          <w:rFonts w:ascii="Times New Roman" w:hAnsi="Times New Roman"/>
          <w:bCs/>
          <w:sz w:val="24"/>
          <w:szCs w:val="24"/>
        </w:rPr>
      </w:pPr>
    </w:p>
    <w:p w14:paraId="2332868C"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É importante salientar que, para alguns radionuclídeos e compartimentos ambientais, não há valores de níveis de notificação (</w:t>
      </w:r>
      <w:r w:rsidRPr="00182DF5">
        <w:rPr>
          <w:rFonts w:ascii="Times New Roman" w:hAnsi="Times New Roman"/>
          <w:bCs/>
          <w:i/>
          <w:iCs/>
          <w:sz w:val="24"/>
          <w:szCs w:val="24"/>
        </w:rPr>
        <w:t>Report Level</w:t>
      </w:r>
      <w:r w:rsidRPr="00182DF5">
        <w:rPr>
          <w:rFonts w:ascii="Times New Roman" w:hAnsi="Times New Roman"/>
          <w:bCs/>
          <w:sz w:val="24"/>
          <w:szCs w:val="24"/>
        </w:rPr>
        <w:t>) e de</w:t>
      </w:r>
      <w:r w:rsidRPr="00182DF5">
        <w:rPr>
          <w:rFonts w:ascii="Times New Roman" w:hAnsi="Times New Roman"/>
          <w:sz w:val="24"/>
          <w:szCs w:val="24"/>
        </w:rPr>
        <w:t xml:space="preserve"> </w:t>
      </w:r>
      <w:r w:rsidRPr="00182DF5">
        <w:rPr>
          <w:rFonts w:ascii="Times New Roman" w:hAnsi="Times New Roman"/>
          <w:bCs/>
          <w:i/>
          <w:iCs/>
          <w:sz w:val="24"/>
          <w:szCs w:val="24"/>
        </w:rPr>
        <w:t>Low Level Detection</w:t>
      </w:r>
      <w:r w:rsidRPr="00182DF5">
        <w:rPr>
          <w:rFonts w:ascii="Times New Roman" w:hAnsi="Times New Roman"/>
          <w:bCs/>
          <w:sz w:val="24"/>
          <w:szCs w:val="24"/>
        </w:rPr>
        <w:t xml:space="preserve"> (LLD) nos documentos de referência utilizados, como para os invertebrados e sedimento.</w:t>
      </w:r>
    </w:p>
    <w:p w14:paraId="646061F4" w14:textId="77777777" w:rsidR="003F6125" w:rsidRPr="00182DF5" w:rsidRDefault="003F6125" w:rsidP="00767789">
      <w:pPr>
        <w:ind w:right="-57"/>
        <w:rPr>
          <w:rFonts w:ascii="Times New Roman" w:hAnsi="Times New Roman"/>
          <w:b/>
          <w:sz w:val="24"/>
          <w:szCs w:val="24"/>
        </w:rPr>
      </w:pPr>
    </w:p>
    <w:p w14:paraId="609AB737" w14:textId="77777777" w:rsidR="003F6125" w:rsidRPr="00182DF5" w:rsidRDefault="003F6125" w:rsidP="00767789">
      <w:pPr>
        <w:numPr>
          <w:ilvl w:val="0"/>
          <w:numId w:val="2"/>
        </w:numPr>
        <w:tabs>
          <w:tab w:val="left" w:pos="567"/>
        </w:tabs>
        <w:ind w:left="0" w:right="-57"/>
        <w:jc w:val="both"/>
        <w:rPr>
          <w:rFonts w:ascii="Times New Roman" w:hAnsi="Times New Roman"/>
          <w:b/>
          <w:sz w:val="24"/>
          <w:szCs w:val="24"/>
        </w:rPr>
      </w:pPr>
      <w:r w:rsidRPr="00182DF5">
        <w:rPr>
          <w:rFonts w:ascii="Times New Roman" w:hAnsi="Times New Roman"/>
          <w:b/>
          <w:sz w:val="24"/>
          <w:szCs w:val="24"/>
        </w:rPr>
        <w:t>CONCLUSÃO</w:t>
      </w:r>
    </w:p>
    <w:p w14:paraId="2A739033" w14:textId="77777777" w:rsidR="003F6125" w:rsidRPr="00182DF5" w:rsidRDefault="003F6125" w:rsidP="00767789">
      <w:pPr>
        <w:tabs>
          <w:tab w:val="left" w:pos="567"/>
        </w:tabs>
        <w:ind w:right="-57"/>
        <w:jc w:val="both"/>
        <w:rPr>
          <w:rFonts w:ascii="Times New Roman" w:hAnsi="Times New Roman"/>
          <w:b/>
          <w:sz w:val="24"/>
          <w:szCs w:val="24"/>
        </w:rPr>
      </w:pPr>
    </w:p>
    <w:p w14:paraId="2E6FB87D"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 xml:space="preserve">Os resultados dos cálculos de concentração dos radionuclídeos nas matrizes ambientais, considerando o cenário e as premissas propostas, indicam que não seriam esperadas detecções de quaisquer radionuclídeos nas amostras ambientais que requeressem ações específicas conforme previsto no MCRMA, pois os valores ficariam abaixo do </w:t>
      </w:r>
      <w:r w:rsidRPr="00182DF5">
        <w:rPr>
          <w:rFonts w:ascii="Times New Roman" w:hAnsi="Times New Roman"/>
          <w:bCs/>
          <w:i/>
          <w:iCs/>
          <w:sz w:val="24"/>
          <w:szCs w:val="24"/>
        </w:rPr>
        <w:t>Report Level</w:t>
      </w:r>
      <w:r w:rsidRPr="00182DF5">
        <w:rPr>
          <w:rFonts w:ascii="Times New Roman" w:hAnsi="Times New Roman"/>
          <w:bCs/>
          <w:sz w:val="24"/>
          <w:szCs w:val="24"/>
        </w:rPr>
        <w:t xml:space="preserve">. Portanto, os resultados inferiores aos valores de </w:t>
      </w:r>
      <w:r w:rsidRPr="00182DF5">
        <w:rPr>
          <w:rFonts w:ascii="Times New Roman" w:hAnsi="Times New Roman"/>
          <w:bCs/>
          <w:i/>
          <w:iCs/>
          <w:sz w:val="24"/>
          <w:szCs w:val="24"/>
        </w:rPr>
        <w:t>Report Level</w:t>
      </w:r>
      <w:r w:rsidRPr="00182DF5">
        <w:rPr>
          <w:rFonts w:ascii="Times New Roman" w:hAnsi="Times New Roman"/>
          <w:bCs/>
          <w:sz w:val="24"/>
          <w:szCs w:val="24"/>
        </w:rPr>
        <w:t xml:space="preserve"> descritos na Tabela 2 seriam informados dentro da sistemática normal do programa de monitoração radiológico ambiental.</w:t>
      </w:r>
    </w:p>
    <w:p w14:paraId="0F056396" w14:textId="77777777" w:rsidR="003F6125" w:rsidRPr="00182DF5" w:rsidRDefault="003F6125" w:rsidP="00767789">
      <w:pPr>
        <w:tabs>
          <w:tab w:val="left" w:pos="567"/>
        </w:tabs>
        <w:jc w:val="both"/>
        <w:rPr>
          <w:rFonts w:ascii="Times New Roman" w:hAnsi="Times New Roman"/>
          <w:bCs/>
          <w:sz w:val="24"/>
          <w:szCs w:val="24"/>
        </w:rPr>
      </w:pPr>
    </w:p>
    <w:p w14:paraId="5CCA329A"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 xml:space="preserve">Adicionalmente, cabe ressaltar que o Programa Complementar de Monitoração Ambiental Radiológico será implementado pela Eletronuclear imediatamente no caso da ocorrência de um evento desta magnitude de forma a se verificar a real presença e concentração de radionuclídeos acima dos limites estabelecidos nos documentos normativos e procedimentos.  </w:t>
      </w:r>
    </w:p>
    <w:p w14:paraId="5404383A" w14:textId="77777777" w:rsidR="003F6125" w:rsidRPr="00182DF5" w:rsidRDefault="003F6125" w:rsidP="00767789">
      <w:pPr>
        <w:tabs>
          <w:tab w:val="left" w:pos="567"/>
        </w:tabs>
        <w:ind w:right="-57"/>
        <w:jc w:val="both"/>
        <w:rPr>
          <w:rFonts w:ascii="Times New Roman" w:hAnsi="Times New Roman"/>
          <w:bCs/>
          <w:sz w:val="24"/>
          <w:szCs w:val="24"/>
        </w:rPr>
      </w:pPr>
    </w:p>
    <w:p w14:paraId="40EDF3B2" w14:textId="77777777" w:rsidR="003F6125" w:rsidRPr="00182DF5" w:rsidRDefault="003F6125" w:rsidP="00767789">
      <w:pPr>
        <w:numPr>
          <w:ilvl w:val="0"/>
          <w:numId w:val="2"/>
        </w:numPr>
        <w:tabs>
          <w:tab w:val="left" w:pos="567"/>
        </w:tabs>
        <w:spacing w:after="120"/>
        <w:ind w:left="0" w:right="-57"/>
        <w:jc w:val="both"/>
        <w:rPr>
          <w:rFonts w:ascii="Times New Roman" w:hAnsi="Times New Roman"/>
          <w:b/>
          <w:sz w:val="24"/>
          <w:szCs w:val="24"/>
        </w:rPr>
      </w:pPr>
      <w:r w:rsidRPr="00182DF5">
        <w:rPr>
          <w:rFonts w:ascii="Times New Roman" w:hAnsi="Times New Roman"/>
          <w:b/>
          <w:sz w:val="24"/>
          <w:szCs w:val="24"/>
        </w:rPr>
        <w:t>REFERÊNCIAS BIBLIOGRÁFICAS</w:t>
      </w:r>
    </w:p>
    <w:p w14:paraId="03AAB95A" w14:textId="77777777" w:rsidR="003F6125" w:rsidRPr="00182DF5" w:rsidRDefault="003F6125" w:rsidP="00767789">
      <w:pPr>
        <w:tabs>
          <w:tab w:val="left" w:pos="567"/>
        </w:tabs>
        <w:ind w:right="-57"/>
        <w:jc w:val="both"/>
        <w:rPr>
          <w:rFonts w:ascii="Times New Roman" w:hAnsi="Times New Roman"/>
          <w:b/>
          <w:sz w:val="24"/>
          <w:szCs w:val="24"/>
        </w:rPr>
      </w:pPr>
    </w:p>
    <w:p w14:paraId="47956253" w14:textId="77777777" w:rsidR="003F6125" w:rsidRPr="00182DF5" w:rsidRDefault="003F6125" w:rsidP="00767789">
      <w:pPr>
        <w:tabs>
          <w:tab w:val="left" w:pos="567"/>
        </w:tabs>
        <w:jc w:val="both"/>
        <w:rPr>
          <w:rFonts w:ascii="Times New Roman" w:hAnsi="Times New Roman"/>
          <w:sz w:val="24"/>
          <w:szCs w:val="24"/>
        </w:rPr>
      </w:pPr>
      <w:r w:rsidRPr="00182DF5">
        <w:rPr>
          <w:rFonts w:ascii="Times New Roman" w:hAnsi="Times New Roman"/>
          <w:sz w:val="24"/>
          <w:szCs w:val="24"/>
        </w:rPr>
        <w:t xml:space="preserve">ELETRONUCLEAR - </w:t>
      </w:r>
      <w:r w:rsidRPr="00182DF5">
        <w:rPr>
          <w:rFonts w:ascii="Times New Roman" w:hAnsi="Times New Roman"/>
          <w:bCs/>
          <w:sz w:val="24"/>
          <w:szCs w:val="24"/>
        </w:rPr>
        <w:t>Manual de Controle Radiológico do Meio Ambiente CNAAA</w:t>
      </w:r>
      <w:r w:rsidRPr="00182DF5">
        <w:rPr>
          <w:rFonts w:ascii="Times New Roman" w:hAnsi="Times New Roman"/>
          <w:sz w:val="24"/>
          <w:szCs w:val="24"/>
        </w:rPr>
        <w:t xml:space="preserve"> </w:t>
      </w:r>
      <w:r w:rsidRPr="00182DF5">
        <w:rPr>
          <w:rFonts w:ascii="Times New Roman" w:hAnsi="Times New Roman"/>
          <w:bCs/>
          <w:sz w:val="24"/>
          <w:szCs w:val="24"/>
        </w:rPr>
        <w:t>Unidade 1 - (</w:t>
      </w:r>
      <w:r w:rsidRPr="00182DF5">
        <w:rPr>
          <w:rFonts w:ascii="Times New Roman" w:hAnsi="Times New Roman"/>
          <w:sz w:val="24"/>
          <w:szCs w:val="24"/>
        </w:rPr>
        <w:t>MCRMA</w:t>
      </w:r>
      <w:r w:rsidRPr="00182DF5">
        <w:rPr>
          <w:rFonts w:ascii="Times New Roman" w:hAnsi="Times New Roman"/>
          <w:bCs/>
          <w:sz w:val="24"/>
          <w:szCs w:val="24"/>
        </w:rPr>
        <w:t>), Revisão 00, 2013.</w:t>
      </w:r>
    </w:p>
    <w:p w14:paraId="48E9DF92" w14:textId="77777777" w:rsidR="003F6125" w:rsidRPr="00182DF5" w:rsidRDefault="003F6125" w:rsidP="00767789">
      <w:pPr>
        <w:tabs>
          <w:tab w:val="left" w:pos="567"/>
        </w:tabs>
        <w:jc w:val="both"/>
        <w:rPr>
          <w:rFonts w:ascii="Times New Roman" w:hAnsi="Times New Roman"/>
          <w:b/>
          <w:sz w:val="24"/>
          <w:szCs w:val="24"/>
        </w:rPr>
      </w:pPr>
    </w:p>
    <w:p w14:paraId="4F32C093"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sz w:val="24"/>
          <w:szCs w:val="24"/>
        </w:rPr>
        <w:t xml:space="preserve">ELETRONUCLEAR - </w:t>
      </w:r>
      <w:r w:rsidRPr="00182DF5">
        <w:rPr>
          <w:rFonts w:ascii="Times New Roman" w:hAnsi="Times New Roman"/>
          <w:bCs/>
          <w:sz w:val="24"/>
          <w:szCs w:val="24"/>
        </w:rPr>
        <w:t>Programa Complementar de Monitoração Ambiental Radiológico - PA-AG-013, Revisão 7</w:t>
      </w:r>
      <w:r w:rsidRPr="00182DF5">
        <w:rPr>
          <w:rFonts w:ascii="Times New Roman" w:hAnsi="Times New Roman"/>
          <w:sz w:val="24"/>
          <w:szCs w:val="24"/>
        </w:rPr>
        <w:t xml:space="preserve">, </w:t>
      </w:r>
      <w:r w:rsidRPr="00182DF5">
        <w:rPr>
          <w:rFonts w:ascii="Times New Roman" w:hAnsi="Times New Roman"/>
          <w:bCs/>
          <w:sz w:val="24"/>
          <w:szCs w:val="24"/>
        </w:rPr>
        <w:t>2022.</w:t>
      </w:r>
    </w:p>
    <w:p w14:paraId="6912ADC1" w14:textId="77777777" w:rsidR="003F6125" w:rsidRPr="00182DF5" w:rsidRDefault="003F6125" w:rsidP="00767789">
      <w:pPr>
        <w:tabs>
          <w:tab w:val="left" w:pos="567"/>
        </w:tabs>
        <w:jc w:val="both"/>
        <w:rPr>
          <w:rFonts w:ascii="Times New Roman" w:hAnsi="Times New Roman"/>
          <w:bCs/>
          <w:sz w:val="24"/>
          <w:szCs w:val="24"/>
        </w:rPr>
      </w:pPr>
    </w:p>
    <w:p w14:paraId="0CA0A39A" w14:textId="77777777" w:rsidR="003F6125" w:rsidRPr="00182DF5" w:rsidRDefault="003F6125" w:rsidP="00767789">
      <w:pPr>
        <w:tabs>
          <w:tab w:val="left" w:pos="567"/>
        </w:tabs>
        <w:jc w:val="both"/>
        <w:rPr>
          <w:rFonts w:ascii="Times New Roman" w:hAnsi="Times New Roman"/>
          <w:sz w:val="24"/>
          <w:szCs w:val="24"/>
        </w:rPr>
      </w:pPr>
      <w:r w:rsidRPr="00182DF5">
        <w:rPr>
          <w:rFonts w:ascii="Times New Roman" w:hAnsi="Times New Roman"/>
          <w:sz w:val="24"/>
          <w:szCs w:val="24"/>
        </w:rPr>
        <w:t xml:space="preserve">ELETRONUCLEAR - </w:t>
      </w:r>
      <w:r w:rsidRPr="00182DF5">
        <w:rPr>
          <w:rFonts w:ascii="Times New Roman" w:hAnsi="Times New Roman"/>
          <w:bCs/>
          <w:sz w:val="24"/>
          <w:szCs w:val="24"/>
        </w:rPr>
        <w:t xml:space="preserve">Programa de Monitoração Ambiental Radiológico Operacional </w:t>
      </w:r>
      <w:r w:rsidRPr="00182DF5">
        <w:rPr>
          <w:rFonts w:ascii="Times New Roman" w:hAnsi="Times New Roman"/>
          <w:sz w:val="24"/>
          <w:szCs w:val="24"/>
        </w:rPr>
        <w:t>- PA-AG-010, Revisão 13, 2023</w:t>
      </w:r>
      <w:r w:rsidRPr="00182DF5">
        <w:rPr>
          <w:rFonts w:ascii="Times New Roman" w:hAnsi="Times New Roman"/>
          <w:bCs/>
          <w:sz w:val="24"/>
          <w:szCs w:val="24"/>
        </w:rPr>
        <w:t>.</w:t>
      </w:r>
    </w:p>
    <w:p w14:paraId="09B1004C" w14:textId="77777777" w:rsidR="003F6125" w:rsidRPr="00182DF5" w:rsidRDefault="003F6125" w:rsidP="00767789">
      <w:pPr>
        <w:tabs>
          <w:tab w:val="left" w:pos="567"/>
        </w:tabs>
        <w:jc w:val="both"/>
        <w:rPr>
          <w:rFonts w:ascii="Times New Roman" w:hAnsi="Times New Roman"/>
          <w:bCs/>
          <w:sz w:val="24"/>
          <w:szCs w:val="24"/>
        </w:rPr>
      </w:pPr>
    </w:p>
    <w:p w14:paraId="666523AC"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IAEA (INTERNATIONAL ATOMIC ENERGY AGENCY).</w:t>
      </w:r>
      <w:r w:rsidRPr="00182DF5">
        <w:rPr>
          <w:rFonts w:ascii="Times New Roman" w:hAnsi="Times New Roman"/>
          <w:sz w:val="24"/>
          <w:szCs w:val="24"/>
        </w:rPr>
        <w:t xml:space="preserve"> </w:t>
      </w:r>
      <w:r w:rsidRPr="00182DF5">
        <w:rPr>
          <w:rFonts w:ascii="Times New Roman" w:hAnsi="Times New Roman"/>
          <w:bCs/>
          <w:sz w:val="24"/>
          <w:szCs w:val="24"/>
        </w:rPr>
        <w:t xml:space="preserve">2001. Generic Models for Use in Assessing the Impact of Discharges of Radioactive Substances to the Environment, </w:t>
      </w:r>
      <w:r w:rsidRPr="00182DF5">
        <w:rPr>
          <w:rFonts w:ascii="Times New Roman" w:hAnsi="Times New Roman"/>
          <w:sz w:val="24"/>
          <w:szCs w:val="24"/>
        </w:rPr>
        <w:t>Safety Report Series Nº 19</w:t>
      </w:r>
      <w:r w:rsidRPr="00182DF5">
        <w:rPr>
          <w:rFonts w:ascii="Times New Roman" w:hAnsi="Times New Roman"/>
          <w:b/>
          <w:sz w:val="24"/>
          <w:szCs w:val="24"/>
        </w:rPr>
        <w:t xml:space="preserve"> </w:t>
      </w:r>
      <w:r w:rsidRPr="00182DF5">
        <w:rPr>
          <w:rFonts w:ascii="Times New Roman" w:hAnsi="Times New Roman"/>
          <w:bCs/>
          <w:sz w:val="24"/>
          <w:szCs w:val="24"/>
        </w:rPr>
        <w:t>Vienna.</w:t>
      </w:r>
    </w:p>
    <w:p w14:paraId="511662F0" w14:textId="77777777" w:rsidR="003F6125" w:rsidRPr="00182DF5" w:rsidRDefault="003F6125" w:rsidP="00767789">
      <w:pPr>
        <w:tabs>
          <w:tab w:val="left" w:pos="567"/>
        </w:tabs>
        <w:jc w:val="both"/>
        <w:rPr>
          <w:rFonts w:ascii="Times New Roman" w:hAnsi="Times New Roman"/>
          <w:bCs/>
          <w:sz w:val="24"/>
          <w:szCs w:val="24"/>
        </w:rPr>
      </w:pPr>
    </w:p>
    <w:p w14:paraId="62DE68C7"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PEREIRA, W.S; KELECOM, A. &amp; PY JÚNIOR, D.A. 2008. UTILIZAÇÃO DE PEIXES COMO BIOMONITOR PARA FINS DE RADIOPREOTEÇÃO AMBIENTAL EM ECOSSISTEMAS AQUÁTICOS CONTINENTAIS. UM MODELO CONCEITUAL. Oecologia Brasiliensis, Vol. 12 (3): 542-552, 2008.</w:t>
      </w:r>
    </w:p>
    <w:p w14:paraId="09668119" w14:textId="77777777" w:rsidR="003F6125" w:rsidRPr="00182DF5" w:rsidRDefault="003F6125" w:rsidP="00767789">
      <w:pPr>
        <w:tabs>
          <w:tab w:val="left" w:pos="567"/>
        </w:tabs>
        <w:jc w:val="both"/>
        <w:rPr>
          <w:rFonts w:ascii="Times New Roman" w:hAnsi="Times New Roman"/>
          <w:b/>
          <w:sz w:val="24"/>
          <w:szCs w:val="24"/>
        </w:rPr>
      </w:pPr>
    </w:p>
    <w:p w14:paraId="3C7357A7" w14:textId="77777777" w:rsidR="003F6125" w:rsidRPr="00182DF5" w:rsidRDefault="003F6125" w:rsidP="00767789">
      <w:pPr>
        <w:tabs>
          <w:tab w:val="left" w:pos="567"/>
        </w:tabs>
        <w:jc w:val="both"/>
        <w:rPr>
          <w:rFonts w:ascii="Times New Roman" w:hAnsi="Times New Roman"/>
          <w:bCs/>
          <w:sz w:val="24"/>
          <w:szCs w:val="24"/>
        </w:rPr>
      </w:pPr>
      <w:r w:rsidRPr="00182DF5">
        <w:rPr>
          <w:rFonts w:ascii="Times New Roman" w:hAnsi="Times New Roman"/>
          <w:bCs/>
          <w:sz w:val="24"/>
          <w:szCs w:val="24"/>
        </w:rPr>
        <w:t xml:space="preserve">U.S. NUCLEAR REGULATORY COMMISSION - </w:t>
      </w:r>
      <w:r w:rsidRPr="00182DF5">
        <w:rPr>
          <w:rFonts w:ascii="Times New Roman" w:hAnsi="Times New Roman"/>
          <w:sz w:val="24"/>
          <w:szCs w:val="24"/>
        </w:rPr>
        <w:t>NUREG - 1301,</w:t>
      </w:r>
      <w:r w:rsidRPr="00182DF5">
        <w:rPr>
          <w:rFonts w:ascii="Times New Roman" w:hAnsi="Times New Roman"/>
          <w:b/>
          <w:sz w:val="24"/>
          <w:szCs w:val="24"/>
        </w:rPr>
        <w:t xml:space="preserve"> </w:t>
      </w:r>
      <w:r w:rsidRPr="00182DF5">
        <w:rPr>
          <w:rFonts w:ascii="Times New Roman" w:hAnsi="Times New Roman"/>
          <w:bCs/>
          <w:sz w:val="24"/>
          <w:szCs w:val="24"/>
        </w:rPr>
        <w:t>1991. Offsite Dose Calculation Manual Guidance: Standard Radiological Effluent Control for Pressurized Water Reactors. Washington, DC.</w:t>
      </w:r>
    </w:p>
    <w:p w14:paraId="2FF664A8" w14:textId="77777777" w:rsidR="003F6125" w:rsidRPr="00182DF5" w:rsidRDefault="003F6125" w:rsidP="00767789">
      <w:pPr>
        <w:tabs>
          <w:tab w:val="left" w:pos="567"/>
        </w:tabs>
        <w:jc w:val="both"/>
        <w:rPr>
          <w:rFonts w:ascii="Times New Roman" w:hAnsi="Times New Roman"/>
          <w:b/>
          <w:sz w:val="24"/>
          <w:szCs w:val="24"/>
        </w:rPr>
      </w:pPr>
    </w:p>
    <w:p w14:paraId="1A804358" w14:textId="77777777" w:rsidR="003F6125" w:rsidRPr="00182DF5" w:rsidRDefault="003F6125" w:rsidP="00767789">
      <w:pPr>
        <w:tabs>
          <w:tab w:val="left" w:pos="567"/>
        </w:tabs>
        <w:jc w:val="both"/>
        <w:rPr>
          <w:rFonts w:ascii="Times New Roman" w:hAnsi="Times New Roman"/>
          <w:b/>
          <w:bCs/>
          <w:sz w:val="24"/>
          <w:szCs w:val="24"/>
        </w:rPr>
      </w:pPr>
      <w:r w:rsidRPr="00182DF5">
        <w:rPr>
          <w:rFonts w:ascii="Times New Roman" w:hAnsi="Times New Roman"/>
          <w:bCs/>
          <w:sz w:val="24"/>
          <w:szCs w:val="24"/>
        </w:rPr>
        <w:t>U.S. NUCLEAR REGULATORY COMMISSION - REGULATORY</w:t>
      </w:r>
      <w:r w:rsidRPr="00182DF5">
        <w:rPr>
          <w:rFonts w:ascii="Times New Roman" w:hAnsi="Times New Roman"/>
          <w:sz w:val="24"/>
          <w:szCs w:val="24"/>
        </w:rPr>
        <w:t xml:space="preserve"> GUIDE 4.8, 1975.</w:t>
      </w:r>
      <w:r w:rsidRPr="00182DF5">
        <w:rPr>
          <w:rFonts w:ascii="Times New Roman" w:hAnsi="Times New Roman"/>
          <w:b/>
          <w:bCs/>
          <w:sz w:val="24"/>
          <w:szCs w:val="24"/>
        </w:rPr>
        <w:t xml:space="preserve"> </w:t>
      </w:r>
      <w:r w:rsidRPr="00182DF5">
        <w:rPr>
          <w:rFonts w:ascii="Times New Roman" w:hAnsi="Times New Roman"/>
          <w:bCs/>
          <w:sz w:val="24"/>
          <w:szCs w:val="24"/>
        </w:rPr>
        <w:t>Environmental Technical Specifications for Nuclear Power Plants. Washington, DC.</w:t>
      </w:r>
    </w:p>
    <w:p w14:paraId="45A4574B" w14:textId="77777777" w:rsidR="003F6125" w:rsidRPr="00182DF5" w:rsidRDefault="003F6125" w:rsidP="00182DF5">
      <w:pPr>
        <w:tabs>
          <w:tab w:val="left" w:pos="567"/>
        </w:tabs>
        <w:spacing w:after="120"/>
        <w:ind w:right="1871"/>
        <w:jc w:val="both"/>
        <w:rPr>
          <w:rFonts w:ascii="Times New Roman" w:hAnsi="Times New Roman"/>
          <w:b/>
          <w:sz w:val="24"/>
          <w:szCs w:val="24"/>
        </w:rPr>
      </w:pPr>
    </w:p>
    <w:p w14:paraId="4CB5A74C" w14:textId="77777777" w:rsidR="003F6125" w:rsidRPr="00182DF5" w:rsidRDefault="003F6125" w:rsidP="00182DF5">
      <w:pPr>
        <w:tabs>
          <w:tab w:val="left" w:pos="567"/>
          <w:tab w:val="left" w:pos="8505"/>
        </w:tabs>
        <w:spacing w:after="120"/>
        <w:ind w:right="1871"/>
        <w:jc w:val="both"/>
        <w:rPr>
          <w:rFonts w:ascii="Times New Roman" w:hAnsi="Times New Roman"/>
          <w:sz w:val="24"/>
          <w:szCs w:val="24"/>
        </w:rPr>
      </w:pPr>
    </w:p>
    <w:p w14:paraId="6FDFDA49" w14:textId="77777777" w:rsidR="00877FA3" w:rsidRPr="00182DF5" w:rsidRDefault="00877FA3" w:rsidP="00182DF5">
      <w:pPr>
        <w:rPr>
          <w:rFonts w:ascii="Times New Roman" w:hAnsi="Times New Roman"/>
          <w:sz w:val="24"/>
          <w:szCs w:val="24"/>
        </w:rPr>
      </w:pPr>
    </w:p>
    <w:sectPr w:rsidR="00877FA3" w:rsidRPr="00182DF5">
      <w:footerReference w:type="even" r:id="rId10"/>
      <w:footerReference w:type="defaul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F94F" w14:textId="77777777" w:rsidR="00182DF5" w:rsidRDefault="00182DF5" w:rsidP="00182DF5">
      <w:r>
        <w:separator/>
      </w:r>
    </w:p>
  </w:endnote>
  <w:endnote w:type="continuationSeparator" w:id="0">
    <w:p w14:paraId="164AEA15" w14:textId="77777777" w:rsidR="00182DF5" w:rsidRDefault="00182DF5" w:rsidP="0018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35E0" w14:textId="5B179557" w:rsidR="00182DF5" w:rsidRDefault="00182DF5">
    <w:pPr>
      <w:pStyle w:val="Rodap"/>
    </w:pPr>
    <w:r>
      <w:rPr>
        <w:noProof/>
      </w:rPr>
      <mc:AlternateContent>
        <mc:Choice Requires="wps">
          <w:drawing>
            <wp:anchor distT="0" distB="0" distL="0" distR="0" simplePos="0" relativeHeight="251659264" behindDoc="0" locked="0" layoutInCell="1" allowOverlap="1" wp14:anchorId="32C90532" wp14:editId="130B9FC0">
              <wp:simplePos x="635" y="635"/>
              <wp:positionH relativeFrom="page">
                <wp:align>center</wp:align>
              </wp:positionH>
              <wp:positionV relativeFrom="page">
                <wp:align>bottom</wp:align>
              </wp:positionV>
              <wp:extent cx="4027805" cy="345440"/>
              <wp:effectExtent l="0" t="0" r="10795" b="0"/>
              <wp:wrapNone/>
              <wp:docPr id="359006841" name="Caixa de Texto 2" descr=" (  X  ) Público    (   ) Interno  (   ) Setorial  (  ) Confidencial  (  ) Dados Pessoai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27805" cy="345440"/>
                      </a:xfrm>
                      <a:prstGeom prst="rect">
                        <a:avLst/>
                      </a:prstGeom>
                      <a:noFill/>
                      <a:ln>
                        <a:noFill/>
                      </a:ln>
                    </wps:spPr>
                    <wps:txbx>
                      <w:txbxContent>
                        <w:p w14:paraId="028483DC" w14:textId="30C3379C" w:rsidR="00182DF5" w:rsidRPr="00182DF5" w:rsidRDefault="00182DF5" w:rsidP="00182DF5">
                          <w:pPr>
                            <w:rPr>
                              <w:rFonts w:ascii="Aptos" w:eastAsia="Aptos" w:hAnsi="Aptos" w:cs="Aptos"/>
                              <w:noProof/>
                              <w:color w:val="000000"/>
                              <w:sz w:val="20"/>
                            </w:rPr>
                          </w:pPr>
                          <w:r w:rsidRPr="00182DF5">
                            <w:rPr>
                              <w:rFonts w:ascii="Aptos" w:eastAsia="Aptos" w:hAnsi="Aptos" w:cs="Aptos"/>
                              <w:noProof/>
                              <w:color w:val="000000"/>
                              <w:sz w:val="20"/>
                            </w:rPr>
                            <w:t xml:space="preserve"> (  X  ) Público    (   ) Interno  (   ) Setorial  (  ) Confidencial  (  ) Dados Pessoais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C90532" id="_x0000_t202" coordsize="21600,21600" o:spt="202" path="m,l,21600r21600,l21600,xe">
              <v:stroke joinstyle="miter"/>
              <v:path gradientshapeok="t" o:connecttype="rect"/>
            </v:shapetype>
            <v:shape id="Caixa de Texto 2" o:spid="_x0000_s1026" type="#_x0000_t202" alt=" (  X  ) Público    (   ) Interno  (   ) Setorial  (  ) Confidencial  (  ) Dados Pessoais" style="position:absolute;margin-left:0;margin-top:0;width:317.1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" filled="f" stroked="f">
              <v:fill o:detectmouseclick="t"/>
              <v:textbox style="mso-fit-shape-to-text:t" inset="0,0,0,15pt">
                <w:txbxContent>
                  <w:p w14:paraId="028483DC" w14:textId="30C3379C" w:rsidR="00182DF5" w:rsidRPr="00182DF5" w:rsidRDefault="00182DF5" w:rsidP="00182DF5">
                    <w:pPr>
                      <w:rPr>
                        <w:rFonts w:ascii="Aptos" w:eastAsia="Aptos" w:hAnsi="Aptos" w:cs="Aptos"/>
                        <w:noProof/>
                        <w:color w:val="000000"/>
                        <w:sz w:val="20"/>
                      </w:rPr>
                    </w:pPr>
                    <w:r w:rsidRPr="00182DF5">
                      <w:rPr>
                        <w:rFonts w:ascii="Aptos" w:eastAsia="Aptos" w:hAnsi="Aptos" w:cs="Aptos"/>
                        <w:noProof/>
                        <w:color w:val="000000"/>
                        <w:sz w:val="20"/>
                      </w:rPr>
                      <w:t xml:space="preserve"> (  X  ) Público    (   ) Interno  (   ) Setorial  (  ) Confidencial  (  ) Dados Pessoais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5AEA" w14:textId="4D2D4152" w:rsidR="00182DF5" w:rsidRDefault="00182DF5">
    <w:pPr>
      <w:pStyle w:val="Rodap"/>
    </w:pPr>
    <w:r>
      <w:rPr>
        <w:noProof/>
      </w:rPr>
      <mc:AlternateContent>
        <mc:Choice Requires="wps">
          <w:drawing>
            <wp:anchor distT="0" distB="0" distL="0" distR="0" simplePos="0" relativeHeight="251660288" behindDoc="0" locked="0" layoutInCell="1" allowOverlap="1" wp14:anchorId="5C2FC280" wp14:editId="4AADD106">
              <wp:simplePos x="1076325" y="10086975"/>
              <wp:positionH relativeFrom="page">
                <wp:align>center</wp:align>
              </wp:positionH>
              <wp:positionV relativeFrom="page">
                <wp:align>bottom</wp:align>
              </wp:positionV>
              <wp:extent cx="4027805" cy="345440"/>
              <wp:effectExtent l="0" t="0" r="10795" b="0"/>
              <wp:wrapNone/>
              <wp:docPr id="683550369" name="Caixa de Texto 3" descr=" (  X  ) Público    (   ) Interno  (   ) Setorial  (  ) Confidencial  (  ) Dados Pessoai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27805" cy="345440"/>
                      </a:xfrm>
                      <a:prstGeom prst="rect">
                        <a:avLst/>
                      </a:prstGeom>
                      <a:noFill/>
                      <a:ln>
                        <a:noFill/>
                      </a:ln>
                    </wps:spPr>
                    <wps:txbx>
                      <w:txbxContent>
                        <w:p w14:paraId="14C09BD1" w14:textId="3C26615D" w:rsidR="00182DF5" w:rsidRPr="00182DF5" w:rsidRDefault="00182DF5" w:rsidP="00182DF5">
                          <w:pPr>
                            <w:rPr>
                              <w:rFonts w:ascii="Aptos" w:eastAsia="Aptos" w:hAnsi="Aptos" w:cs="Aptos"/>
                              <w:noProof/>
                              <w:color w:val="000000"/>
                              <w:sz w:val="20"/>
                            </w:rPr>
                          </w:pPr>
                          <w:r w:rsidRPr="00182DF5">
                            <w:rPr>
                              <w:rFonts w:ascii="Aptos" w:eastAsia="Aptos" w:hAnsi="Aptos" w:cs="Aptos"/>
                              <w:noProof/>
                              <w:color w:val="000000"/>
                              <w:sz w:val="20"/>
                            </w:rPr>
                            <w:t xml:space="preserve"> (  X  ) Público    (   ) Interno  (   ) Setorial  (  ) Confidencial  (  ) Dados Pessoais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2FC280" id="_x0000_t202" coordsize="21600,21600" o:spt="202" path="m,l,21600r21600,l21600,xe">
              <v:stroke joinstyle="miter"/>
              <v:path gradientshapeok="t" o:connecttype="rect"/>
            </v:shapetype>
            <v:shape id="Caixa de Texto 3" o:spid="_x0000_s1027" type="#_x0000_t202" alt=" (  X  ) Público    (   ) Interno  (   ) Setorial  (  ) Confidencial  (  ) Dados Pessoais" style="position:absolute;margin-left:0;margin-top:0;width:317.1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" filled="f" stroked="f">
              <v:fill o:detectmouseclick="t"/>
              <v:textbox style="mso-fit-shape-to-text:t" inset="0,0,0,15pt">
                <w:txbxContent>
                  <w:p w14:paraId="14C09BD1" w14:textId="3C26615D" w:rsidR="00182DF5" w:rsidRPr="00182DF5" w:rsidRDefault="00182DF5" w:rsidP="00182DF5">
                    <w:pPr>
                      <w:rPr>
                        <w:rFonts w:ascii="Aptos" w:eastAsia="Aptos" w:hAnsi="Aptos" w:cs="Aptos"/>
                        <w:noProof/>
                        <w:color w:val="000000"/>
                        <w:sz w:val="20"/>
                      </w:rPr>
                    </w:pPr>
                    <w:r w:rsidRPr="00182DF5">
                      <w:rPr>
                        <w:rFonts w:ascii="Aptos" w:eastAsia="Aptos" w:hAnsi="Aptos" w:cs="Aptos"/>
                        <w:noProof/>
                        <w:color w:val="000000"/>
                        <w:sz w:val="20"/>
                      </w:rPr>
                      <w:t xml:space="preserve"> (  X  ) Público    (   ) Interno  (   ) Setorial  (  ) Confidencial  (  ) Dados Pessoais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C5A1" w14:textId="0EF4C310" w:rsidR="00182DF5" w:rsidRDefault="00182DF5">
    <w:pPr>
      <w:pStyle w:val="Rodap"/>
    </w:pPr>
    <w:r>
      <w:rPr>
        <w:noProof/>
      </w:rPr>
      <mc:AlternateContent>
        <mc:Choice Requires="wps">
          <w:drawing>
            <wp:anchor distT="0" distB="0" distL="0" distR="0" simplePos="0" relativeHeight="251658240" behindDoc="0" locked="0" layoutInCell="1" allowOverlap="1" wp14:anchorId="5EEBF109" wp14:editId="5DBCE173">
              <wp:simplePos x="635" y="635"/>
              <wp:positionH relativeFrom="page">
                <wp:align>center</wp:align>
              </wp:positionH>
              <wp:positionV relativeFrom="page">
                <wp:align>bottom</wp:align>
              </wp:positionV>
              <wp:extent cx="4027805" cy="345440"/>
              <wp:effectExtent l="0" t="0" r="10795" b="0"/>
              <wp:wrapNone/>
              <wp:docPr id="1610322898" name="Caixa de Texto 1" descr=" (  X  ) Público    (   ) Interno  (   ) Setorial  (  ) Confidencial  (  ) Dados Pessoai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27805" cy="345440"/>
                      </a:xfrm>
                      <a:prstGeom prst="rect">
                        <a:avLst/>
                      </a:prstGeom>
                      <a:noFill/>
                      <a:ln>
                        <a:noFill/>
                      </a:ln>
                    </wps:spPr>
                    <wps:txbx>
                      <w:txbxContent>
                        <w:p w14:paraId="2A7BDF13" w14:textId="6D29AACD" w:rsidR="00182DF5" w:rsidRPr="00182DF5" w:rsidRDefault="00182DF5" w:rsidP="00182DF5">
                          <w:pPr>
                            <w:rPr>
                              <w:rFonts w:ascii="Aptos" w:eastAsia="Aptos" w:hAnsi="Aptos" w:cs="Aptos"/>
                              <w:noProof/>
                              <w:color w:val="000000"/>
                              <w:sz w:val="20"/>
                            </w:rPr>
                          </w:pPr>
                          <w:r w:rsidRPr="00182DF5">
                            <w:rPr>
                              <w:rFonts w:ascii="Aptos" w:eastAsia="Aptos" w:hAnsi="Aptos" w:cs="Aptos"/>
                              <w:noProof/>
                              <w:color w:val="000000"/>
                              <w:sz w:val="20"/>
                            </w:rPr>
                            <w:t xml:space="preserve"> (  X  ) Público    (   ) Interno  (   ) Setorial  (  ) Confidencial  (  ) Dados Pessoais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EBF109" id="_x0000_t202" coordsize="21600,21600" o:spt="202" path="m,l,21600r21600,l21600,xe">
              <v:stroke joinstyle="miter"/>
              <v:path gradientshapeok="t" o:connecttype="rect"/>
            </v:shapetype>
            <v:shape id="Caixa de Texto 1" o:spid="_x0000_s1028" type="#_x0000_t202" alt=" (  X  ) Público    (   ) Interno  (   ) Setorial  (  ) Confidencial  (  ) Dados Pessoais" style="position:absolute;margin-left:0;margin-top:0;width:317.1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" filled="f" stroked="f">
              <v:fill o:detectmouseclick="t"/>
              <v:textbox style="mso-fit-shape-to-text:t" inset="0,0,0,15pt">
                <w:txbxContent>
                  <w:p w14:paraId="2A7BDF13" w14:textId="6D29AACD" w:rsidR="00182DF5" w:rsidRPr="00182DF5" w:rsidRDefault="00182DF5" w:rsidP="00182DF5">
                    <w:pPr>
                      <w:rPr>
                        <w:rFonts w:ascii="Aptos" w:eastAsia="Aptos" w:hAnsi="Aptos" w:cs="Aptos"/>
                        <w:noProof/>
                        <w:color w:val="000000"/>
                        <w:sz w:val="20"/>
                      </w:rPr>
                    </w:pPr>
                    <w:r w:rsidRPr="00182DF5">
                      <w:rPr>
                        <w:rFonts w:ascii="Aptos" w:eastAsia="Aptos" w:hAnsi="Aptos" w:cs="Aptos"/>
                        <w:noProof/>
                        <w:color w:val="000000"/>
                        <w:sz w:val="20"/>
                      </w:rPr>
                      <w:t xml:space="preserve"> (  X  ) Público    (   ) Interno  (   ) Setorial  (  ) Confidencial  (  ) Dados Pessoais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FCB1D" w14:textId="77777777" w:rsidR="00182DF5" w:rsidRDefault="00182DF5" w:rsidP="00182DF5">
      <w:r>
        <w:separator/>
      </w:r>
    </w:p>
  </w:footnote>
  <w:footnote w:type="continuationSeparator" w:id="0">
    <w:p w14:paraId="70ECE2F7" w14:textId="77777777" w:rsidR="00182DF5" w:rsidRDefault="00182DF5" w:rsidP="00182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384E"/>
    <w:multiLevelType w:val="hybridMultilevel"/>
    <w:tmpl w:val="9BCEC14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31331C10"/>
    <w:multiLevelType w:val="hybridMultilevel"/>
    <w:tmpl w:val="6BA4CE38"/>
    <w:lvl w:ilvl="0" w:tplc="0416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54F04922"/>
    <w:multiLevelType w:val="hybridMultilevel"/>
    <w:tmpl w:val="F9328BFA"/>
    <w:lvl w:ilvl="0" w:tplc="481CDF74">
      <w:start w:val="1"/>
      <w:numFmt w:val="decimal"/>
      <w:lvlText w:val="%1."/>
      <w:lvlJc w:val="left"/>
      <w:pPr>
        <w:ind w:left="927" w:hanging="360"/>
      </w:pPr>
    </w:lvl>
    <w:lvl w:ilvl="1" w:tplc="04160019">
      <w:start w:val="1"/>
      <w:numFmt w:val="lowerLetter"/>
      <w:lvlText w:val="%2."/>
      <w:lvlJc w:val="left"/>
      <w:pPr>
        <w:ind w:left="1647" w:hanging="360"/>
      </w:pPr>
    </w:lvl>
    <w:lvl w:ilvl="2" w:tplc="0416001B">
      <w:start w:val="1"/>
      <w:numFmt w:val="lowerRoman"/>
      <w:lvlText w:val="%3."/>
      <w:lvlJc w:val="right"/>
      <w:pPr>
        <w:ind w:left="2367" w:hanging="180"/>
      </w:pPr>
    </w:lvl>
    <w:lvl w:ilvl="3" w:tplc="0416000F">
      <w:start w:val="1"/>
      <w:numFmt w:val="decimal"/>
      <w:lvlText w:val="%4."/>
      <w:lvlJc w:val="left"/>
      <w:pPr>
        <w:ind w:left="3087" w:hanging="360"/>
      </w:pPr>
    </w:lvl>
    <w:lvl w:ilvl="4" w:tplc="04160019">
      <w:start w:val="1"/>
      <w:numFmt w:val="lowerLetter"/>
      <w:lvlText w:val="%5."/>
      <w:lvlJc w:val="left"/>
      <w:pPr>
        <w:ind w:left="3807" w:hanging="360"/>
      </w:pPr>
    </w:lvl>
    <w:lvl w:ilvl="5" w:tplc="0416001B">
      <w:start w:val="1"/>
      <w:numFmt w:val="lowerRoman"/>
      <w:lvlText w:val="%6."/>
      <w:lvlJc w:val="right"/>
      <w:pPr>
        <w:ind w:left="4527" w:hanging="180"/>
      </w:pPr>
    </w:lvl>
    <w:lvl w:ilvl="6" w:tplc="0416000F">
      <w:start w:val="1"/>
      <w:numFmt w:val="decimal"/>
      <w:lvlText w:val="%7."/>
      <w:lvlJc w:val="left"/>
      <w:pPr>
        <w:ind w:left="5247" w:hanging="360"/>
      </w:pPr>
    </w:lvl>
    <w:lvl w:ilvl="7" w:tplc="04160019">
      <w:start w:val="1"/>
      <w:numFmt w:val="lowerLetter"/>
      <w:lvlText w:val="%8."/>
      <w:lvlJc w:val="left"/>
      <w:pPr>
        <w:ind w:left="5967" w:hanging="360"/>
      </w:pPr>
    </w:lvl>
    <w:lvl w:ilvl="8" w:tplc="0416001B">
      <w:start w:val="1"/>
      <w:numFmt w:val="lowerRoman"/>
      <w:lvlText w:val="%9."/>
      <w:lvlJc w:val="right"/>
      <w:pPr>
        <w:ind w:left="6687" w:hanging="180"/>
      </w:pPr>
    </w:lvl>
  </w:abstractNum>
  <w:num w:numId="1" w16cid:durableId="15214344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1596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6579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125"/>
    <w:rsid w:val="00107549"/>
    <w:rsid w:val="00182DF5"/>
    <w:rsid w:val="002F17E8"/>
    <w:rsid w:val="00372E23"/>
    <w:rsid w:val="003F6125"/>
    <w:rsid w:val="00767789"/>
    <w:rsid w:val="00877F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5805"/>
  <w15:chartTrackingRefBased/>
  <w15:docId w15:val="{D5EAFEEA-5A64-4B16-A2B4-3B626BDE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125"/>
    <w:pPr>
      <w:spacing w:after="0" w:line="240" w:lineRule="auto"/>
    </w:pPr>
    <w:rPr>
      <w:rFonts w:ascii="Arial" w:eastAsia="Times New Roman" w:hAnsi="Arial" w:cs="Times New Roman"/>
      <w:szCs w:val="20"/>
      <w:lang w:eastAsia="pt-BR"/>
    </w:rPr>
  </w:style>
  <w:style w:type="paragraph" w:styleId="Ttulo1">
    <w:name w:val="heading 1"/>
    <w:basedOn w:val="Normal"/>
    <w:next w:val="Normal"/>
    <w:link w:val="Ttulo1Char"/>
    <w:uiPriority w:val="9"/>
    <w:qFormat/>
    <w:rsid w:val="003F612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F6125"/>
    <w:pPr>
      <w:ind w:left="720"/>
    </w:pPr>
    <w:rPr>
      <w:rFonts w:cs="Arial"/>
      <w:szCs w:val="22"/>
    </w:rPr>
  </w:style>
  <w:style w:type="paragraph" w:customStyle="1" w:styleId="texto">
    <w:name w:val="texto"/>
    <w:basedOn w:val="Normal"/>
    <w:rsid w:val="003F6125"/>
    <w:pPr>
      <w:ind w:right="1871"/>
      <w:jc w:val="both"/>
    </w:pPr>
  </w:style>
  <w:style w:type="character" w:customStyle="1" w:styleId="Ttulo1Char">
    <w:name w:val="Título 1 Char"/>
    <w:basedOn w:val="Fontepargpadro"/>
    <w:link w:val="Ttulo1"/>
    <w:uiPriority w:val="9"/>
    <w:rsid w:val="003F6125"/>
    <w:rPr>
      <w:rFonts w:asciiTheme="majorHAnsi" w:eastAsiaTheme="majorEastAsia" w:hAnsiTheme="majorHAnsi" w:cstheme="majorBidi"/>
      <w:color w:val="2E74B5" w:themeColor="accent1" w:themeShade="BF"/>
      <w:sz w:val="32"/>
      <w:szCs w:val="32"/>
      <w:lang w:eastAsia="pt-BR"/>
    </w:rPr>
  </w:style>
  <w:style w:type="paragraph" w:styleId="Rodap">
    <w:name w:val="footer"/>
    <w:basedOn w:val="Normal"/>
    <w:link w:val="RodapChar"/>
    <w:uiPriority w:val="99"/>
    <w:unhideWhenUsed/>
    <w:rsid w:val="00182DF5"/>
    <w:pPr>
      <w:tabs>
        <w:tab w:val="center" w:pos="4252"/>
        <w:tab w:val="right" w:pos="8504"/>
      </w:tabs>
    </w:pPr>
  </w:style>
  <w:style w:type="character" w:customStyle="1" w:styleId="RodapChar">
    <w:name w:val="Rodapé Char"/>
    <w:basedOn w:val="Fontepargpadro"/>
    <w:link w:val="Rodap"/>
    <w:uiPriority w:val="99"/>
    <w:rsid w:val="00182DF5"/>
    <w:rPr>
      <w:rFonts w:ascii="Arial" w:eastAsia="Times New Roman" w:hAnsi="Arial" w:cs="Times New Roman"/>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3000">
      <w:bodyDiv w:val="1"/>
      <w:marLeft w:val="0"/>
      <w:marRight w:val="0"/>
      <w:marTop w:val="0"/>
      <w:marBottom w:val="0"/>
      <w:divBdr>
        <w:top w:val="none" w:sz="0" w:space="0" w:color="auto"/>
        <w:left w:val="none" w:sz="0" w:space="0" w:color="auto"/>
        <w:bottom w:val="none" w:sz="0" w:space="0" w:color="auto"/>
        <w:right w:val="none" w:sz="0" w:space="0" w:color="auto"/>
      </w:divBdr>
    </w:div>
    <w:div w:id="27217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BEC2F-0834-4344-8D59-9714857539A6}">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fb63ac9e-2213-4377-9205-4dbf73e49b6e}" enabled="1" method="Privileged" siteId="{0ad73864-486f-4f58-a5da-a44c51bf5c9b}"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1707</Words>
  <Characters>9224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Menezes Souza</dc:creator>
  <cp:keywords/>
  <dc:description/>
  <cp:lastModifiedBy>CARLOS EDUARDO DE MENDONÇA</cp:lastModifiedBy>
  <cp:revision>2</cp:revision>
  <dcterms:created xsi:type="dcterms:W3CDTF">2026-05-04T12:14:00Z</dcterms:created>
  <dcterms:modified xsi:type="dcterms:W3CDTF">2026-05-04T12:14:00Z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5ffb93d2,15660279,28be26a1</vt:lpwstr>
  </property>
  <property fmtid="{D5CDD505-2E9C-101B-9397-08002B2CF9AE}" pid="3" name="ClassificationContentMarkingFooterFontProps">
    <vt:lpwstr>#000000,10,Aptos</vt:lpwstr>
  </property>
  <property fmtid="{D5CDD505-2E9C-101B-9397-08002B2CF9AE}" pid="4" name="ClassificationContentMarkingFooterText">
    <vt:lpwstr> (  X  ) Público    (   ) Interno  (   ) Setorial  (  ) Confidencial  (  ) Dados Pessoais</vt:lpwstr>
  </property>
</Properties>
</file>