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ind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Observaciones sobre el Programa de Gestión de Proyectos - Fecha 10/04/2023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Información </w:t>
      </w:r>
    </w:p>
    <w:p w:rsidR="00000000" w:rsidDel="00000000" w:rsidP="00000000" w:rsidRDefault="00000000" w:rsidRPr="00000000" w14:paraId="00000006">
      <w:pPr>
        <w:spacing w:line="240" w:lineRule="auto"/>
        <w:ind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5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horas semanales y totales atienden a lo requerido. No obstante, la distinción entre horas teóricas y prácticas se reserva para unidades curriculares para las que esta distinción aparece en el plan de estudios.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0"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6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52" name="image3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5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5857875" cy="171450"/>
              <wp:effectExtent b="0" l="0" r="0" t="0"/>
              <wp:wrapNone/>
              <wp:docPr id="105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5857875" cy="171450"/>
              <wp:effectExtent b="0" l="0" r="0" t="0"/>
              <wp:wrapNone/>
              <wp:docPr id="105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71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dAp0PYuSYnsv0Wfpd9o0S6ImNw==">AMUW2mX4GT4kxkc8hAcrBl2wqGF7fPstrpIIymmtn9WSzhMWZwdSh3Xgap1v3mDjcRzNGqRKrJjXvBjedbaCClptf5ciNmmzN4+/qFnnJXc0n6IXpcWXEHfqMnkdS9PT/8SlCRdxoNWj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