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AD4C" w14:textId="77777777" w:rsidR="00132528" w:rsidRDefault="00132528">
      <w:pPr>
        <w:widowControl w:val="0"/>
        <w:pBdr>
          <w:top w:val="nil"/>
          <w:left w:val="nil"/>
          <w:bottom w:val="nil"/>
          <w:right w:val="nil"/>
          <w:between w:val="nil"/>
        </w:pBdr>
        <w:spacing w:after="0"/>
        <w:rPr>
          <w:rFonts w:ascii="Arial" w:eastAsia="Arial" w:hAnsi="Arial" w:cs="Arial"/>
          <w:color w:val="000000"/>
        </w:rPr>
      </w:pPr>
    </w:p>
    <w:tbl>
      <w:tblPr>
        <w:tblStyle w:val="af7"/>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132528" w14:paraId="042369C6"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AA4176B" w14:textId="77777777" w:rsidR="00132528" w:rsidRDefault="000E71CE">
            <w:pPr>
              <w:spacing w:line="360" w:lineRule="auto"/>
              <w:ind w:left="843" w:hanging="843"/>
              <w:jc w:val="center"/>
              <w:rPr>
                <w:sz w:val="28"/>
                <w:szCs w:val="28"/>
              </w:rPr>
            </w:pPr>
            <w:r>
              <w:rPr>
                <w:b/>
                <w:sz w:val="28"/>
                <w:szCs w:val="28"/>
              </w:rPr>
              <w:t>PROGRAMA UNIDAD CURRICULAR</w:t>
            </w:r>
          </w:p>
        </w:tc>
      </w:tr>
      <w:tr w:rsidR="0067564D" w14:paraId="0D68E78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5D9D74D2" w14:textId="77777777" w:rsidR="0067564D" w:rsidRDefault="0067564D" w:rsidP="0067564D">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9A44145" w14:textId="426D8882" w:rsidR="0067564D" w:rsidRDefault="0067564D" w:rsidP="0067564D">
            <w:pPr>
              <w:rPr>
                <w:b/>
              </w:rPr>
            </w:pPr>
            <w:r>
              <w:rPr>
                <w:rFonts w:eastAsia="Times New Roman"/>
                <w:bCs/>
                <w:color w:val="000000"/>
              </w:rPr>
              <w:t>DEPARTAMENTO DE ECONOMÍA, PRODUCCIÓN E INNOVACIÓN TECNOLÓGICA</w:t>
            </w:r>
          </w:p>
        </w:tc>
      </w:tr>
      <w:tr w:rsidR="0067564D" w14:paraId="7841A67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C8722BA" w14:textId="77777777" w:rsidR="0067564D" w:rsidRDefault="0067564D" w:rsidP="0067564D">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374BF6A3" w14:textId="3D0E06CB" w:rsidR="0067564D" w:rsidRDefault="0067564D" w:rsidP="0067564D">
            <w:pPr>
              <w:rPr>
                <w:b/>
              </w:rPr>
            </w:pPr>
            <w:r>
              <w:rPr>
                <w:rFonts w:eastAsia="Times New Roman"/>
                <w:bCs/>
                <w:color w:val="000000"/>
              </w:rPr>
              <w:t>LICENCIATURA EN GESTIÓN DE TECNOLOGÍAS DE LA INFORMACIÓN</w:t>
            </w:r>
          </w:p>
        </w:tc>
      </w:tr>
      <w:tr w:rsidR="0067564D" w14:paraId="07BF5265"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99C794E" w14:textId="77777777" w:rsidR="0067564D" w:rsidRDefault="0067564D" w:rsidP="0067564D">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E27614D" w14:textId="77777777" w:rsidR="0067564D" w:rsidRDefault="0067564D" w:rsidP="0067564D">
            <w:pPr>
              <w:spacing w:after="0" w:line="240" w:lineRule="auto"/>
            </w:pPr>
          </w:p>
          <w:p w14:paraId="27CCB2B9" w14:textId="77777777" w:rsidR="0067564D" w:rsidRDefault="0067564D" w:rsidP="0067564D">
            <w:pPr>
              <w:spacing w:after="0" w:line="240" w:lineRule="auto"/>
            </w:pPr>
            <w:r w:rsidRPr="00542D62">
              <w:t>Resolución (CS) 220/2019</w:t>
            </w:r>
          </w:p>
          <w:p w14:paraId="1C4B1708" w14:textId="77777777" w:rsidR="0067564D" w:rsidRDefault="0067564D" w:rsidP="0067564D">
            <w:pPr>
              <w:spacing w:after="0" w:line="240" w:lineRule="auto"/>
            </w:pPr>
          </w:p>
        </w:tc>
      </w:tr>
      <w:tr w:rsidR="00132528" w14:paraId="18D22201"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51C8A0EA" w14:textId="77777777" w:rsidR="00132528" w:rsidRDefault="000E71CE">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132528" w14:paraId="73B41DFD"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F308B" w14:textId="77777777" w:rsidR="00132528" w:rsidRDefault="000E71CE">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54A61677" w14:textId="77777777" w:rsidR="00132528" w:rsidRDefault="000E71CE">
            <w:r>
              <w:t>INGLÉS II</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02B8C87F" w14:textId="77777777" w:rsidR="00132528" w:rsidRDefault="000E71CE">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5F06DE2" w14:textId="77777777" w:rsidR="00132528" w:rsidRDefault="000E71CE">
            <w:r>
              <w:t>6013</w:t>
            </w:r>
          </w:p>
        </w:tc>
      </w:tr>
      <w:tr w:rsidR="00132528" w14:paraId="70060539"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5FEF6E28" w14:textId="77777777" w:rsidR="00132528" w:rsidRDefault="000E71CE">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7F61DDCD" w14:textId="77777777" w:rsidR="00132528" w:rsidRDefault="000E71CE">
            <w:r>
              <w:t>PRESENCIAL / VIRTUAL (50-50)</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6887098A" w14:textId="77777777" w:rsidR="00132528" w:rsidRDefault="000E71CE">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1F85EDF1" w14:textId="77777777" w:rsidR="00132528" w:rsidRDefault="000E71CE">
            <w:r>
              <w:t>CUATRIMESTRAL</w:t>
            </w:r>
          </w:p>
        </w:tc>
      </w:tr>
      <w:tr w:rsidR="00132528" w14:paraId="6EC1F0B9"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32035145" w14:textId="77777777" w:rsidR="00132528" w:rsidRDefault="00132528">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44519DC1" w14:textId="77777777" w:rsidR="00132528" w:rsidRDefault="00132528">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0A1DDF37" w14:textId="77777777" w:rsidR="00132528" w:rsidRDefault="00132528">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3708FC40" w14:textId="77777777" w:rsidR="00132528" w:rsidRDefault="00132528">
            <w:pPr>
              <w:widowControl w:val="0"/>
              <w:pBdr>
                <w:top w:val="nil"/>
                <w:left w:val="nil"/>
                <w:bottom w:val="nil"/>
                <w:right w:val="nil"/>
                <w:between w:val="nil"/>
              </w:pBdr>
              <w:spacing w:after="0"/>
            </w:pPr>
          </w:p>
        </w:tc>
      </w:tr>
      <w:tr w:rsidR="00132528" w14:paraId="1883C97C"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13CE25E" w14:textId="77777777" w:rsidR="00132528" w:rsidRDefault="000E71CE">
            <w:pPr>
              <w:rPr>
                <w:b/>
              </w:rPr>
            </w:pPr>
            <w:r>
              <w:rPr>
                <w:b/>
              </w:rPr>
              <w:t>Equipo responsable</w:t>
            </w:r>
          </w:p>
          <w:p w14:paraId="37C4FF0C" w14:textId="77777777" w:rsidR="00132528" w:rsidRDefault="00132528">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B795377" w14:textId="77777777" w:rsidR="00132528" w:rsidRDefault="000E71CE">
            <w:pPr>
              <w:spacing w:after="0" w:line="240" w:lineRule="auto"/>
              <w:rPr>
                <w:b/>
              </w:rPr>
            </w:pPr>
            <w:r>
              <w:rPr>
                <w:b/>
              </w:rPr>
              <w:t>MARINA SURACE</w:t>
            </w:r>
            <w:r w:rsidR="00C64DEE">
              <w:rPr>
                <w:b/>
              </w:rPr>
              <w:t xml:space="preserve"> – VANESA GLOCK</w:t>
            </w:r>
          </w:p>
        </w:tc>
      </w:tr>
      <w:tr w:rsidR="00132528" w14:paraId="6EBFD7E2"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12D557F1" w14:textId="77777777" w:rsidR="00132528" w:rsidRDefault="000E71CE">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9B6D61" w14:textId="77777777" w:rsidR="00132528" w:rsidRDefault="006830C1">
            <w:pPr>
              <w:rPr>
                <w:b/>
              </w:rPr>
            </w:pPr>
            <w:r>
              <w:rPr>
                <w:b/>
              </w:rPr>
              <w:t xml:space="preserve">2023 </w:t>
            </w:r>
            <w:proofErr w:type="gramStart"/>
            <w:r>
              <w:rPr>
                <w:b/>
              </w:rPr>
              <w:t>Mayo</w:t>
            </w:r>
            <w:proofErr w:type="gramEnd"/>
          </w:p>
        </w:tc>
      </w:tr>
      <w:tr w:rsidR="00132528" w14:paraId="6FBE7376"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50C9FB67" w14:textId="77777777" w:rsidR="00132528" w:rsidRDefault="000E71CE">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132528" w14:paraId="0B2C1265"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786055EC" w14:textId="77777777" w:rsidR="00132528" w:rsidRDefault="000E71CE">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22CD39D8" w14:textId="77777777" w:rsidR="00132528" w:rsidRDefault="000E71CE">
            <w:pPr>
              <w:ind w:left="660" w:hanging="660"/>
            </w:pPr>
            <w:r>
              <w:t>     4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3630D7BB" w14:textId="77777777" w:rsidR="00132528" w:rsidRDefault="00132528">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0AD0E69F" w14:textId="77777777" w:rsidR="00132528" w:rsidRDefault="00132528">
            <w:pPr>
              <w:ind w:left="660" w:hanging="660"/>
            </w:pPr>
          </w:p>
        </w:tc>
      </w:tr>
      <w:tr w:rsidR="00132528" w14:paraId="420C7C08"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4CA5BBF" w14:textId="77777777" w:rsidR="00132528" w:rsidRDefault="000E71CE">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522E8AEC" w14:textId="77777777" w:rsidR="00132528" w:rsidRDefault="000E71CE" w:rsidP="0067564D">
            <w:pPr>
              <w:ind w:left="660" w:hanging="660"/>
              <w:jc w:val="center"/>
            </w:pPr>
            <w:r>
              <w:t>64</w:t>
            </w:r>
          </w:p>
        </w:tc>
        <w:tc>
          <w:tcPr>
            <w:tcW w:w="2930" w:type="dxa"/>
            <w:gridSpan w:val="4"/>
            <w:tcBorders>
              <w:top w:val="single" w:sz="12" w:space="0" w:color="000000"/>
              <w:left w:val="single" w:sz="12" w:space="0" w:color="000000"/>
              <w:bottom w:val="single" w:sz="12" w:space="0" w:color="000000"/>
              <w:right w:val="single" w:sz="12" w:space="0" w:color="000000"/>
            </w:tcBorders>
          </w:tcPr>
          <w:p w14:paraId="5E946616" w14:textId="77777777" w:rsidR="00132528" w:rsidRDefault="000E71CE">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7E1D3879" w14:textId="27253C0F" w:rsidR="00132528" w:rsidRDefault="00132528">
            <w:pPr>
              <w:ind w:left="660" w:hanging="660"/>
            </w:pPr>
          </w:p>
        </w:tc>
      </w:tr>
      <w:tr w:rsidR="00132528" w14:paraId="0C068568"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73FF2555" w14:textId="77777777" w:rsidR="00132528" w:rsidRDefault="00132528">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1E481356" w14:textId="77777777" w:rsidR="00132528" w:rsidRDefault="00132528">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4E1A7B9F" w14:textId="77777777" w:rsidR="00132528" w:rsidRDefault="000E71CE">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69055122" w14:textId="254059B4" w:rsidR="00132528" w:rsidRDefault="00132528">
            <w:pPr>
              <w:ind w:left="660" w:hanging="660"/>
            </w:pPr>
          </w:p>
        </w:tc>
      </w:tr>
      <w:tr w:rsidR="00132528" w14:paraId="7B77C58A"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7138AA84" w14:textId="77777777" w:rsidR="00132528" w:rsidRDefault="00132528">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25F26B96" w14:textId="77777777" w:rsidR="00132528" w:rsidRDefault="00132528">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016270B" w14:textId="7475F0EA" w:rsidR="00132528" w:rsidRDefault="000E71CE">
            <w:pPr>
              <w:ind w:left="660" w:hanging="660"/>
            </w:pPr>
            <w:r>
              <w:t xml:space="preserve">Otras horas totales (laboratorio, trabajo de campo, </w:t>
            </w:r>
            <w:r w:rsidR="0067564D">
              <w:t>etc.</w:t>
            </w:r>
            <w:r>
              <w:t>)</w:t>
            </w:r>
          </w:p>
        </w:tc>
        <w:tc>
          <w:tcPr>
            <w:tcW w:w="1890" w:type="dxa"/>
            <w:tcBorders>
              <w:top w:val="single" w:sz="12" w:space="0" w:color="000000"/>
              <w:left w:val="single" w:sz="12" w:space="0" w:color="000000"/>
              <w:bottom w:val="single" w:sz="12" w:space="0" w:color="000000"/>
              <w:right w:val="single" w:sz="12" w:space="0" w:color="000000"/>
            </w:tcBorders>
          </w:tcPr>
          <w:p w14:paraId="4CE4AAC2" w14:textId="30BE0C35" w:rsidR="00132528" w:rsidRDefault="00132528">
            <w:pPr>
              <w:ind w:left="660" w:hanging="660"/>
            </w:pPr>
          </w:p>
        </w:tc>
      </w:tr>
    </w:tbl>
    <w:p w14:paraId="3CE24302" w14:textId="77777777" w:rsidR="00132528" w:rsidRDefault="00132528">
      <w:bookmarkStart w:id="0" w:name="_heading=h.gjdgxs" w:colFirst="0" w:colLast="0"/>
      <w:bookmarkEnd w:id="0"/>
    </w:p>
    <w:p w14:paraId="4F317194" w14:textId="77777777" w:rsidR="006830C1" w:rsidRDefault="006830C1"/>
    <w:p w14:paraId="36DF0A0A" w14:textId="77777777" w:rsidR="006830C1" w:rsidRDefault="006830C1"/>
    <w:tbl>
      <w:tblPr>
        <w:tblStyle w:val="af8"/>
        <w:tblW w:w="9214" w:type="dxa"/>
        <w:tblInd w:w="-291" w:type="dxa"/>
        <w:tblLayout w:type="fixed"/>
        <w:tblLook w:val="0000" w:firstRow="0" w:lastRow="0" w:firstColumn="0" w:lastColumn="0" w:noHBand="0" w:noVBand="0"/>
      </w:tblPr>
      <w:tblGrid>
        <w:gridCol w:w="8100"/>
        <w:gridCol w:w="1114"/>
      </w:tblGrid>
      <w:tr w:rsidR="00132528" w14:paraId="470ED6FD"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25910238" w14:textId="77777777" w:rsidR="00132528" w:rsidRDefault="000E71CE">
            <w:pPr>
              <w:widowControl w:val="0"/>
              <w:numPr>
                <w:ilvl w:val="0"/>
                <w:numId w:val="1"/>
              </w:numPr>
              <w:pBdr>
                <w:top w:val="nil"/>
                <w:left w:val="nil"/>
                <w:bottom w:val="nil"/>
                <w:right w:val="nil"/>
                <w:between w:val="nil"/>
              </w:pBdr>
              <w:spacing w:before="200" w:line="240" w:lineRule="auto"/>
              <w:ind w:left="426"/>
              <w:rPr>
                <w:color w:val="000000"/>
              </w:rPr>
            </w:pPr>
            <w:r>
              <w:rPr>
                <w:b/>
                <w:color w:val="000000"/>
              </w:rPr>
              <w:lastRenderedPageBreak/>
              <w:t>Unidades correlativas</w:t>
            </w:r>
            <w:r>
              <w:rPr>
                <w:color w:val="000000"/>
              </w:rPr>
              <w:t xml:space="preserve"> precedentes en el Plan de Estudios</w:t>
            </w:r>
          </w:p>
        </w:tc>
      </w:tr>
      <w:tr w:rsidR="00132528" w14:paraId="790B02B0"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1F5A8E0A" w14:textId="77777777" w:rsidR="00132528" w:rsidRDefault="000E71CE">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7007DF36" w14:textId="77777777" w:rsidR="00132528" w:rsidRDefault="000E71CE">
            <w:pPr>
              <w:ind w:left="660" w:hanging="660"/>
              <w:jc w:val="center"/>
            </w:pPr>
            <w:r>
              <w:t>Código</w:t>
            </w:r>
          </w:p>
        </w:tc>
      </w:tr>
      <w:tr w:rsidR="00132528" w14:paraId="1BBB3A2D" w14:textId="77777777">
        <w:trPr>
          <w:trHeight w:val="300"/>
        </w:trPr>
        <w:tc>
          <w:tcPr>
            <w:tcW w:w="8100" w:type="dxa"/>
            <w:tcBorders>
              <w:top w:val="nil"/>
              <w:left w:val="single" w:sz="12" w:space="0" w:color="000000"/>
              <w:bottom w:val="single" w:sz="4" w:space="0" w:color="000000"/>
              <w:right w:val="single" w:sz="4" w:space="0" w:color="000000"/>
            </w:tcBorders>
          </w:tcPr>
          <w:p w14:paraId="367325AE" w14:textId="77777777" w:rsidR="00132528" w:rsidRDefault="000E71CE">
            <w:pPr>
              <w:ind w:hanging="2"/>
            </w:pPr>
            <w:r>
              <w:t>INGLÉS I</w:t>
            </w:r>
          </w:p>
        </w:tc>
        <w:tc>
          <w:tcPr>
            <w:tcW w:w="1114" w:type="dxa"/>
            <w:tcBorders>
              <w:top w:val="nil"/>
              <w:left w:val="nil"/>
              <w:bottom w:val="single" w:sz="4" w:space="0" w:color="000000"/>
              <w:right w:val="single" w:sz="12" w:space="0" w:color="000000"/>
            </w:tcBorders>
          </w:tcPr>
          <w:p w14:paraId="7A7954E8" w14:textId="77777777" w:rsidR="00132528" w:rsidRDefault="000E71CE">
            <w:pPr>
              <w:ind w:hanging="2"/>
            </w:pPr>
            <w:r>
              <w:t>6010</w:t>
            </w:r>
          </w:p>
        </w:tc>
      </w:tr>
      <w:tr w:rsidR="00132528" w14:paraId="49BAAF71"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78B3876B" w14:textId="77777777" w:rsidR="00132528" w:rsidRDefault="000E71CE">
            <w:pPr>
              <w:ind w:left="660" w:hanging="660"/>
            </w:pPr>
            <w:r>
              <w:t>     </w:t>
            </w:r>
          </w:p>
        </w:tc>
        <w:tc>
          <w:tcPr>
            <w:tcW w:w="1114" w:type="dxa"/>
            <w:tcBorders>
              <w:top w:val="single" w:sz="4" w:space="0" w:color="000000"/>
              <w:left w:val="nil"/>
              <w:bottom w:val="single" w:sz="4" w:space="0" w:color="000000"/>
              <w:right w:val="single" w:sz="12" w:space="0" w:color="000000"/>
            </w:tcBorders>
          </w:tcPr>
          <w:p w14:paraId="1A5F011F" w14:textId="77777777" w:rsidR="00132528" w:rsidRDefault="00132528">
            <w:pPr>
              <w:ind w:left="660" w:hanging="660"/>
              <w:rPr>
                <w:highlight w:val="lightGray"/>
              </w:rPr>
            </w:pPr>
          </w:p>
        </w:tc>
      </w:tr>
    </w:tbl>
    <w:p w14:paraId="19E97033" w14:textId="77777777" w:rsidR="00132528" w:rsidRDefault="00132528">
      <w:pPr>
        <w:pBdr>
          <w:top w:val="nil"/>
          <w:left w:val="nil"/>
          <w:bottom w:val="nil"/>
          <w:right w:val="nil"/>
          <w:between w:val="nil"/>
        </w:pBdr>
        <w:rPr>
          <w:highlight w:val="lightGray"/>
        </w:rPr>
      </w:pPr>
    </w:p>
    <w:tbl>
      <w:tblPr>
        <w:tblStyle w:val="af9"/>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132528" w14:paraId="368B1F43"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2B820874" w14:textId="77777777" w:rsidR="00132528" w:rsidRDefault="000E71CE">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132528" w14:paraId="371A4ABB" w14:textId="77777777">
        <w:tc>
          <w:tcPr>
            <w:tcW w:w="9299" w:type="dxa"/>
            <w:tcBorders>
              <w:top w:val="single" w:sz="12" w:space="0" w:color="000000"/>
              <w:left w:val="single" w:sz="12" w:space="0" w:color="000000"/>
              <w:bottom w:val="single" w:sz="12" w:space="0" w:color="000000"/>
              <w:right w:val="single" w:sz="12" w:space="0" w:color="000000"/>
            </w:tcBorders>
          </w:tcPr>
          <w:p w14:paraId="123B0E02" w14:textId="77777777" w:rsidR="00132528" w:rsidRPr="00040713" w:rsidRDefault="000E71CE">
            <w:pPr>
              <w:widowControl w:val="0"/>
              <w:spacing w:before="100" w:after="0" w:line="240" w:lineRule="auto"/>
              <w:ind w:left="-3" w:hanging="33"/>
              <w:jc w:val="both"/>
            </w:pPr>
            <w:r w:rsidRPr="00040713">
              <w:t xml:space="preserve">Lectura comprensiva y análisis de textos vinculados a la informática y tecnologías de la información. Análisis de estructuras gramaticales. Repaso de las clases de palabras y los tiempos verbales. Voz pasiva. Bloques nominales. Pretérito imperfecto. Condicionales. </w:t>
            </w:r>
          </w:p>
          <w:p w14:paraId="7E950CD5" w14:textId="77777777" w:rsidR="00132528" w:rsidRDefault="000E71CE">
            <w:pPr>
              <w:widowControl w:val="0"/>
              <w:spacing w:before="100" w:after="0" w:line="240" w:lineRule="auto"/>
              <w:ind w:left="-3" w:hanging="33"/>
              <w:jc w:val="both"/>
            </w:pPr>
            <w:r w:rsidRPr="00040713">
              <w:t>Determinación de la idea principal de un texto. Distinción entre la información primaria y la información secundaria. Lectura selectiva. Elaboración de resúmenes. Expresión en español de las ideas de un texto. Inferencia de información a partir del análisis de la estructura del texto. Formas de expresión utilizadas en la lengua española y la lengua inglesa. Comprensión e interpretación de información explícita. Referencia. Uso de diccionarios generales y específicos. Vocabulario técnico. Abreviaturas comunes y abreviaturas específicas utilizadas en sistemas.</w:t>
            </w:r>
          </w:p>
        </w:tc>
      </w:tr>
    </w:tbl>
    <w:p w14:paraId="06B1AB73" w14:textId="77777777" w:rsidR="00132528" w:rsidRDefault="00132528">
      <w:pPr>
        <w:pBdr>
          <w:top w:val="nil"/>
          <w:left w:val="nil"/>
          <w:bottom w:val="nil"/>
          <w:right w:val="nil"/>
          <w:between w:val="nil"/>
        </w:pBdr>
      </w:pPr>
    </w:p>
    <w:tbl>
      <w:tblPr>
        <w:tblStyle w:val="afa"/>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132528" w14:paraId="66379BEA"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690B0123" w14:textId="77777777" w:rsidR="00132528" w:rsidRDefault="000E71CE">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132528" w14:paraId="10EF7764" w14:textId="77777777">
        <w:tc>
          <w:tcPr>
            <w:tcW w:w="9284" w:type="dxa"/>
            <w:tcBorders>
              <w:top w:val="single" w:sz="12" w:space="0" w:color="000000"/>
              <w:left w:val="single" w:sz="12" w:space="0" w:color="000000"/>
              <w:bottom w:val="single" w:sz="12" w:space="0" w:color="000000"/>
              <w:right w:val="single" w:sz="12" w:space="0" w:color="000000"/>
            </w:tcBorders>
          </w:tcPr>
          <w:p w14:paraId="7E65580A" w14:textId="77777777" w:rsidR="00132528" w:rsidRDefault="000E71CE" w:rsidP="00040713">
            <w:pPr>
              <w:spacing w:before="120" w:after="120" w:line="240" w:lineRule="auto"/>
              <w:jc w:val="both"/>
            </w:pPr>
            <w:r>
              <w:t>El crecimiento y la difusión de la lengua inglesa como herramienta fundamental en el marco de las tecnologías de la información hace que el aprendizaje de este idioma sea primordial para el futuro licenciado. El mundo actual, globalizado y conectado, supone un dominio del idioma inglés con énfasis en la comprensión y la comunicación fluida. La materia se dictará poniendo un acento especial en el desarrollo de la lecto-comprensión y el vocabulario específico. Por otra parte, se atenderá a mejorar y profundizar los conocimientos de otros aspectos de la lengua, como estructuras gramaticales y vocabulario relacionado con las telecomunicaciones. Las unidades propuestas ofrecerán modelos para el enfoque hacia la lecto-comprensión, proporcionando al mismo tiempo la oportunidad de agudizar el espíritu crítico y la competencia de los alumnos en el idioma. En términos generales, se apuntará a formar un futuro graduado que sea competente, autónomo y reflexivo, capaz de aplicar estrategias adecuadas y hacer uso de los recursos disponibles en su entorno para valerse por sí mismo en la lengua extranjera.</w:t>
            </w:r>
          </w:p>
        </w:tc>
      </w:tr>
    </w:tbl>
    <w:p w14:paraId="4DC3DF44" w14:textId="77777777" w:rsidR="00132528" w:rsidRDefault="00132528">
      <w:pPr>
        <w:pBdr>
          <w:top w:val="nil"/>
          <w:left w:val="nil"/>
          <w:bottom w:val="nil"/>
          <w:right w:val="nil"/>
          <w:between w:val="nil"/>
        </w:pBdr>
        <w:ind w:left="-284"/>
      </w:pPr>
    </w:p>
    <w:p w14:paraId="6E59066C" w14:textId="77777777" w:rsidR="006830C1" w:rsidRDefault="006830C1">
      <w:pPr>
        <w:pBdr>
          <w:top w:val="nil"/>
          <w:left w:val="nil"/>
          <w:bottom w:val="nil"/>
          <w:right w:val="nil"/>
          <w:between w:val="nil"/>
        </w:pBdr>
        <w:ind w:left="-284"/>
      </w:pPr>
    </w:p>
    <w:p w14:paraId="68584B74" w14:textId="77777777" w:rsidR="006830C1" w:rsidRDefault="006830C1">
      <w:pPr>
        <w:pBdr>
          <w:top w:val="nil"/>
          <w:left w:val="nil"/>
          <w:bottom w:val="nil"/>
          <w:right w:val="nil"/>
          <w:between w:val="nil"/>
        </w:pBdr>
        <w:ind w:left="-284"/>
      </w:pPr>
    </w:p>
    <w:p w14:paraId="1E53827A" w14:textId="77777777" w:rsidR="006830C1" w:rsidRDefault="006830C1" w:rsidP="009C2295">
      <w:pPr>
        <w:pBdr>
          <w:top w:val="nil"/>
          <w:left w:val="nil"/>
          <w:bottom w:val="nil"/>
          <w:right w:val="nil"/>
          <w:between w:val="nil"/>
        </w:pBdr>
      </w:pPr>
    </w:p>
    <w:tbl>
      <w:tblPr>
        <w:tblStyle w:val="afb"/>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132528" w14:paraId="02F1C805" w14:textId="77777777">
        <w:tc>
          <w:tcPr>
            <w:tcW w:w="9293" w:type="dxa"/>
            <w:tcBorders>
              <w:left w:val="single" w:sz="12" w:space="0" w:color="000000"/>
              <w:bottom w:val="single" w:sz="12" w:space="0" w:color="000000"/>
              <w:right w:val="single" w:sz="12" w:space="0" w:color="000000"/>
            </w:tcBorders>
            <w:shd w:val="clear" w:color="auto" w:fill="EBF1DD"/>
          </w:tcPr>
          <w:p w14:paraId="04C133ED" w14:textId="77777777" w:rsidR="00132528" w:rsidRDefault="000E71CE">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 xml:space="preserve">Objetivos </w:t>
            </w:r>
          </w:p>
        </w:tc>
      </w:tr>
      <w:tr w:rsidR="00132528" w14:paraId="7DA64033" w14:textId="77777777">
        <w:tc>
          <w:tcPr>
            <w:tcW w:w="9293" w:type="dxa"/>
            <w:tcBorders>
              <w:top w:val="single" w:sz="12" w:space="0" w:color="000000"/>
              <w:left w:val="single" w:sz="12" w:space="0" w:color="000000"/>
              <w:bottom w:val="single" w:sz="12" w:space="0" w:color="000000"/>
              <w:right w:val="single" w:sz="12" w:space="0" w:color="000000"/>
            </w:tcBorders>
          </w:tcPr>
          <w:p w14:paraId="10930EC8" w14:textId="77777777" w:rsidR="00132528" w:rsidRDefault="000E71CE">
            <w:pPr>
              <w:spacing w:before="120" w:after="120" w:line="240" w:lineRule="auto"/>
            </w:pPr>
            <w:r>
              <w:t>El objetivo de esta unidad curricular es que el/la alumno/a pueda adquirir los conocimientos básicos de la lengua inglesa con el objetivo de:</w:t>
            </w:r>
          </w:p>
          <w:p w14:paraId="74AAD384" w14:textId="77777777" w:rsidR="00132528" w:rsidRDefault="000E71CE">
            <w:pPr>
              <w:spacing w:before="120" w:after="120" w:line="240" w:lineRule="auto"/>
            </w:pPr>
            <w:r>
              <w:t xml:space="preserve"> - Desarrollar la habilidad de lectura comprensiva de textos pertenecientes a diversos géneros de las tecnologías para poder comprenderlos e interpretarlos.</w:t>
            </w:r>
          </w:p>
          <w:p w14:paraId="58815D06" w14:textId="77777777" w:rsidR="00132528" w:rsidRDefault="000E71CE">
            <w:pPr>
              <w:spacing w:before="120" w:after="120" w:line="240" w:lineRule="auto"/>
            </w:pPr>
            <w:r>
              <w:t xml:space="preserve"> - Ampliar la práctica de la expresión escrita y poder comunicarse a través de este medio </w:t>
            </w:r>
          </w:p>
          <w:p w14:paraId="75DA8292" w14:textId="77777777" w:rsidR="00132528" w:rsidRDefault="000E71CE">
            <w:pPr>
              <w:spacing w:before="120" w:after="120" w:line="240" w:lineRule="auto"/>
            </w:pPr>
            <w:r>
              <w:t>- Desarrollar la habilidad de comprender, negociar y construir mensajes en contextos específicos y con propósitos profesionales específicos.</w:t>
            </w:r>
          </w:p>
          <w:p w14:paraId="5AD0219C" w14:textId="77777777" w:rsidR="00132528" w:rsidRDefault="000E71CE">
            <w:pPr>
              <w:spacing w:before="120" w:after="120" w:line="240" w:lineRule="auto"/>
            </w:pPr>
            <w:r>
              <w:t xml:space="preserve"> - Adquirir vocabulario específico perteneciente a la carrera en curso.</w:t>
            </w:r>
          </w:p>
        </w:tc>
      </w:tr>
    </w:tbl>
    <w:p w14:paraId="6DF9DF42" w14:textId="77777777" w:rsidR="00132528" w:rsidRDefault="00132528">
      <w:pPr>
        <w:pBdr>
          <w:top w:val="nil"/>
          <w:left w:val="nil"/>
          <w:bottom w:val="nil"/>
          <w:right w:val="nil"/>
          <w:between w:val="nil"/>
        </w:pBdr>
        <w:ind w:left="-284"/>
      </w:pPr>
    </w:p>
    <w:tbl>
      <w:tblPr>
        <w:tblStyle w:val="afc"/>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132528" w14:paraId="095DC080" w14:textId="77777777">
        <w:tc>
          <w:tcPr>
            <w:tcW w:w="9270" w:type="dxa"/>
            <w:tcBorders>
              <w:left w:val="single" w:sz="12" w:space="0" w:color="000000"/>
              <w:bottom w:val="single" w:sz="12" w:space="0" w:color="000000"/>
              <w:right w:val="single" w:sz="12" w:space="0" w:color="000000"/>
            </w:tcBorders>
            <w:shd w:val="clear" w:color="auto" w:fill="EBF1DD"/>
          </w:tcPr>
          <w:p w14:paraId="25F6D533" w14:textId="77777777" w:rsidR="00132528" w:rsidRDefault="000E71CE">
            <w:pPr>
              <w:widowControl w:val="0"/>
              <w:numPr>
                <w:ilvl w:val="0"/>
                <w:numId w:val="1"/>
              </w:numPr>
              <w:pBdr>
                <w:top w:val="nil"/>
                <w:left w:val="nil"/>
                <w:bottom w:val="nil"/>
                <w:right w:val="nil"/>
                <w:between w:val="nil"/>
              </w:pBdr>
              <w:spacing w:before="200" w:line="240" w:lineRule="auto"/>
              <w:ind w:left="392" w:right="108"/>
              <w:rPr>
                <w:color w:val="000000"/>
              </w:rPr>
            </w:pPr>
            <w:proofErr w:type="gramStart"/>
            <w:r>
              <w:rPr>
                <w:b/>
                <w:color w:val="000000"/>
              </w:rPr>
              <w:t xml:space="preserve">Contenidos  </w:t>
            </w:r>
            <w:r>
              <w:rPr>
                <w:color w:val="000000"/>
              </w:rPr>
              <w:t>(</w:t>
            </w:r>
            <w:proofErr w:type="gramEnd"/>
            <w:r>
              <w:rPr>
                <w:color w:val="000000"/>
              </w:rPr>
              <w:t>organizados por unidades)</w:t>
            </w:r>
          </w:p>
        </w:tc>
      </w:tr>
      <w:tr w:rsidR="00132528" w14:paraId="7D45A94F" w14:textId="77777777">
        <w:tc>
          <w:tcPr>
            <w:tcW w:w="9270" w:type="dxa"/>
            <w:tcBorders>
              <w:top w:val="single" w:sz="12" w:space="0" w:color="000000"/>
              <w:left w:val="single" w:sz="12" w:space="0" w:color="000000"/>
              <w:bottom w:val="single" w:sz="12" w:space="0" w:color="000000"/>
              <w:right w:val="single" w:sz="12" w:space="0" w:color="000000"/>
            </w:tcBorders>
          </w:tcPr>
          <w:p w14:paraId="6CAEA01A" w14:textId="77777777" w:rsidR="00132528" w:rsidRDefault="000E71CE">
            <w:pPr>
              <w:spacing w:before="120" w:after="120" w:line="240" w:lineRule="auto"/>
              <w:jc w:val="both"/>
            </w:pPr>
            <w:r>
              <w:t xml:space="preserve">Eje de lecto-comprensión y análisis de texto: Lectura comprensiva y análisis de textos vinculados a las tecnologías de la información. Determinación de la idea principal de un texto. Expresión en español de las ideas de un texto. Inferencia de información a partir del análisis de la estructura del texto. Paratexto. Distinción entre la información primaria y la información secundaria. Lectura selectiva. Elaboración de resúmenes a partir de la idea principal de los párrafos. Comprensión e interpretación de información explícita e implícita. Uso de diccionarios generales y glosarios específicos. Oraciones tópico. Referencia. Marcadores discursivos. </w:t>
            </w:r>
          </w:p>
          <w:p w14:paraId="0240E8BB" w14:textId="77777777" w:rsidR="00132528" w:rsidRDefault="00132528">
            <w:pPr>
              <w:spacing w:before="120" w:after="120" w:line="240" w:lineRule="auto"/>
              <w:jc w:val="both"/>
            </w:pPr>
          </w:p>
          <w:p w14:paraId="0F2CF4F9" w14:textId="77777777" w:rsidR="00132528" w:rsidRDefault="000E71CE">
            <w:pPr>
              <w:spacing w:before="120" w:after="120" w:line="240" w:lineRule="auto"/>
              <w:jc w:val="both"/>
            </w:pPr>
            <w:r>
              <w:t>El articulo explicativo/informativo</w:t>
            </w:r>
          </w:p>
          <w:p w14:paraId="4ABEC049" w14:textId="77777777" w:rsidR="00132528" w:rsidRDefault="000E71CE">
            <w:pPr>
              <w:spacing w:before="120" w:after="120" w:line="240" w:lineRule="auto"/>
              <w:jc w:val="both"/>
            </w:pPr>
            <w:r>
              <w:t>Definiciones</w:t>
            </w:r>
          </w:p>
          <w:p w14:paraId="12E39A79" w14:textId="77777777" w:rsidR="00132528" w:rsidRDefault="000E71CE">
            <w:pPr>
              <w:spacing w:before="120" w:after="120" w:line="240" w:lineRule="auto"/>
              <w:jc w:val="both"/>
            </w:pPr>
            <w:r>
              <w:t xml:space="preserve">El </w:t>
            </w:r>
            <w:proofErr w:type="spellStart"/>
            <w:proofErr w:type="gramStart"/>
            <w:r>
              <w:t>abstract</w:t>
            </w:r>
            <w:proofErr w:type="spellEnd"/>
            <w:proofErr w:type="gramEnd"/>
          </w:p>
          <w:p w14:paraId="40A9C14A" w14:textId="77777777" w:rsidR="00132528" w:rsidRDefault="000E71CE">
            <w:pPr>
              <w:spacing w:before="120" w:after="120" w:line="240" w:lineRule="auto"/>
              <w:jc w:val="both"/>
            </w:pPr>
            <w:r>
              <w:t>El texto académico</w:t>
            </w:r>
          </w:p>
          <w:p w14:paraId="4B69099A" w14:textId="77777777" w:rsidR="00132528" w:rsidRDefault="000E71CE">
            <w:pPr>
              <w:spacing w:before="120" w:after="120" w:line="240" w:lineRule="auto"/>
              <w:jc w:val="both"/>
            </w:pPr>
            <w:r>
              <w:t>La página web</w:t>
            </w:r>
          </w:p>
          <w:p w14:paraId="17A22AFF" w14:textId="77777777" w:rsidR="00132528" w:rsidRDefault="000E71CE">
            <w:pPr>
              <w:spacing w:before="120" w:after="120" w:line="240" w:lineRule="auto"/>
              <w:jc w:val="both"/>
            </w:pPr>
            <w:r>
              <w:t>El texto de informática</w:t>
            </w:r>
          </w:p>
          <w:p w14:paraId="43582824" w14:textId="77777777" w:rsidR="00132528" w:rsidRDefault="000E71CE">
            <w:pPr>
              <w:spacing w:before="120" w:after="120" w:line="240" w:lineRule="auto"/>
              <w:jc w:val="both"/>
            </w:pPr>
            <w:r>
              <w:t>El manual de instrucciones</w:t>
            </w:r>
          </w:p>
          <w:p w14:paraId="2808CD10" w14:textId="77777777" w:rsidR="00132528" w:rsidRDefault="000E71CE">
            <w:pPr>
              <w:spacing w:before="120" w:after="120" w:line="240" w:lineRule="auto"/>
              <w:jc w:val="both"/>
            </w:pPr>
            <w:r>
              <w:t>“pop-ups”</w:t>
            </w:r>
          </w:p>
          <w:p w14:paraId="74AFAC6F" w14:textId="77777777" w:rsidR="00132528" w:rsidRDefault="00132528">
            <w:pPr>
              <w:spacing w:before="120" w:after="120" w:line="240" w:lineRule="auto"/>
              <w:jc w:val="both"/>
            </w:pPr>
          </w:p>
          <w:p w14:paraId="1277256C" w14:textId="77777777" w:rsidR="00132528" w:rsidRDefault="000E71CE">
            <w:pPr>
              <w:spacing w:before="120" w:after="120" w:line="240" w:lineRule="auto"/>
              <w:jc w:val="both"/>
            </w:pPr>
            <w:r>
              <w:t>Eje sintáctico:</w:t>
            </w:r>
          </w:p>
          <w:p w14:paraId="7FE366E3" w14:textId="77777777" w:rsidR="00132528" w:rsidRDefault="000E71CE">
            <w:pPr>
              <w:spacing w:before="120" w:after="120" w:line="240" w:lineRule="auto"/>
              <w:jc w:val="both"/>
            </w:pPr>
            <w:r>
              <w:t>Análisis de estructuras gramaticales.</w:t>
            </w:r>
          </w:p>
          <w:p w14:paraId="51EF1DAE" w14:textId="77777777" w:rsidR="00132528" w:rsidRDefault="00605C63">
            <w:pPr>
              <w:spacing w:before="120" w:after="120" w:line="240" w:lineRule="auto"/>
              <w:jc w:val="both"/>
            </w:pPr>
            <w:r>
              <w:t>Categorí</w:t>
            </w:r>
            <w:r w:rsidR="000E71CE">
              <w:t xml:space="preserve">as gramaticales y clases de palabras. Sistema de pronombres. </w:t>
            </w:r>
          </w:p>
          <w:p w14:paraId="5D5288EE" w14:textId="77777777" w:rsidR="00132528" w:rsidRDefault="000E71CE">
            <w:pPr>
              <w:spacing w:before="120" w:after="120" w:line="240" w:lineRule="auto"/>
              <w:jc w:val="both"/>
            </w:pPr>
            <w:r>
              <w:t xml:space="preserve">Palabras transparentes / cognados. </w:t>
            </w:r>
          </w:p>
          <w:p w14:paraId="425C01CE" w14:textId="77777777" w:rsidR="00132528" w:rsidRDefault="000E71CE">
            <w:pPr>
              <w:spacing w:before="120" w:after="120" w:line="240" w:lineRule="auto"/>
              <w:jc w:val="both"/>
            </w:pPr>
            <w:r>
              <w:t>Tiempos verbales simples, continuos y perfectos: presente, pasado y futuro.</w:t>
            </w:r>
          </w:p>
          <w:p w14:paraId="5EBE1287" w14:textId="77777777" w:rsidR="00132528" w:rsidRDefault="000E71CE">
            <w:pPr>
              <w:spacing w:before="120" w:after="120" w:line="240" w:lineRule="auto"/>
              <w:jc w:val="both"/>
            </w:pPr>
            <w:r>
              <w:t>Verbos de modalidad</w:t>
            </w:r>
          </w:p>
          <w:p w14:paraId="3CD9A4F4" w14:textId="77777777" w:rsidR="00132528" w:rsidRDefault="000E71CE">
            <w:pPr>
              <w:spacing w:before="120" w:after="120" w:line="240" w:lineRule="auto"/>
              <w:jc w:val="both"/>
            </w:pPr>
            <w:r>
              <w:lastRenderedPageBreak/>
              <w:t>Voz pasiva</w:t>
            </w:r>
          </w:p>
          <w:p w14:paraId="0499EB4D" w14:textId="77777777" w:rsidR="00132528" w:rsidRDefault="000E71CE">
            <w:pPr>
              <w:spacing w:before="120" w:after="120" w:line="240" w:lineRule="auto"/>
              <w:jc w:val="both"/>
            </w:pPr>
            <w:r>
              <w:t xml:space="preserve">Comparativos y superlativos. </w:t>
            </w:r>
          </w:p>
          <w:p w14:paraId="1FE4A777" w14:textId="77777777" w:rsidR="00132528" w:rsidRDefault="000E71CE">
            <w:pPr>
              <w:spacing w:before="120" w:after="120" w:line="240" w:lineRule="auto"/>
              <w:jc w:val="both"/>
            </w:pPr>
            <w:r>
              <w:t xml:space="preserve">Bloques nominales. </w:t>
            </w:r>
          </w:p>
          <w:p w14:paraId="21F94671" w14:textId="77777777" w:rsidR="00132528" w:rsidRDefault="000E71CE">
            <w:pPr>
              <w:spacing w:before="120" w:after="120" w:line="240" w:lineRule="auto"/>
              <w:jc w:val="both"/>
            </w:pPr>
            <w:r>
              <w:t xml:space="preserve">Condicionales. </w:t>
            </w:r>
          </w:p>
          <w:p w14:paraId="73101817" w14:textId="77777777" w:rsidR="00132528" w:rsidRDefault="000E71CE">
            <w:pPr>
              <w:spacing w:before="120" w:after="120" w:line="240" w:lineRule="auto"/>
              <w:jc w:val="both"/>
            </w:pPr>
            <w:r>
              <w:t xml:space="preserve">Conectores </w:t>
            </w:r>
          </w:p>
          <w:p w14:paraId="4B792FA7" w14:textId="77777777" w:rsidR="00132528" w:rsidRDefault="00132528">
            <w:pPr>
              <w:spacing w:before="120" w:after="120" w:line="240" w:lineRule="auto"/>
              <w:jc w:val="both"/>
            </w:pPr>
          </w:p>
          <w:p w14:paraId="0325F8E8" w14:textId="77777777" w:rsidR="00132528" w:rsidRDefault="000E71CE">
            <w:pPr>
              <w:spacing w:before="120" w:after="120" w:line="240" w:lineRule="auto"/>
              <w:jc w:val="both"/>
            </w:pPr>
            <w:r>
              <w:t xml:space="preserve">Eje semántico: </w:t>
            </w:r>
          </w:p>
          <w:p w14:paraId="62CA8A96" w14:textId="77777777" w:rsidR="00132528" w:rsidRDefault="000E71CE">
            <w:pPr>
              <w:spacing w:before="120" w:after="120" w:line="240" w:lineRule="auto"/>
              <w:jc w:val="both"/>
            </w:pPr>
            <w:r>
              <w:t xml:space="preserve">Vocabulario técnico especifico de informática.  </w:t>
            </w:r>
          </w:p>
          <w:p w14:paraId="0F338014" w14:textId="77777777" w:rsidR="00132528" w:rsidRDefault="000E71CE">
            <w:pPr>
              <w:spacing w:before="120" w:after="120" w:line="240" w:lineRule="auto"/>
              <w:jc w:val="both"/>
            </w:pPr>
            <w:r>
              <w:t xml:space="preserve">Abreviaturas específicas utilizadas en informática. </w:t>
            </w:r>
          </w:p>
          <w:p w14:paraId="45C532BE" w14:textId="77777777" w:rsidR="00132528" w:rsidRDefault="000E71CE">
            <w:pPr>
              <w:spacing w:before="120" w:after="120" w:line="240" w:lineRule="auto"/>
              <w:jc w:val="both"/>
            </w:pPr>
            <w:r>
              <w:t xml:space="preserve">Bloques nominales. </w:t>
            </w:r>
          </w:p>
          <w:p w14:paraId="393874B2" w14:textId="77777777" w:rsidR="00132528" w:rsidRDefault="000E71CE">
            <w:pPr>
              <w:spacing w:before="120" w:after="120" w:line="240" w:lineRule="auto"/>
              <w:jc w:val="both"/>
            </w:pPr>
            <w:r>
              <w:t xml:space="preserve">Sinónimos y antónimos. </w:t>
            </w:r>
          </w:p>
          <w:p w14:paraId="45E1AA0E" w14:textId="77777777" w:rsidR="00132528" w:rsidRDefault="000E71CE">
            <w:pPr>
              <w:spacing w:before="120" w:after="120" w:line="240" w:lineRule="auto"/>
              <w:jc w:val="both"/>
            </w:pPr>
            <w:r>
              <w:t xml:space="preserve">Préstamos lingüísticos </w:t>
            </w:r>
          </w:p>
        </w:tc>
      </w:tr>
    </w:tbl>
    <w:p w14:paraId="747D2DD0" w14:textId="77777777" w:rsidR="00132528" w:rsidRDefault="00132528">
      <w:pPr>
        <w:pBdr>
          <w:top w:val="nil"/>
          <w:left w:val="nil"/>
          <w:bottom w:val="nil"/>
          <w:right w:val="nil"/>
          <w:between w:val="nil"/>
        </w:pBdr>
        <w:spacing w:before="120" w:after="120" w:line="240" w:lineRule="auto"/>
        <w:ind w:left="-284"/>
      </w:pPr>
    </w:p>
    <w:tbl>
      <w:tblPr>
        <w:tblStyle w:val="afd"/>
        <w:tblW w:w="9211" w:type="dxa"/>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1"/>
      </w:tblGrid>
      <w:tr w:rsidR="00132528" w14:paraId="7A083CBE" w14:textId="77777777" w:rsidTr="009C2295">
        <w:tc>
          <w:tcPr>
            <w:tcW w:w="9211" w:type="dxa"/>
            <w:tcBorders>
              <w:left w:val="single" w:sz="12" w:space="0" w:color="000000"/>
              <w:bottom w:val="single" w:sz="12" w:space="0" w:color="000000"/>
              <w:right w:val="single" w:sz="12" w:space="0" w:color="000000"/>
            </w:tcBorders>
            <w:shd w:val="clear" w:color="auto" w:fill="EBF1DD"/>
          </w:tcPr>
          <w:p w14:paraId="015376FB" w14:textId="77777777" w:rsidR="00132528" w:rsidRDefault="000E71CE">
            <w:pPr>
              <w:widowControl w:val="0"/>
              <w:pBdr>
                <w:top w:val="nil"/>
                <w:left w:val="nil"/>
                <w:bottom w:val="nil"/>
                <w:right w:val="nil"/>
                <w:between w:val="nil"/>
              </w:pBdr>
              <w:spacing w:before="200" w:after="120" w:line="240" w:lineRule="auto"/>
              <w:ind w:right="108"/>
              <w:rPr>
                <w:color w:val="000000"/>
              </w:rPr>
            </w:pPr>
            <w:r>
              <w:rPr>
                <w:b/>
              </w:rPr>
              <w:t xml:space="preserve">8. </w:t>
            </w:r>
            <w:r>
              <w:rPr>
                <w:b/>
                <w:color w:val="000000"/>
              </w:rPr>
              <w:t>Bibliografía obligatoria y compleme</w:t>
            </w:r>
            <w:r w:rsidR="006E6503">
              <w:rPr>
                <w:b/>
                <w:color w:val="000000"/>
              </w:rPr>
              <w:t>ntaria</w:t>
            </w:r>
          </w:p>
        </w:tc>
      </w:tr>
      <w:tr w:rsidR="00132528" w14:paraId="60DAF8C2" w14:textId="77777777" w:rsidTr="009C2295">
        <w:tc>
          <w:tcPr>
            <w:tcW w:w="9211" w:type="dxa"/>
            <w:tcBorders>
              <w:top w:val="single" w:sz="12" w:space="0" w:color="000000"/>
              <w:left w:val="single" w:sz="12" w:space="0" w:color="000000"/>
              <w:bottom w:val="single" w:sz="12" w:space="0" w:color="000000"/>
              <w:right w:val="single" w:sz="12" w:space="0" w:color="000000"/>
            </w:tcBorders>
          </w:tcPr>
          <w:p w14:paraId="290F42C2" w14:textId="77777777" w:rsidR="00DB65B1" w:rsidRPr="00DB65B1" w:rsidRDefault="000E71CE">
            <w:pPr>
              <w:widowControl w:val="0"/>
              <w:spacing w:after="0" w:line="288" w:lineRule="auto"/>
              <w:rPr>
                <w:b/>
                <w:sz w:val="24"/>
                <w:szCs w:val="24"/>
              </w:rPr>
            </w:pPr>
            <w:r w:rsidRPr="00DB65B1">
              <w:rPr>
                <w:b/>
                <w:sz w:val="24"/>
                <w:szCs w:val="24"/>
              </w:rPr>
              <w:t xml:space="preserve">Obligatoria:  </w:t>
            </w:r>
          </w:p>
          <w:p w14:paraId="4980C38C" w14:textId="77777777" w:rsidR="00DB65B1" w:rsidRDefault="000E71CE">
            <w:pPr>
              <w:widowControl w:val="0"/>
              <w:spacing w:after="0" w:line="288" w:lineRule="auto"/>
              <w:rPr>
                <w:sz w:val="24"/>
                <w:szCs w:val="24"/>
              </w:rPr>
            </w:pPr>
            <w:r>
              <w:rPr>
                <w:sz w:val="24"/>
                <w:szCs w:val="24"/>
              </w:rPr>
              <w:t xml:space="preserve">Guías de estudio y trabajo de la comisión de </w:t>
            </w:r>
            <w:proofErr w:type="gramStart"/>
            <w:r>
              <w:rPr>
                <w:sz w:val="24"/>
                <w:szCs w:val="24"/>
              </w:rPr>
              <w:t>Inglés</w:t>
            </w:r>
            <w:proofErr w:type="gramEnd"/>
            <w:r w:rsidR="00DB65B1">
              <w:rPr>
                <w:sz w:val="24"/>
                <w:szCs w:val="24"/>
              </w:rPr>
              <w:t xml:space="preserve"> II de LGTI. </w:t>
            </w:r>
          </w:p>
          <w:p w14:paraId="6BDABF1A" w14:textId="77777777" w:rsidR="00132528" w:rsidRDefault="00DB65B1">
            <w:pPr>
              <w:widowControl w:val="0"/>
              <w:spacing w:after="0" w:line="288" w:lineRule="auto"/>
              <w:rPr>
                <w:sz w:val="24"/>
                <w:szCs w:val="24"/>
              </w:rPr>
            </w:pPr>
            <w:r>
              <w:rPr>
                <w:sz w:val="24"/>
                <w:szCs w:val="24"/>
              </w:rPr>
              <w:t>D</w:t>
            </w:r>
            <w:r w:rsidR="000E71CE">
              <w:rPr>
                <w:sz w:val="24"/>
                <w:szCs w:val="24"/>
              </w:rPr>
              <w:t>iccio</w:t>
            </w:r>
            <w:r>
              <w:rPr>
                <w:sz w:val="24"/>
                <w:szCs w:val="24"/>
              </w:rPr>
              <w:t>nario bilingüe inglés&lt;&gt;español</w:t>
            </w:r>
          </w:p>
          <w:p w14:paraId="41E24234" w14:textId="77777777" w:rsidR="00132528" w:rsidRDefault="000E71CE">
            <w:pPr>
              <w:widowControl w:val="0"/>
              <w:spacing w:after="0" w:line="288" w:lineRule="auto"/>
              <w:rPr>
                <w:sz w:val="24"/>
                <w:szCs w:val="24"/>
              </w:rPr>
            </w:pPr>
            <w:r>
              <w:rPr>
                <w:sz w:val="24"/>
                <w:szCs w:val="24"/>
              </w:rPr>
              <w:t>Glosario de Informática Inglés&lt;&gt;</w:t>
            </w:r>
            <w:proofErr w:type="gramStart"/>
            <w:r>
              <w:rPr>
                <w:sz w:val="24"/>
                <w:szCs w:val="24"/>
              </w:rPr>
              <w:t>Español</w:t>
            </w:r>
            <w:proofErr w:type="gramEnd"/>
            <w:r>
              <w:rPr>
                <w:sz w:val="24"/>
                <w:szCs w:val="24"/>
              </w:rPr>
              <w:t xml:space="preserve"> de Microsoft http://www.microsoft.com/language/es-es/default.aspx </w:t>
            </w:r>
          </w:p>
          <w:p w14:paraId="2012A52D" w14:textId="77777777" w:rsidR="00132528" w:rsidRDefault="00132528">
            <w:pPr>
              <w:widowControl w:val="0"/>
              <w:spacing w:after="0" w:line="288" w:lineRule="auto"/>
              <w:rPr>
                <w:sz w:val="24"/>
                <w:szCs w:val="24"/>
              </w:rPr>
            </w:pPr>
          </w:p>
          <w:p w14:paraId="0657727D" w14:textId="77777777" w:rsidR="00DB65B1" w:rsidRPr="004D4D82" w:rsidRDefault="000E71CE" w:rsidP="00DB65B1">
            <w:pPr>
              <w:rPr>
                <w:rFonts w:ascii="Arial" w:hAnsi="Arial" w:cs="Arial"/>
                <w:b/>
                <w:i/>
                <w:iCs/>
              </w:rPr>
            </w:pPr>
            <w:r w:rsidRPr="00DB65B1">
              <w:rPr>
                <w:b/>
                <w:sz w:val="24"/>
                <w:szCs w:val="24"/>
              </w:rPr>
              <w:t>De consulta</w:t>
            </w:r>
            <w:r>
              <w:rPr>
                <w:sz w:val="24"/>
                <w:szCs w:val="24"/>
              </w:rPr>
              <w:t xml:space="preserve">: </w:t>
            </w:r>
          </w:p>
          <w:p w14:paraId="63CFCF4B" w14:textId="77777777" w:rsidR="00DB65B1" w:rsidRPr="00605C63" w:rsidRDefault="00DB65B1" w:rsidP="00DB65B1">
            <w:pPr>
              <w:ind w:left="630" w:hanging="630"/>
              <w:rPr>
                <w:rFonts w:asciiTheme="minorHAnsi" w:hAnsiTheme="minorHAnsi" w:cstheme="minorHAnsi"/>
                <w:sz w:val="24"/>
                <w:szCs w:val="24"/>
                <w:lang w:val="es-ES"/>
              </w:rPr>
            </w:pPr>
            <w:r w:rsidRPr="00605C63">
              <w:rPr>
                <w:rFonts w:asciiTheme="minorHAnsi" w:hAnsiTheme="minorHAnsi" w:cstheme="minorHAnsi"/>
                <w:sz w:val="24"/>
                <w:szCs w:val="24"/>
                <w:lang w:val="es-ES"/>
              </w:rPr>
              <w:t xml:space="preserve">Alvarado, M. (1994). </w:t>
            </w:r>
            <w:r w:rsidRPr="00605C63">
              <w:rPr>
                <w:rFonts w:asciiTheme="minorHAnsi" w:hAnsiTheme="minorHAnsi" w:cstheme="minorHAnsi"/>
                <w:i/>
                <w:iCs/>
                <w:sz w:val="24"/>
                <w:szCs w:val="24"/>
                <w:lang w:val="es-ES"/>
              </w:rPr>
              <w:t>Paratexto. Colección enciclopedia semiológica</w:t>
            </w:r>
            <w:r w:rsidRPr="00605C63">
              <w:rPr>
                <w:rFonts w:asciiTheme="minorHAnsi" w:hAnsiTheme="minorHAnsi" w:cstheme="minorHAnsi"/>
                <w:sz w:val="24"/>
                <w:szCs w:val="24"/>
                <w:lang w:val="es-ES"/>
              </w:rPr>
              <w:t>. Editorial de la Universidad de Buenos Aires.</w:t>
            </w:r>
          </w:p>
          <w:p w14:paraId="36505EB1" w14:textId="77777777" w:rsidR="00DB65B1" w:rsidRPr="00605C63" w:rsidRDefault="00DB65B1" w:rsidP="00DB65B1">
            <w:pPr>
              <w:ind w:left="630" w:hanging="630"/>
              <w:rPr>
                <w:rFonts w:asciiTheme="minorHAnsi" w:hAnsiTheme="minorHAnsi" w:cstheme="minorHAnsi"/>
                <w:sz w:val="24"/>
                <w:szCs w:val="24"/>
                <w:lang w:val="es-CO"/>
              </w:rPr>
            </w:pPr>
            <w:r w:rsidRPr="00605C63">
              <w:rPr>
                <w:rFonts w:asciiTheme="minorHAnsi" w:hAnsiTheme="minorHAnsi" w:cstheme="minorHAnsi"/>
                <w:sz w:val="24"/>
                <w:szCs w:val="24"/>
                <w:lang w:val="es-ES"/>
              </w:rPr>
              <w:t xml:space="preserve">Arancibia F., R. (2017). </w:t>
            </w:r>
            <w:r w:rsidRPr="00605C63">
              <w:rPr>
                <w:rFonts w:asciiTheme="minorHAnsi" w:hAnsiTheme="minorHAnsi" w:cstheme="minorHAnsi"/>
                <w:i/>
                <w:iCs/>
                <w:sz w:val="24"/>
                <w:szCs w:val="24"/>
                <w:lang w:val="es-CO"/>
              </w:rPr>
              <w:t>Introducción a La Gramática Inglesa</w:t>
            </w:r>
            <w:r w:rsidRPr="00605C63">
              <w:rPr>
                <w:rFonts w:asciiTheme="minorHAnsi" w:hAnsiTheme="minorHAnsi" w:cstheme="minorHAnsi"/>
                <w:sz w:val="24"/>
                <w:szCs w:val="24"/>
                <w:lang w:val="es-CO"/>
              </w:rPr>
              <w:t xml:space="preserve">. </w:t>
            </w:r>
            <w:proofErr w:type="spellStart"/>
            <w:r w:rsidRPr="00605C63">
              <w:rPr>
                <w:rFonts w:asciiTheme="minorHAnsi" w:hAnsiTheme="minorHAnsi" w:cstheme="minorHAnsi"/>
                <w:sz w:val="24"/>
                <w:szCs w:val="24"/>
                <w:lang w:val="es-CO"/>
              </w:rPr>
              <w:t>Ril</w:t>
            </w:r>
            <w:proofErr w:type="spellEnd"/>
            <w:r w:rsidRPr="00605C63">
              <w:rPr>
                <w:rFonts w:asciiTheme="minorHAnsi" w:hAnsiTheme="minorHAnsi" w:cstheme="minorHAnsi"/>
                <w:sz w:val="24"/>
                <w:szCs w:val="24"/>
                <w:lang w:val="es-CO"/>
              </w:rPr>
              <w:t xml:space="preserve"> Editores.</w:t>
            </w:r>
          </w:p>
          <w:p w14:paraId="444D7C19" w14:textId="77777777" w:rsidR="00DB65B1" w:rsidRPr="00605C63" w:rsidRDefault="00DB65B1" w:rsidP="00DB65B1">
            <w:pPr>
              <w:ind w:left="630" w:hanging="630"/>
              <w:rPr>
                <w:rFonts w:asciiTheme="minorHAnsi" w:hAnsiTheme="minorHAnsi" w:cstheme="minorHAnsi"/>
                <w:sz w:val="24"/>
                <w:szCs w:val="24"/>
                <w:lang w:val="es-ES"/>
              </w:rPr>
            </w:pPr>
            <w:r w:rsidRPr="00605C63">
              <w:rPr>
                <w:rFonts w:asciiTheme="minorHAnsi" w:hAnsiTheme="minorHAnsi" w:cstheme="minorHAnsi"/>
                <w:sz w:val="24"/>
                <w:szCs w:val="24"/>
                <w:lang w:val="es-ES"/>
              </w:rPr>
              <w:t xml:space="preserve">Colorín Colorado. (2007). </w:t>
            </w:r>
            <w:r w:rsidRPr="00605C63">
              <w:rPr>
                <w:rFonts w:asciiTheme="minorHAnsi" w:hAnsiTheme="minorHAnsi" w:cstheme="minorHAnsi"/>
                <w:i/>
                <w:iCs/>
                <w:sz w:val="24"/>
                <w:szCs w:val="24"/>
                <w:lang w:val="es-ES"/>
              </w:rPr>
              <w:t>Emplear cognados para facilitar la comprensión en inglés</w:t>
            </w:r>
            <w:r w:rsidRPr="00605C63">
              <w:rPr>
                <w:rFonts w:asciiTheme="minorHAnsi" w:hAnsiTheme="minorHAnsi" w:cstheme="minorHAnsi"/>
                <w:sz w:val="24"/>
                <w:szCs w:val="24"/>
                <w:lang w:val="es-ES"/>
              </w:rPr>
              <w:t xml:space="preserve">. Colorín Colorado.org </w:t>
            </w:r>
          </w:p>
          <w:p w14:paraId="6B9EB614" w14:textId="77777777" w:rsidR="00DB65B1" w:rsidRPr="00605C63" w:rsidRDefault="00DB65B1" w:rsidP="00DB65B1">
            <w:pPr>
              <w:ind w:left="630" w:hanging="630"/>
              <w:rPr>
                <w:rFonts w:asciiTheme="minorHAnsi" w:hAnsiTheme="minorHAnsi" w:cstheme="minorHAnsi"/>
                <w:sz w:val="24"/>
                <w:szCs w:val="24"/>
                <w:lang w:val="es-CO"/>
              </w:rPr>
            </w:pPr>
            <w:r w:rsidRPr="00605C63">
              <w:rPr>
                <w:rFonts w:asciiTheme="minorHAnsi" w:hAnsiTheme="minorHAnsi" w:cstheme="minorHAnsi"/>
                <w:sz w:val="24"/>
                <w:szCs w:val="24"/>
                <w:lang w:val="es-ES"/>
              </w:rPr>
              <w:t xml:space="preserve">Hernando, M. (2019). </w:t>
            </w:r>
            <w:r w:rsidRPr="00605C63">
              <w:rPr>
                <w:rFonts w:asciiTheme="minorHAnsi" w:hAnsiTheme="minorHAnsi" w:cstheme="minorHAnsi"/>
                <w:i/>
                <w:iCs/>
                <w:sz w:val="24"/>
                <w:szCs w:val="24"/>
                <w:lang w:val="es-CO"/>
              </w:rPr>
              <w:t>Cómo identificar ideas principales y secundarias de un texto</w:t>
            </w:r>
            <w:r w:rsidRPr="00605C63">
              <w:rPr>
                <w:rFonts w:asciiTheme="minorHAnsi" w:hAnsiTheme="minorHAnsi" w:cstheme="minorHAnsi"/>
                <w:sz w:val="24"/>
                <w:szCs w:val="24"/>
                <w:lang w:val="es-CO"/>
              </w:rPr>
              <w:t>. Unprofesor.com</w:t>
            </w:r>
          </w:p>
          <w:p w14:paraId="42BC05CA" w14:textId="77777777" w:rsidR="00DB65B1" w:rsidRPr="00605C63" w:rsidRDefault="00DB65B1" w:rsidP="00DB65B1">
            <w:pPr>
              <w:ind w:left="630" w:hanging="630"/>
              <w:rPr>
                <w:rFonts w:asciiTheme="minorHAnsi" w:hAnsiTheme="minorHAnsi" w:cstheme="minorHAnsi"/>
                <w:sz w:val="24"/>
                <w:szCs w:val="24"/>
                <w:lang w:val="es-CO"/>
              </w:rPr>
            </w:pPr>
            <w:r w:rsidRPr="00605C63">
              <w:rPr>
                <w:rFonts w:asciiTheme="minorHAnsi" w:hAnsiTheme="minorHAnsi" w:cstheme="minorHAnsi"/>
                <w:sz w:val="24"/>
                <w:szCs w:val="24"/>
                <w:lang w:val="es-ES"/>
              </w:rPr>
              <w:t>Nieto, C. (2010). </w:t>
            </w:r>
            <w:r w:rsidRPr="00605C63">
              <w:rPr>
                <w:rFonts w:asciiTheme="minorHAnsi" w:hAnsiTheme="minorHAnsi" w:cstheme="minorHAnsi"/>
                <w:i/>
                <w:iCs/>
                <w:sz w:val="24"/>
                <w:szCs w:val="24"/>
                <w:lang w:val="es-CO"/>
              </w:rPr>
              <w:t>Manual de gramática inglesa aplicada a la lecto-comprensión de textos académicos o de divulgación</w:t>
            </w:r>
            <w:r w:rsidRPr="00605C63">
              <w:rPr>
                <w:rFonts w:asciiTheme="minorHAnsi" w:hAnsiTheme="minorHAnsi" w:cstheme="minorHAnsi"/>
                <w:sz w:val="24"/>
                <w:szCs w:val="24"/>
                <w:lang w:val="es-CO"/>
              </w:rPr>
              <w:t>.</w:t>
            </w:r>
          </w:p>
          <w:p w14:paraId="4236FF35" w14:textId="77777777" w:rsidR="00DB65B1" w:rsidRPr="00BE63DD" w:rsidRDefault="00DB65B1" w:rsidP="00DB65B1">
            <w:pPr>
              <w:rPr>
                <w:rFonts w:ascii="Arial" w:hAnsi="Arial" w:cs="Arial"/>
              </w:rPr>
            </w:pPr>
          </w:p>
          <w:p w14:paraId="52E97283" w14:textId="77777777" w:rsidR="00132528" w:rsidRDefault="00132528">
            <w:pPr>
              <w:widowControl w:val="0"/>
              <w:spacing w:after="0" w:line="240" w:lineRule="auto"/>
            </w:pPr>
          </w:p>
        </w:tc>
      </w:tr>
    </w:tbl>
    <w:p w14:paraId="4B861D44" w14:textId="77777777" w:rsidR="00132528" w:rsidRDefault="00132528" w:rsidP="009C2295">
      <w:pPr>
        <w:pBdr>
          <w:top w:val="nil"/>
          <w:left w:val="nil"/>
          <w:bottom w:val="nil"/>
          <w:right w:val="nil"/>
          <w:between w:val="nil"/>
        </w:pBdr>
      </w:pPr>
    </w:p>
    <w:tbl>
      <w:tblPr>
        <w:tblStyle w:val="afe"/>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132528" w14:paraId="52447B10" w14:textId="77777777">
        <w:tc>
          <w:tcPr>
            <w:tcW w:w="9255" w:type="dxa"/>
            <w:tcBorders>
              <w:left w:val="single" w:sz="12" w:space="0" w:color="000000"/>
              <w:bottom w:val="single" w:sz="12" w:space="0" w:color="000000"/>
              <w:right w:val="single" w:sz="12" w:space="0" w:color="000000"/>
            </w:tcBorders>
            <w:shd w:val="clear" w:color="auto" w:fill="EBF1DD"/>
          </w:tcPr>
          <w:p w14:paraId="731D9E08" w14:textId="77777777" w:rsidR="00132528" w:rsidRDefault="000E71CE">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132528" w14:paraId="2ACCA523" w14:textId="77777777">
        <w:tc>
          <w:tcPr>
            <w:tcW w:w="9255" w:type="dxa"/>
            <w:tcBorders>
              <w:top w:val="single" w:sz="12" w:space="0" w:color="000000"/>
              <w:left w:val="single" w:sz="12" w:space="0" w:color="000000"/>
              <w:bottom w:val="single" w:sz="12" w:space="0" w:color="000000"/>
              <w:right w:val="single" w:sz="12" w:space="0" w:color="000000"/>
            </w:tcBorders>
          </w:tcPr>
          <w:p w14:paraId="2831ECDB" w14:textId="77777777" w:rsidR="00132528" w:rsidRDefault="000E71CE">
            <w:pPr>
              <w:spacing w:after="0" w:line="240" w:lineRule="auto"/>
              <w:jc w:val="both"/>
            </w:pPr>
            <w:r>
              <w:t>Las clases teórico-prácticas desarrollarán los contenidos de cada unidad con ejemplos diversos de aplicación en la vida profesional. Concluido el sustent</w:t>
            </w:r>
            <w:r w:rsidR="00C64DEE">
              <w:t xml:space="preserve">o teórico-práctico, los y las estudiantes </w:t>
            </w:r>
            <w:r>
              <w:t xml:space="preserve">resolverán una guía o trabajo práctico por clase, así sea clase presencial o por plataformas </w:t>
            </w:r>
            <w:proofErr w:type="gramStart"/>
            <w:r>
              <w:t>Zoom</w:t>
            </w:r>
            <w:proofErr w:type="gramEnd"/>
            <w:r>
              <w:t xml:space="preserve">/Meet. Éste consistirá en ejercitación y ejemplos con todas las variantes posibles de los temas tratados. </w:t>
            </w:r>
            <w:proofErr w:type="gramStart"/>
            <w:r>
              <w:t>Las actividades a resolver</w:t>
            </w:r>
            <w:proofErr w:type="gramEnd"/>
            <w:r>
              <w:t xml:space="preserve"> en clase, los trabajos </w:t>
            </w:r>
            <w:r w:rsidR="00C64DEE">
              <w:t xml:space="preserve">prácticos, y el examen parcial </w:t>
            </w:r>
            <w:r>
              <w:t xml:space="preserve">darán cuenta de que el aprendizaje haya sido significativo. Se fomentará el trabajo en grupo para resolver algunas actividades y los alumnos podrán discutir estrategias, formular conjeturas, reflexionar y compartir resultados. Los recursos metodológicos que se utilizan en cada Unidad Didáctica son los siguientes: </w:t>
            </w:r>
          </w:p>
          <w:p w14:paraId="1E585172" w14:textId="77777777" w:rsidR="00132528" w:rsidRDefault="000E71CE">
            <w:pPr>
              <w:spacing w:after="0" w:line="240" w:lineRule="auto"/>
              <w:jc w:val="both"/>
            </w:pPr>
            <w:r>
              <w:t xml:space="preserve">• Planteamiento de la necesidad del estudio del tema a partir de problemas basados en situaciones reales de la vida profesional. </w:t>
            </w:r>
          </w:p>
          <w:p w14:paraId="3D394B9F" w14:textId="77777777" w:rsidR="00132528" w:rsidRDefault="000E71CE">
            <w:pPr>
              <w:spacing w:after="0" w:line="240" w:lineRule="auto"/>
              <w:jc w:val="both"/>
            </w:pPr>
            <w:r>
              <w:t>• Explicación del tema por parte de la profesora con la intervención y participación de los alumnos/as y la realización de algunas actividades que sirvan para desarrollar diversos aspectos de los textos.</w:t>
            </w:r>
          </w:p>
          <w:p w14:paraId="5A16D7FF" w14:textId="77777777" w:rsidR="00132528" w:rsidRDefault="000E71CE">
            <w:pPr>
              <w:spacing w:after="0" w:line="240" w:lineRule="auto"/>
              <w:jc w:val="both"/>
            </w:pPr>
            <w:r>
              <w:t xml:space="preserve">• Realización de actividades de consolidación del tema. </w:t>
            </w:r>
          </w:p>
          <w:p w14:paraId="3969252F" w14:textId="77777777" w:rsidR="00132528" w:rsidRDefault="000E71CE">
            <w:pPr>
              <w:spacing w:after="0" w:line="240" w:lineRule="auto"/>
              <w:jc w:val="both"/>
            </w:pPr>
            <w:r>
              <w:t>Resolución de actividades de refuerzo o ampliación según sea el caso.</w:t>
            </w:r>
          </w:p>
          <w:p w14:paraId="11C443DC" w14:textId="77777777" w:rsidR="00132528" w:rsidRDefault="00132528">
            <w:pPr>
              <w:spacing w:after="0" w:line="240" w:lineRule="auto"/>
              <w:jc w:val="both"/>
            </w:pPr>
          </w:p>
          <w:p w14:paraId="316C02D9" w14:textId="77777777" w:rsidR="00132528" w:rsidRDefault="000E71CE">
            <w:pPr>
              <w:spacing w:after="0" w:line="240" w:lineRule="auto"/>
              <w:jc w:val="both"/>
            </w:pPr>
            <w:r>
              <w:t>Todos/as los/las alumnos/as además contarán en el campus virtual con:</w:t>
            </w:r>
          </w:p>
          <w:p w14:paraId="17B613F4" w14:textId="77777777" w:rsidR="00132528" w:rsidRDefault="000E71CE">
            <w:pPr>
              <w:spacing w:after="0" w:line="240" w:lineRule="auto"/>
              <w:jc w:val="both"/>
            </w:pPr>
            <w:r>
              <w:t xml:space="preserve">i. Una guía de trabajo para los/as estudiantes (“Hoja de ruta”) que indicará el contenido a abordar, </w:t>
            </w:r>
          </w:p>
          <w:p w14:paraId="3F28384E" w14:textId="77777777" w:rsidR="00132528" w:rsidRDefault="000E71CE" w:rsidP="00040713">
            <w:pPr>
              <w:spacing w:after="0" w:line="240" w:lineRule="auto"/>
              <w:jc w:val="both"/>
            </w:pPr>
            <w:r>
              <w:t>ii. las actividades a desarrollar y la indicación de bibliografía y/o recursos a consultar, durante cada una de las semanas en las que el curso se ofrezca en la modalidad a distancia.</w:t>
            </w:r>
          </w:p>
          <w:p w14:paraId="0504D8D0" w14:textId="77777777" w:rsidR="00132528" w:rsidRDefault="000E71CE">
            <w:pPr>
              <w:spacing w:after="0" w:line="240" w:lineRule="auto"/>
              <w:jc w:val="both"/>
            </w:pPr>
            <w:r>
              <w:t>iii. La devolución individual o colectiva del trabajo obligatorio solicitado y la calificación de la instancia de evaluación</w:t>
            </w:r>
            <w:r w:rsidR="003C2E70">
              <w:t xml:space="preserve"> </w:t>
            </w:r>
            <w:r>
              <w:t xml:space="preserve">por plataformas Campus Virtual, </w:t>
            </w:r>
            <w:proofErr w:type="gramStart"/>
            <w:r>
              <w:t>Zoom</w:t>
            </w:r>
            <w:proofErr w:type="gramEnd"/>
            <w:r>
              <w:t xml:space="preserve">, Meet o bien por mail. </w:t>
            </w:r>
          </w:p>
          <w:p w14:paraId="25FE5A30" w14:textId="77777777" w:rsidR="00132528" w:rsidRDefault="00132528">
            <w:pPr>
              <w:spacing w:after="0" w:line="240" w:lineRule="auto"/>
              <w:jc w:val="both"/>
            </w:pPr>
          </w:p>
          <w:p w14:paraId="29D6A6E0" w14:textId="77777777" w:rsidR="00132528" w:rsidRDefault="00132528">
            <w:pPr>
              <w:spacing w:before="120" w:after="120" w:line="240" w:lineRule="auto"/>
            </w:pPr>
          </w:p>
        </w:tc>
      </w:tr>
    </w:tbl>
    <w:p w14:paraId="07E7E751" w14:textId="77777777" w:rsidR="00132528" w:rsidRDefault="00132528">
      <w:pPr>
        <w:pBdr>
          <w:top w:val="nil"/>
          <w:left w:val="nil"/>
          <w:bottom w:val="nil"/>
          <w:right w:val="nil"/>
          <w:between w:val="nil"/>
        </w:pBdr>
      </w:pPr>
    </w:p>
    <w:tbl>
      <w:tblPr>
        <w:tblStyle w:val="aff"/>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132528" w14:paraId="6550DB55" w14:textId="77777777">
        <w:tc>
          <w:tcPr>
            <w:tcW w:w="9227" w:type="dxa"/>
            <w:tcBorders>
              <w:left w:val="single" w:sz="12" w:space="0" w:color="000000"/>
              <w:bottom w:val="single" w:sz="12" w:space="0" w:color="000000"/>
              <w:right w:val="single" w:sz="12" w:space="0" w:color="000000"/>
            </w:tcBorders>
            <w:shd w:val="clear" w:color="auto" w:fill="EBF1DD"/>
          </w:tcPr>
          <w:p w14:paraId="66A1B95C" w14:textId="77777777" w:rsidR="00132528" w:rsidRDefault="000E71CE">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132528" w14:paraId="644405E8" w14:textId="77777777">
        <w:tc>
          <w:tcPr>
            <w:tcW w:w="9227" w:type="dxa"/>
            <w:tcBorders>
              <w:top w:val="single" w:sz="12" w:space="0" w:color="000000"/>
              <w:left w:val="single" w:sz="12" w:space="0" w:color="000000"/>
              <w:bottom w:val="single" w:sz="12" w:space="0" w:color="000000"/>
              <w:right w:val="single" w:sz="12" w:space="0" w:color="000000"/>
            </w:tcBorders>
          </w:tcPr>
          <w:p w14:paraId="69FB2EB5" w14:textId="0D234A64" w:rsidR="001D0666" w:rsidRDefault="00C64DEE" w:rsidP="00C64DEE">
            <w:pPr>
              <w:pBdr>
                <w:top w:val="nil"/>
                <w:left w:val="nil"/>
                <w:bottom w:val="nil"/>
                <w:right w:val="nil"/>
                <w:between w:val="nil"/>
              </w:pBdr>
              <w:jc w:val="both"/>
              <w:rPr>
                <w:color w:val="000000"/>
                <w:sz w:val="24"/>
                <w:szCs w:val="24"/>
              </w:rPr>
            </w:pPr>
            <w:r>
              <w:rPr>
                <w:color w:val="000000"/>
                <w:sz w:val="24"/>
                <w:szCs w:val="24"/>
              </w:rPr>
              <w:t xml:space="preserve">Los y las estudiantes de </w:t>
            </w:r>
            <w:r w:rsidR="00040713">
              <w:rPr>
                <w:color w:val="000000"/>
                <w:sz w:val="24"/>
                <w:szCs w:val="24"/>
              </w:rPr>
              <w:t>inglés</w:t>
            </w:r>
            <w:r>
              <w:rPr>
                <w:color w:val="000000"/>
                <w:sz w:val="24"/>
                <w:szCs w:val="24"/>
              </w:rPr>
              <w:t xml:space="preserve"> II</w:t>
            </w:r>
            <w:r w:rsidR="001D0666">
              <w:rPr>
                <w:color w:val="000000"/>
                <w:sz w:val="24"/>
                <w:szCs w:val="24"/>
              </w:rPr>
              <w:t xml:space="preserve"> para regularizar la unidad curricular </w:t>
            </w:r>
            <w:r>
              <w:rPr>
                <w:color w:val="000000"/>
                <w:sz w:val="24"/>
                <w:szCs w:val="24"/>
              </w:rPr>
              <w:t>tendrán</w:t>
            </w:r>
            <w:r w:rsidR="001D0666">
              <w:rPr>
                <w:color w:val="000000"/>
                <w:sz w:val="24"/>
                <w:szCs w:val="24"/>
              </w:rPr>
              <w:t xml:space="preserve"> que realizar:</w:t>
            </w:r>
          </w:p>
          <w:p w14:paraId="643BC5FF" w14:textId="77777777" w:rsidR="001D0666" w:rsidRPr="001D0666" w:rsidRDefault="001D0666" w:rsidP="001D0666">
            <w:pPr>
              <w:pStyle w:val="Prrafodelista"/>
              <w:numPr>
                <w:ilvl w:val="0"/>
                <w:numId w:val="2"/>
              </w:numPr>
              <w:pBdr>
                <w:top w:val="nil"/>
                <w:left w:val="nil"/>
                <w:bottom w:val="nil"/>
                <w:right w:val="nil"/>
                <w:between w:val="nil"/>
              </w:pBdr>
              <w:jc w:val="both"/>
              <w:rPr>
                <w:color w:val="000000"/>
              </w:rPr>
            </w:pPr>
            <w:r>
              <w:rPr>
                <w:color w:val="000000"/>
                <w:sz w:val="24"/>
                <w:szCs w:val="24"/>
              </w:rPr>
              <w:t xml:space="preserve"> U</w:t>
            </w:r>
            <w:r w:rsidR="00C64DEE" w:rsidRPr="001D0666">
              <w:rPr>
                <w:color w:val="000000"/>
                <w:sz w:val="24"/>
                <w:szCs w:val="24"/>
              </w:rPr>
              <w:t>n Trabajo Práctico O</w:t>
            </w:r>
            <w:r>
              <w:rPr>
                <w:color w:val="000000"/>
                <w:sz w:val="24"/>
                <w:szCs w:val="24"/>
              </w:rPr>
              <w:t>bligatorio (virtual)</w:t>
            </w:r>
          </w:p>
          <w:p w14:paraId="6427A538" w14:textId="77777777" w:rsidR="001D0666" w:rsidRPr="001D0666" w:rsidRDefault="001D0666" w:rsidP="001D0666">
            <w:pPr>
              <w:pStyle w:val="Prrafodelista"/>
              <w:numPr>
                <w:ilvl w:val="0"/>
                <w:numId w:val="2"/>
              </w:numPr>
              <w:pBdr>
                <w:top w:val="nil"/>
                <w:left w:val="nil"/>
                <w:bottom w:val="nil"/>
                <w:right w:val="nil"/>
                <w:between w:val="nil"/>
              </w:pBdr>
              <w:jc w:val="both"/>
              <w:rPr>
                <w:color w:val="000000"/>
              </w:rPr>
            </w:pPr>
            <w:r>
              <w:rPr>
                <w:color w:val="000000"/>
                <w:sz w:val="24"/>
                <w:szCs w:val="24"/>
              </w:rPr>
              <w:t>D</w:t>
            </w:r>
            <w:r w:rsidR="00C64DEE" w:rsidRPr="001D0666">
              <w:rPr>
                <w:color w:val="000000"/>
                <w:sz w:val="24"/>
                <w:szCs w:val="24"/>
              </w:rPr>
              <w:t>os Exámenes Pa</w:t>
            </w:r>
            <w:r w:rsidR="00DE758D">
              <w:rPr>
                <w:color w:val="000000"/>
                <w:sz w:val="24"/>
                <w:szCs w:val="24"/>
              </w:rPr>
              <w:t>rciales (presenciales)</w:t>
            </w:r>
          </w:p>
          <w:p w14:paraId="5FFA5086" w14:textId="77777777" w:rsidR="009C2295" w:rsidRDefault="00C64DEE" w:rsidP="009C2295">
            <w:pPr>
              <w:pBdr>
                <w:top w:val="nil"/>
                <w:left w:val="nil"/>
                <w:bottom w:val="nil"/>
                <w:right w:val="nil"/>
                <w:between w:val="nil"/>
              </w:pBdr>
              <w:ind w:left="360"/>
              <w:jc w:val="both"/>
              <w:rPr>
                <w:color w:val="000000"/>
              </w:rPr>
            </w:pPr>
            <w:r w:rsidRPr="001D0666">
              <w:rPr>
                <w:color w:val="000000"/>
                <w:sz w:val="24"/>
                <w:szCs w:val="24"/>
              </w:rPr>
              <w:t xml:space="preserve">En todas las instancias se evaluará la lecto-comprensión en inglés a través de textos genuinos y actividades guiadas. </w:t>
            </w:r>
          </w:p>
          <w:p w14:paraId="20F01633" w14:textId="77777777" w:rsidR="00C64DEE" w:rsidRDefault="00C64DEE" w:rsidP="00C64DEE">
            <w:pPr>
              <w:pBdr>
                <w:top w:val="nil"/>
                <w:left w:val="nil"/>
                <w:bottom w:val="nil"/>
                <w:right w:val="nil"/>
                <w:between w:val="nil"/>
              </w:pBdr>
              <w:jc w:val="both"/>
              <w:rPr>
                <w:b/>
                <w:color w:val="000000"/>
              </w:rPr>
            </w:pPr>
            <w:r>
              <w:rPr>
                <w:b/>
                <w:color w:val="000000"/>
                <w:sz w:val="24"/>
                <w:szCs w:val="24"/>
              </w:rPr>
              <w:t xml:space="preserve">Acreditación del estudiante según Reglamento Académico: </w:t>
            </w:r>
          </w:p>
          <w:p w14:paraId="35905D1F" w14:textId="77777777" w:rsidR="00C64DEE" w:rsidRDefault="00C64DEE" w:rsidP="00C64DEE">
            <w:pPr>
              <w:pBdr>
                <w:top w:val="nil"/>
                <w:left w:val="nil"/>
                <w:bottom w:val="nil"/>
                <w:right w:val="nil"/>
                <w:between w:val="nil"/>
              </w:pBdr>
              <w:jc w:val="both"/>
              <w:rPr>
                <w:b/>
                <w:color w:val="1D2228"/>
                <w:sz w:val="24"/>
                <w:szCs w:val="24"/>
              </w:rPr>
            </w:pPr>
            <w:r>
              <w:rPr>
                <w:color w:val="000000"/>
                <w:sz w:val="24"/>
                <w:szCs w:val="24"/>
              </w:rPr>
              <w:t>El</w:t>
            </w:r>
            <w:r>
              <w:rPr>
                <w:color w:val="1D2228"/>
                <w:sz w:val="24"/>
                <w:szCs w:val="24"/>
              </w:rPr>
              <w:t xml:space="preserve"> régimen de aprobación podrá ser por</w:t>
            </w:r>
            <w:r w:rsidRPr="001D0666">
              <w:rPr>
                <w:b/>
                <w:color w:val="1D2228"/>
                <w:sz w:val="24"/>
                <w:szCs w:val="24"/>
              </w:rPr>
              <w:t>: promoción directa, evaluación integradora, examen final.</w:t>
            </w:r>
          </w:p>
          <w:p w14:paraId="7E5149BF" w14:textId="77777777" w:rsidR="009C2295" w:rsidRPr="001D0666" w:rsidRDefault="009C2295" w:rsidP="00C64DEE">
            <w:pPr>
              <w:pBdr>
                <w:top w:val="nil"/>
                <w:left w:val="nil"/>
                <w:bottom w:val="nil"/>
                <w:right w:val="nil"/>
                <w:between w:val="nil"/>
              </w:pBdr>
              <w:jc w:val="both"/>
              <w:rPr>
                <w:b/>
                <w:color w:val="1D2228"/>
              </w:rPr>
            </w:pPr>
          </w:p>
          <w:p w14:paraId="0F871C46" w14:textId="77777777" w:rsidR="00C64DEE" w:rsidRDefault="00C64DEE" w:rsidP="00C64DEE">
            <w:pPr>
              <w:pBdr>
                <w:top w:val="nil"/>
                <w:left w:val="nil"/>
                <w:bottom w:val="nil"/>
                <w:right w:val="nil"/>
                <w:between w:val="nil"/>
              </w:pBdr>
              <w:jc w:val="both"/>
              <w:rPr>
                <w:b/>
                <w:color w:val="000000"/>
              </w:rPr>
            </w:pPr>
            <w:r>
              <w:rPr>
                <w:b/>
                <w:color w:val="000000"/>
                <w:sz w:val="24"/>
                <w:szCs w:val="24"/>
              </w:rPr>
              <w:lastRenderedPageBreak/>
              <w:t>Promoción</w:t>
            </w:r>
          </w:p>
          <w:p w14:paraId="4D5474E2" w14:textId="77777777" w:rsidR="00C64DEE" w:rsidRDefault="00C64DEE" w:rsidP="00C64DEE">
            <w:pPr>
              <w:pBdr>
                <w:top w:val="nil"/>
                <w:left w:val="nil"/>
                <w:bottom w:val="nil"/>
                <w:right w:val="nil"/>
                <w:between w:val="nil"/>
              </w:pBdr>
              <w:jc w:val="both"/>
              <w:rPr>
                <w:color w:val="000000"/>
              </w:rPr>
            </w:pPr>
            <w:r>
              <w:rPr>
                <w:color w:val="000000"/>
                <w:sz w:val="24"/>
                <w:szCs w:val="24"/>
              </w:rPr>
              <w:t>El/la estudiante promociona si cumplió con la asistencia mínima del 75% y obtuvo una calificación de 7 (siete) o más puntos como promedio de todas las instancias de evaluación, debiendo obtener una nota igual o mayor a 6 (seis) puntos en cada parcial. Es decir que si, por ejemplo, obtuvo un 6 y un 7 podrá promocionar, pero si se obtuvo un 5 y un 8, por ejemplo, no podrá hacerlo. Todos los exámenes tienen una instancia de recuperación.</w:t>
            </w:r>
          </w:p>
          <w:p w14:paraId="3C14D892" w14:textId="77777777" w:rsidR="00C64DEE" w:rsidRDefault="00C64DEE" w:rsidP="00C64DEE">
            <w:pPr>
              <w:pBdr>
                <w:top w:val="nil"/>
                <w:left w:val="nil"/>
                <w:bottom w:val="nil"/>
                <w:right w:val="nil"/>
                <w:between w:val="nil"/>
              </w:pBdr>
              <w:jc w:val="both"/>
              <w:rPr>
                <w:b/>
                <w:color w:val="000000"/>
              </w:rPr>
            </w:pPr>
            <w:r>
              <w:rPr>
                <w:b/>
                <w:color w:val="000000"/>
                <w:sz w:val="24"/>
                <w:szCs w:val="24"/>
              </w:rPr>
              <w:t>Evaluación integradora</w:t>
            </w:r>
          </w:p>
          <w:p w14:paraId="06C5240C" w14:textId="77777777" w:rsidR="00C64DEE" w:rsidRDefault="00C64DEE" w:rsidP="00C64DEE">
            <w:pPr>
              <w:pBdr>
                <w:top w:val="nil"/>
                <w:left w:val="nil"/>
                <w:bottom w:val="nil"/>
                <w:right w:val="nil"/>
                <w:between w:val="nil"/>
              </w:pBdr>
              <w:jc w:val="both"/>
              <w:rPr>
                <w:color w:val="000000"/>
              </w:rPr>
            </w:pPr>
            <w:r>
              <w:rPr>
                <w:color w:val="000000"/>
                <w:sz w:val="24"/>
                <w:szCs w:val="24"/>
              </w:rPr>
              <w:t xml:space="preserve">Se trata de una instancia de evaluación previa y alternativa al examen final. Se tomará al final de la cursada para aquellos/as estudiantes que hayan cumplido con el requisito de asistencia mínima del 75% y que hubieran obtenido una calificación entre 4 (cuatro) y 6 (seis) puntos en promedio de las instancias parciales y como mínimo un 4 (cuatro) en cada parcial o recuperatorio. </w:t>
            </w:r>
          </w:p>
          <w:p w14:paraId="54048D04" w14:textId="77777777" w:rsidR="00C64DEE" w:rsidRDefault="00C64DEE" w:rsidP="00C64DEE">
            <w:pPr>
              <w:pBdr>
                <w:top w:val="nil"/>
                <w:left w:val="nil"/>
                <w:bottom w:val="nil"/>
                <w:right w:val="nil"/>
                <w:between w:val="nil"/>
              </w:pBdr>
              <w:jc w:val="both"/>
              <w:rPr>
                <w:b/>
                <w:color w:val="000000"/>
              </w:rPr>
            </w:pPr>
            <w:r>
              <w:rPr>
                <w:b/>
                <w:color w:val="000000"/>
                <w:sz w:val="24"/>
                <w:szCs w:val="24"/>
              </w:rPr>
              <w:t>Examen final</w:t>
            </w:r>
          </w:p>
          <w:p w14:paraId="4DA2B62F" w14:textId="77777777" w:rsidR="00605C63" w:rsidRDefault="00C64DEE" w:rsidP="00605C63">
            <w:pPr>
              <w:spacing w:before="60" w:after="60" w:line="360" w:lineRule="auto"/>
              <w:jc w:val="both"/>
              <w:rPr>
                <w:b/>
                <w:sz w:val="20"/>
                <w:szCs w:val="20"/>
              </w:rPr>
            </w:pPr>
            <w:r>
              <w:t>Los</w:t>
            </w:r>
            <w:r w:rsidR="006E6503">
              <w:t xml:space="preserve"> y las</w:t>
            </w:r>
            <w:r>
              <w:t xml:space="preserve"> estudiantes podrán inscribirse en 4(cuatro) oportunidades para rendir el examen final de la Materia que hayan regularizado, y por un período de 2 (dos) años   desde   que   haya   concluido   el curso.   En   caso   de   ausencia   o desaprobación en ambas instancias, el/la estudiante deberá recursar la materia o rendirla en modalidad de examen libre.</w:t>
            </w:r>
            <w:r w:rsidR="00605C63">
              <w:rPr>
                <w:b/>
                <w:sz w:val="20"/>
                <w:szCs w:val="20"/>
              </w:rPr>
              <w:t xml:space="preserve"> </w:t>
            </w:r>
          </w:p>
          <w:p w14:paraId="7633F9D8" w14:textId="77777777" w:rsidR="00605C63" w:rsidRDefault="00605C63" w:rsidP="00605C63">
            <w:pPr>
              <w:spacing w:before="60" w:after="60" w:line="360" w:lineRule="auto"/>
              <w:jc w:val="both"/>
              <w:rPr>
                <w:b/>
                <w:sz w:val="20"/>
                <w:szCs w:val="20"/>
              </w:rPr>
            </w:pPr>
          </w:p>
          <w:p w14:paraId="4304CC54" w14:textId="77777777" w:rsidR="00605C63" w:rsidRDefault="00605C63" w:rsidP="00605C63">
            <w:pPr>
              <w:spacing w:before="60" w:after="60" w:line="360" w:lineRule="auto"/>
              <w:jc w:val="both"/>
              <w:rPr>
                <w:b/>
                <w:sz w:val="20"/>
                <w:szCs w:val="20"/>
              </w:rPr>
            </w:pPr>
            <w:r>
              <w:rPr>
                <w:b/>
                <w:sz w:val="20"/>
                <w:szCs w:val="20"/>
              </w:rPr>
              <w:t>UNIDADES CURRICULARES CURSADAS EN EL CAMPUS VIRTUAL:</w:t>
            </w:r>
          </w:p>
          <w:p w14:paraId="2A1F8BE8" w14:textId="77777777" w:rsidR="00605C63" w:rsidRDefault="00605C63" w:rsidP="00605C63">
            <w:pPr>
              <w:spacing w:before="60" w:after="60" w:line="360" w:lineRule="auto"/>
              <w:jc w:val="both"/>
            </w:pPr>
            <w:r>
              <w:t xml:space="preserve">Las Unidades Curriculares cursadas a través del Campus Virtual serán regularizadas por los/as estudiantes cuando cumplan, </w:t>
            </w:r>
            <w:proofErr w:type="gramStart"/>
            <w:r>
              <w:t>de acuerdo al</w:t>
            </w:r>
            <w:proofErr w:type="gramEnd"/>
            <w:r>
              <w:t xml:space="preserve"> Art. 6 de la Res. C.S. 169/20, con:</w:t>
            </w:r>
          </w:p>
          <w:p w14:paraId="17471182" w14:textId="77777777" w:rsidR="00605C63" w:rsidRDefault="00605C63" w:rsidP="00605C63">
            <w:pPr>
              <w:spacing w:before="60" w:after="60" w:line="360" w:lineRule="auto"/>
              <w:jc w:val="both"/>
            </w:pPr>
            <w:r>
              <w:t>1) La presentación de 1 (una) actividad individual que deberá ser identificada previamente por</w:t>
            </w:r>
          </w:p>
          <w:p w14:paraId="1C7773FB" w14:textId="77777777" w:rsidR="00605C63" w:rsidRDefault="00605C63" w:rsidP="00605C63">
            <w:pPr>
              <w:spacing w:before="60" w:after="60" w:line="360" w:lineRule="auto"/>
              <w:jc w:val="both"/>
            </w:pPr>
            <w:r>
              <w:t>La docente como de presentación de carácter obligatorio. El/la docente deberá realizar una</w:t>
            </w:r>
          </w:p>
          <w:p w14:paraId="2DA9302A" w14:textId="77777777" w:rsidR="00605C63" w:rsidRDefault="00605C63" w:rsidP="00605C63">
            <w:pPr>
              <w:spacing w:before="60" w:after="60" w:line="360" w:lineRule="auto"/>
              <w:jc w:val="both"/>
            </w:pPr>
            <w:r>
              <w:t>devolución sobre la actividad presentada (individual o colectivamente) con el objetivo de</w:t>
            </w:r>
          </w:p>
          <w:p w14:paraId="4EA975C7" w14:textId="77777777" w:rsidR="00605C63" w:rsidRDefault="00605C63" w:rsidP="00605C63">
            <w:pPr>
              <w:spacing w:before="60" w:after="60" w:line="360" w:lineRule="auto"/>
              <w:jc w:val="both"/>
            </w:pPr>
            <w:r>
              <w:t>orientar los procesos de aprendizaje de los/as estudiantes.</w:t>
            </w:r>
          </w:p>
          <w:p w14:paraId="561827D0" w14:textId="77777777" w:rsidR="00605C63" w:rsidRDefault="00605C63" w:rsidP="00605C63">
            <w:pPr>
              <w:spacing w:before="60" w:after="60" w:line="360" w:lineRule="auto"/>
              <w:jc w:val="both"/>
            </w:pPr>
            <w:r>
              <w:t>2) La aprobación de 1 (una) instancia evaluativa parcial o su recuperatorio con una calificación</w:t>
            </w:r>
          </w:p>
          <w:p w14:paraId="77BC2C34" w14:textId="77777777" w:rsidR="00605C63" w:rsidRDefault="00605C63" w:rsidP="00605C63">
            <w:pPr>
              <w:spacing w:before="60" w:after="60" w:line="360" w:lineRule="auto"/>
              <w:jc w:val="both"/>
            </w:pPr>
            <w:r>
              <w:t>de 4 (cuatro) puntos o superior</w:t>
            </w:r>
            <w:r w:rsidR="006E6503">
              <w:t>.</w:t>
            </w:r>
          </w:p>
          <w:p w14:paraId="08F8B856" w14:textId="77777777" w:rsidR="00605C63" w:rsidRDefault="00605C63" w:rsidP="00605C63">
            <w:pPr>
              <w:spacing w:before="60" w:after="60" w:line="360" w:lineRule="auto"/>
              <w:jc w:val="both"/>
            </w:pPr>
          </w:p>
          <w:p w14:paraId="48C46F04" w14:textId="77777777" w:rsidR="009C2295" w:rsidRDefault="009C2295" w:rsidP="00605C63">
            <w:pPr>
              <w:spacing w:before="60" w:after="60" w:line="360" w:lineRule="auto"/>
              <w:jc w:val="both"/>
            </w:pPr>
          </w:p>
          <w:p w14:paraId="32E3DA00" w14:textId="77777777" w:rsidR="009C2295" w:rsidRDefault="009C2295" w:rsidP="00605C63">
            <w:pPr>
              <w:spacing w:before="60" w:after="60" w:line="360" w:lineRule="auto"/>
              <w:jc w:val="both"/>
            </w:pPr>
          </w:p>
          <w:p w14:paraId="6A2EFAE7" w14:textId="77777777" w:rsidR="009C2295" w:rsidRDefault="009C2295" w:rsidP="00605C63">
            <w:pPr>
              <w:spacing w:before="60" w:after="60" w:line="360" w:lineRule="auto"/>
              <w:jc w:val="both"/>
            </w:pPr>
          </w:p>
          <w:p w14:paraId="275C6602" w14:textId="77777777" w:rsidR="00605C63" w:rsidRDefault="00605C63" w:rsidP="00605C63">
            <w:pPr>
              <w:spacing w:before="60" w:after="60" w:line="360" w:lineRule="auto"/>
              <w:jc w:val="both"/>
            </w:pPr>
            <w:r>
              <w:lastRenderedPageBreak/>
              <w:t>APROBACIÓN DE UNIDADES CURRICULARES REGULARIZADAS EN EL PRIMER SEMESTRE 2020</w:t>
            </w:r>
          </w:p>
          <w:p w14:paraId="1EC21865" w14:textId="77777777" w:rsidR="00605C63" w:rsidRDefault="00605C63" w:rsidP="00605C63">
            <w:pPr>
              <w:spacing w:before="60" w:after="60" w:line="360" w:lineRule="auto"/>
              <w:jc w:val="both"/>
            </w:pPr>
            <w:r>
              <w:t xml:space="preserve">Los/as estudiantes que mantengan la condición regular de una UC que integre la oferta académica del primer semestre podrán aprobarla únicamente mediante aprobación de examen integrador o mediante aprobación de examen final, </w:t>
            </w:r>
            <w:proofErr w:type="gramStart"/>
            <w:r>
              <w:t>de acuerdo al</w:t>
            </w:r>
            <w:proofErr w:type="gramEnd"/>
            <w:r>
              <w:t xml:space="preserve"> Art. 8 (Res. C.S. 169/20). </w:t>
            </w:r>
          </w:p>
          <w:p w14:paraId="172EA0FA" w14:textId="23FE83D9" w:rsidR="00C64DEE" w:rsidRDefault="00605C63" w:rsidP="00605C63">
            <w:pPr>
              <w:spacing w:before="60" w:after="60" w:line="360" w:lineRule="auto"/>
              <w:jc w:val="both"/>
            </w:pPr>
            <w:r>
              <w:t xml:space="preserve">El examen integrador se desarrollará con la modalidad “a distancia”, según Art. 9 (Res. C. S. 169/20). Estará a cargo del docente responsable de la UC quién podrá definir la modalidad (oral, escrita o defensa monográfica). Se evaluarán los contenidos desarrollados durante la cursada, conforme al programa. La evaluación se realizará en el mismo día y horario en que se desarrolló la cursada de la comisión </w:t>
            </w:r>
            <w:proofErr w:type="gramStart"/>
            <w:r>
              <w:t>de acuerdo al</w:t>
            </w:r>
            <w:proofErr w:type="gramEnd"/>
            <w:r>
              <w:t xml:space="preserve"> Art 37 del </w:t>
            </w:r>
            <w:r w:rsidR="00040713">
              <w:t>Régimen</w:t>
            </w:r>
            <w:r>
              <w:t xml:space="preserve"> de estudios Res. C. S.  150/18.</w:t>
            </w:r>
          </w:p>
          <w:p w14:paraId="72E258D4" w14:textId="77777777" w:rsidR="00605C63" w:rsidRDefault="00605C63" w:rsidP="00C64DEE">
            <w:pPr>
              <w:spacing w:before="60" w:after="60" w:line="360" w:lineRule="auto"/>
              <w:jc w:val="both"/>
              <w:rPr>
                <w:b/>
                <w:sz w:val="20"/>
                <w:szCs w:val="20"/>
              </w:rPr>
            </w:pPr>
          </w:p>
          <w:p w14:paraId="7076BE30" w14:textId="77777777" w:rsidR="00C64DEE" w:rsidRDefault="00C64DEE" w:rsidP="00C64DEE">
            <w:pPr>
              <w:spacing w:before="60" w:after="60" w:line="360" w:lineRule="auto"/>
              <w:jc w:val="both"/>
              <w:rPr>
                <w:b/>
                <w:sz w:val="20"/>
                <w:szCs w:val="20"/>
              </w:rPr>
            </w:pPr>
          </w:p>
          <w:p w14:paraId="166B3D56" w14:textId="77777777" w:rsidR="00C64DEE" w:rsidRDefault="00C64DEE" w:rsidP="00C64DEE">
            <w:pPr>
              <w:spacing w:before="60" w:after="60" w:line="360" w:lineRule="auto"/>
              <w:jc w:val="both"/>
              <w:rPr>
                <w:b/>
                <w:sz w:val="20"/>
                <w:szCs w:val="20"/>
              </w:rPr>
            </w:pPr>
          </w:p>
          <w:p w14:paraId="2B1CD67F" w14:textId="77777777" w:rsidR="00C64DEE" w:rsidRDefault="00C64DEE" w:rsidP="00C64DEE">
            <w:pPr>
              <w:spacing w:before="60" w:after="60" w:line="360" w:lineRule="auto"/>
              <w:jc w:val="both"/>
            </w:pPr>
          </w:p>
          <w:p w14:paraId="0C5DA034" w14:textId="77777777" w:rsidR="00132528" w:rsidRDefault="00132528" w:rsidP="00C64DEE">
            <w:pPr>
              <w:spacing w:before="120" w:after="120" w:line="240" w:lineRule="auto"/>
              <w:jc w:val="both"/>
              <w:rPr>
                <w:b/>
              </w:rPr>
            </w:pPr>
          </w:p>
          <w:p w14:paraId="7ED7AB1A" w14:textId="77777777" w:rsidR="00132528" w:rsidRDefault="00132528">
            <w:pPr>
              <w:spacing w:before="120" w:after="120" w:line="240" w:lineRule="auto"/>
              <w:jc w:val="both"/>
              <w:rPr>
                <w:b/>
              </w:rPr>
            </w:pPr>
          </w:p>
          <w:p w14:paraId="32CBF7D6" w14:textId="77777777" w:rsidR="00132528" w:rsidRDefault="00132528">
            <w:pPr>
              <w:spacing w:before="120" w:after="120" w:line="240" w:lineRule="auto"/>
              <w:jc w:val="both"/>
              <w:rPr>
                <w:b/>
              </w:rPr>
            </w:pPr>
          </w:p>
          <w:p w14:paraId="55EF9C17" w14:textId="77777777" w:rsidR="00132528" w:rsidRDefault="00132528">
            <w:pPr>
              <w:spacing w:before="120" w:after="120" w:line="240" w:lineRule="auto"/>
              <w:jc w:val="both"/>
            </w:pPr>
          </w:p>
        </w:tc>
      </w:tr>
    </w:tbl>
    <w:p w14:paraId="20A3702C" w14:textId="77777777" w:rsidR="00132528" w:rsidRDefault="00132528">
      <w:pPr>
        <w:pBdr>
          <w:top w:val="nil"/>
          <w:left w:val="nil"/>
          <w:bottom w:val="nil"/>
          <w:right w:val="nil"/>
          <w:between w:val="nil"/>
        </w:pBdr>
      </w:pPr>
    </w:p>
    <w:tbl>
      <w:tblPr>
        <w:tblStyle w:val="aff0"/>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132528" w14:paraId="2A2B79AF" w14:textId="77777777">
        <w:tc>
          <w:tcPr>
            <w:tcW w:w="9242" w:type="dxa"/>
            <w:tcBorders>
              <w:left w:val="single" w:sz="12" w:space="0" w:color="000000"/>
              <w:bottom w:val="single" w:sz="12" w:space="0" w:color="000000"/>
              <w:right w:val="single" w:sz="12" w:space="0" w:color="000000"/>
            </w:tcBorders>
            <w:shd w:val="clear" w:color="auto" w:fill="EBF1DD"/>
          </w:tcPr>
          <w:p w14:paraId="39130820" w14:textId="77777777" w:rsidR="00132528" w:rsidRDefault="000E71CE">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132528" w14:paraId="504F946F" w14:textId="77777777">
        <w:tc>
          <w:tcPr>
            <w:tcW w:w="9242" w:type="dxa"/>
            <w:tcBorders>
              <w:top w:val="single" w:sz="12" w:space="0" w:color="000000"/>
              <w:left w:val="single" w:sz="12" w:space="0" w:color="000000"/>
              <w:bottom w:val="single" w:sz="12" w:space="0" w:color="000000"/>
              <w:right w:val="single" w:sz="12" w:space="0" w:color="000000"/>
            </w:tcBorders>
          </w:tcPr>
          <w:p w14:paraId="60E8020B" w14:textId="77777777" w:rsidR="00132528" w:rsidRDefault="000E71CE">
            <w:pPr>
              <w:spacing w:before="60" w:after="60" w:line="360" w:lineRule="auto"/>
              <w:jc w:val="both"/>
            </w:pPr>
            <w:r>
              <w:t>     </w:t>
            </w:r>
          </w:p>
          <w:p w14:paraId="3FA3472C" w14:textId="77777777" w:rsidR="00132528" w:rsidRDefault="00132528">
            <w:pPr>
              <w:spacing w:before="60" w:after="60" w:line="360" w:lineRule="auto"/>
              <w:jc w:val="both"/>
            </w:pPr>
          </w:p>
          <w:p w14:paraId="75EE4164" w14:textId="77777777" w:rsidR="00132528" w:rsidRDefault="00132528">
            <w:pPr>
              <w:spacing w:before="60" w:after="60" w:line="360" w:lineRule="auto"/>
              <w:jc w:val="both"/>
            </w:pPr>
          </w:p>
        </w:tc>
      </w:tr>
    </w:tbl>
    <w:p w14:paraId="17FE50F3" w14:textId="77777777" w:rsidR="00132528" w:rsidRDefault="00132528">
      <w:pPr>
        <w:pBdr>
          <w:top w:val="nil"/>
          <w:left w:val="nil"/>
          <w:bottom w:val="nil"/>
          <w:right w:val="nil"/>
          <w:between w:val="nil"/>
        </w:pBdr>
      </w:pPr>
    </w:p>
    <w:p w14:paraId="12743FF7" w14:textId="77777777" w:rsidR="006830C1" w:rsidRDefault="006830C1">
      <w:pPr>
        <w:pBdr>
          <w:top w:val="nil"/>
          <w:left w:val="nil"/>
          <w:bottom w:val="nil"/>
          <w:right w:val="nil"/>
          <w:between w:val="nil"/>
        </w:pBdr>
      </w:pPr>
    </w:p>
    <w:p w14:paraId="10C6975D" w14:textId="77777777" w:rsidR="006830C1" w:rsidRDefault="006830C1">
      <w:pPr>
        <w:pBdr>
          <w:top w:val="nil"/>
          <w:left w:val="nil"/>
          <w:bottom w:val="nil"/>
          <w:right w:val="nil"/>
          <w:between w:val="nil"/>
        </w:pBdr>
      </w:pPr>
    </w:p>
    <w:p w14:paraId="2DA979D7" w14:textId="77777777" w:rsidR="006830C1" w:rsidRDefault="006830C1">
      <w:pPr>
        <w:pBdr>
          <w:top w:val="nil"/>
          <w:left w:val="nil"/>
          <w:bottom w:val="nil"/>
          <w:right w:val="nil"/>
          <w:between w:val="nil"/>
        </w:pBdr>
      </w:pPr>
    </w:p>
    <w:p w14:paraId="59B409A4" w14:textId="77777777" w:rsidR="006830C1" w:rsidRDefault="006830C1">
      <w:pPr>
        <w:pBdr>
          <w:top w:val="nil"/>
          <w:left w:val="nil"/>
          <w:bottom w:val="nil"/>
          <w:right w:val="nil"/>
          <w:between w:val="nil"/>
        </w:pBdr>
      </w:pPr>
    </w:p>
    <w:p w14:paraId="6AE2BEEE" w14:textId="77777777" w:rsidR="006830C1" w:rsidRDefault="006830C1">
      <w:pPr>
        <w:pBdr>
          <w:top w:val="nil"/>
          <w:left w:val="nil"/>
          <w:bottom w:val="nil"/>
          <w:right w:val="nil"/>
          <w:between w:val="nil"/>
        </w:pBdr>
      </w:pPr>
    </w:p>
    <w:p w14:paraId="17C38EF3" w14:textId="77777777" w:rsidR="006830C1" w:rsidRDefault="006830C1">
      <w:pPr>
        <w:pBdr>
          <w:top w:val="nil"/>
          <w:left w:val="nil"/>
          <w:bottom w:val="nil"/>
          <w:right w:val="nil"/>
          <w:between w:val="nil"/>
        </w:pBdr>
      </w:pPr>
    </w:p>
    <w:tbl>
      <w:tblPr>
        <w:tblStyle w:val="aff1"/>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132528" w14:paraId="40FA816C" w14:textId="77777777">
        <w:tc>
          <w:tcPr>
            <w:tcW w:w="9210" w:type="dxa"/>
            <w:gridSpan w:val="2"/>
            <w:tcBorders>
              <w:left w:val="single" w:sz="12" w:space="0" w:color="000000"/>
              <w:right w:val="single" w:sz="12" w:space="0" w:color="000000"/>
            </w:tcBorders>
            <w:shd w:val="clear" w:color="auto" w:fill="EBF1DD"/>
          </w:tcPr>
          <w:p w14:paraId="444FB5B4" w14:textId="77777777" w:rsidR="00132528" w:rsidRDefault="000E71CE">
            <w:pPr>
              <w:widowControl w:val="0"/>
              <w:numPr>
                <w:ilvl w:val="0"/>
                <w:numId w:val="1"/>
              </w:numPr>
              <w:spacing w:before="200" w:line="240" w:lineRule="auto"/>
              <w:ind w:left="392"/>
              <w:rPr>
                <w:b/>
              </w:rPr>
            </w:pPr>
            <w:bookmarkStart w:id="1" w:name="_heading=h.30j0zll" w:colFirst="0" w:colLast="0"/>
            <w:bookmarkEnd w:id="1"/>
            <w:r>
              <w:rPr>
                <w:b/>
              </w:rPr>
              <w:lastRenderedPageBreak/>
              <w:t xml:space="preserve">Cronograma de actividades </w:t>
            </w:r>
          </w:p>
        </w:tc>
      </w:tr>
      <w:tr w:rsidR="001D0666" w14:paraId="13AE95DC"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6543ED90" w14:textId="77777777" w:rsidR="001D0666" w:rsidRDefault="001D0666" w:rsidP="001D0666">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79FDABA3" w14:textId="77777777" w:rsidR="001D0666" w:rsidRDefault="001D0666" w:rsidP="001D0666">
            <w:pPr>
              <w:spacing w:line="360" w:lineRule="auto"/>
            </w:pPr>
            <w:r>
              <w:t>Clase 1: Presentación. Introducción a la materia. Revisión de contenidos y conocimientos de Inglés I. Vocabulario especifico de IT.</w:t>
            </w:r>
          </w:p>
        </w:tc>
      </w:tr>
      <w:tr w:rsidR="001D0666" w14:paraId="64507521" w14:textId="77777777">
        <w:trPr>
          <w:trHeight w:val="20"/>
        </w:trPr>
        <w:tc>
          <w:tcPr>
            <w:tcW w:w="1590" w:type="dxa"/>
            <w:tcBorders>
              <w:left w:val="single" w:sz="12" w:space="0" w:color="000000"/>
              <w:right w:val="single" w:sz="12" w:space="0" w:color="000000"/>
            </w:tcBorders>
            <w:shd w:val="clear" w:color="auto" w:fill="EBF1DD"/>
          </w:tcPr>
          <w:p w14:paraId="2BB7E653" w14:textId="77777777" w:rsidR="001D0666" w:rsidRDefault="001D0666" w:rsidP="001D0666">
            <w:pPr>
              <w:spacing w:line="360" w:lineRule="auto"/>
              <w:jc w:val="both"/>
            </w:pPr>
            <w:r>
              <w:t>Semana 2</w:t>
            </w:r>
          </w:p>
        </w:tc>
        <w:tc>
          <w:tcPr>
            <w:tcW w:w="7620" w:type="dxa"/>
            <w:tcBorders>
              <w:left w:val="single" w:sz="12" w:space="0" w:color="000000"/>
              <w:right w:val="single" w:sz="12" w:space="0" w:color="000000"/>
            </w:tcBorders>
          </w:tcPr>
          <w:p w14:paraId="490BC9FB" w14:textId="77777777" w:rsidR="001D0666" w:rsidRDefault="001D0666" w:rsidP="001D0666">
            <w:pPr>
              <w:spacing w:before="120" w:after="120" w:line="240" w:lineRule="auto"/>
            </w:pPr>
            <w:r>
              <w:t>Clase 2: El texto expositivo. Categorías gramaticales. Cognados y paratexto. Prestamos lingüísticos. Revisión de estrategias de lecto-comprensión. Definiciones</w:t>
            </w:r>
          </w:p>
        </w:tc>
      </w:tr>
      <w:tr w:rsidR="001D0666" w14:paraId="7E298522" w14:textId="77777777">
        <w:trPr>
          <w:trHeight w:val="20"/>
        </w:trPr>
        <w:tc>
          <w:tcPr>
            <w:tcW w:w="1590" w:type="dxa"/>
            <w:tcBorders>
              <w:left w:val="single" w:sz="12" w:space="0" w:color="000000"/>
              <w:right w:val="single" w:sz="12" w:space="0" w:color="000000"/>
            </w:tcBorders>
            <w:shd w:val="clear" w:color="auto" w:fill="EBF1DD"/>
          </w:tcPr>
          <w:p w14:paraId="7DAA4FBF" w14:textId="77777777" w:rsidR="001D0666" w:rsidRDefault="001D0666" w:rsidP="001D0666">
            <w:pPr>
              <w:spacing w:line="360" w:lineRule="auto"/>
              <w:jc w:val="both"/>
            </w:pPr>
            <w:r>
              <w:t>Semana 3</w:t>
            </w:r>
          </w:p>
        </w:tc>
        <w:tc>
          <w:tcPr>
            <w:tcW w:w="7620" w:type="dxa"/>
            <w:tcBorders>
              <w:left w:val="single" w:sz="12" w:space="0" w:color="000000"/>
              <w:right w:val="single" w:sz="12" w:space="0" w:color="000000"/>
            </w:tcBorders>
          </w:tcPr>
          <w:p w14:paraId="09C24DA6" w14:textId="77777777" w:rsidR="001D0666" w:rsidRDefault="001D0666" w:rsidP="001D0666">
            <w:pPr>
              <w:spacing w:line="360" w:lineRule="auto"/>
            </w:pPr>
            <w:r>
              <w:t>Clase 3: Conectores. El texto instructivo. Modo imperativo. Bloques nominales.</w:t>
            </w:r>
          </w:p>
        </w:tc>
      </w:tr>
      <w:tr w:rsidR="001D0666" w14:paraId="5B6946D3" w14:textId="77777777">
        <w:trPr>
          <w:trHeight w:val="20"/>
        </w:trPr>
        <w:tc>
          <w:tcPr>
            <w:tcW w:w="1590" w:type="dxa"/>
            <w:tcBorders>
              <w:left w:val="single" w:sz="12" w:space="0" w:color="000000"/>
              <w:right w:val="single" w:sz="12" w:space="0" w:color="000000"/>
            </w:tcBorders>
            <w:shd w:val="clear" w:color="auto" w:fill="EBF1DD"/>
          </w:tcPr>
          <w:p w14:paraId="19E57386" w14:textId="77777777" w:rsidR="001D0666" w:rsidRDefault="001D0666" w:rsidP="001D0666">
            <w:pPr>
              <w:spacing w:line="360" w:lineRule="auto"/>
              <w:jc w:val="both"/>
            </w:pPr>
            <w:r>
              <w:t>Semana 4</w:t>
            </w:r>
          </w:p>
        </w:tc>
        <w:tc>
          <w:tcPr>
            <w:tcW w:w="7620" w:type="dxa"/>
            <w:tcBorders>
              <w:left w:val="single" w:sz="12" w:space="0" w:color="000000"/>
              <w:right w:val="single" w:sz="12" w:space="0" w:color="000000"/>
            </w:tcBorders>
          </w:tcPr>
          <w:p w14:paraId="128D8D0F" w14:textId="77777777" w:rsidR="001D0666" w:rsidRDefault="001D0666" w:rsidP="001D0666">
            <w:pPr>
              <w:spacing w:before="120" w:after="120" w:line="240" w:lineRule="auto"/>
            </w:pPr>
            <w:r>
              <w:t>Clase 4: El texto instructivo. Modo imperativo. Bloques n</w:t>
            </w:r>
            <w:r w:rsidR="009C2295">
              <w:t xml:space="preserve">ominales. Tiempos Presentes. </w:t>
            </w:r>
          </w:p>
        </w:tc>
      </w:tr>
      <w:tr w:rsidR="001D0666" w14:paraId="39E7B806" w14:textId="77777777">
        <w:trPr>
          <w:trHeight w:val="20"/>
        </w:trPr>
        <w:tc>
          <w:tcPr>
            <w:tcW w:w="1590" w:type="dxa"/>
            <w:tcBorders>
              <w:left w:val="single" w:sz="12" w:space="0" w:color="000000"/>
              <w:right w:val="single" w:sz="12" w:space="0" w:color="000000"/>
            </w:tcBorders>
            <w:shd w:val="clear" w:color="auto" w:fill="EBF1DD"/>
          </w:tcPr>
          <w:p w14:paraId="70CEE657" w14:textId="77777777" w:rsidR="001D0666" w:rsidRDefault="001D0666" w:rsidP="001D0666">
            <w:pPr>
              <w:spacing w:line="360" w:lineRule="auto"/>
              <w:jc w:val="both"/>
            </w:pPr>
            <w:r>
              <w:t>Semana 5</w:t>
            </w:r>
          </w:p>
        </w:tc>
        <w:tc>
          <w:tcPr>
            <w:tcW w:w="7620" w:type="dxa"/>
            <w:tcBorders>
              <w:left w:val="single" w:sz="12" w:space="0" w:color="000000"/>
              <w:right w:val="single" w:sz="12" w:space="0" w:color="000000"/>
            </w:tcBorders>
          </w:tcPr>
          <w:p w14:paraId="4C6781B4" w14:textId="77777777" w:rsidR="001D0666" w:rsidRDefault="001D0666" w:rsidP="001D0666">
            <w:pPr>
              <w:spacing w:before="120" w:after="120" w:line="240" w:lineRule="auto"/>
            </w:pPr>
            <w:r>
              <w:t xml:space="preserve">Clase 5: El </w:t>
            </w:r>
            <w:proofErr w:type="spellStart"/>
            <w:proofErr w:type="gramStart"/>
            <w:r>
              <w:t>abstract</w:t>
            </w:r>
            <w:proofErr w:type="spellEnd"/>
            <w:proofErr w:type="gramEnd"/>
            <w:r>
              <w:t>.  Vocabulario especifico. La voz pasiv</w:t>
            </w:r>
            <w:r w:rsidR="009C2295">
              <w:t>a. Bloques nominales. Propósito del texto.</w:t>
            </w:r>
          </w:p>
        </w:tc>
      </w:tr>
      <w:tr w:rsidR="001D0666" w14:paraId="550359D7" w14:textId="77777777">
        <w:trPr>
          <w:trHeight w:val="20"/>
        </w:trPr>
        <w:tc>
          <w:tcPr>
            <w:tcW w:w="1590" w:type="dxa"/>
            <w:tcBorders>
              <w:left w:val="single" w:sz="12" w:space="0" w:color="000000"/>
              <w:right w:val="single" w:sz="12" w:space="0" w:color="000000"/>
            </w:tcBorders>
            <w:shd w:val="clear" w:color="auto" w:fill="EBF1DD"/>
          </w:tcPr>
          <w:p w14:paraId="098B8BA9" w14:textId="77777777" w:rsidR="001D0666" w:rsidRDefault="001D0666" w:rsidP="001D0666">
            <w:pPr>
              <w:spacing w:line="360" w:lineRule="auto"/>
              <w:jc w:val="both"/>
            </w:pPr>
            <w:r>
              <w:t>Semana 6</w:t>
            </w:r>
          </w:p>
        </w:tc>
        <w:tc>
          <w:tcPr>
            <w:tcW w:w="7620" w:type="dxa"/>
            <w:tcBorders>
              <w:left w:val="single" w:sz="12" w:space="0" w:color="000000"/>
              <w:right w:val="single" w:sz="12" w:space="0" w:color="000000"/>
            </w:tcBorders>
          </w:tcPr>
          <w:p w14:paraId="49797ED4" w14:textId="77777777" w:rsidR="001D0666" w:rsidRDefault="001D0666" w:rsidP="001D0666">
            <w:pPr>
              <w:spacing w:line="360" w:lineRule="auto"/>
            </w:pPr>
            <w:r>
              <w:t>Clase 6: TRABAJO PRÁCTICO OBLIGATORIO CON NO</w:t>
            </w:r>
            <w:r w:rsidR="006E6503">
              <w:t>TA (VIRTUAL)</w:t>
            </w:r>
          </w:p>
        </w:tc>
      </w:tr>
      <w:tr w:rsidR="001D0666" w14:paraId="25B83E39" w14:textId="77777777">
        <w:trPr>
          <w:trHeight w:val="20"/>
        </w:trPr>
        <w:tc>
          <w:tcPr>
            <w:tcW w:w="1590" w:type="dxa"/>
            <w:tcBorders>
              <w:left w:val="single" w:sz="12" w:space="0" w:color="000000"/>
              <w:right w:val="single" w:sz="12" w:space="0" w:color="000000"/>
            </w:tcBorders>
            <w:shd w:val="clear" w:color="auto" w:fill="EBF1DD"/>
          </w:tcPr>
          <w:p w14:paraId="7C9A6A3D" w14:textId="77777777" w:rsidR="001D0666" w:rsidRDefault="001D0666" w:rsidP="001D0666">
            <w:pPr>
              <w:spacing w:line="360" w:lineRule="auto"/>
              <w:jc w:val="both"/>
            </w:pPr>
            <w:r>
              <w:t>Semana 7</w:t>
            </w:r>
          </w:p>
        </w:tc>
        <w:tc>
          <w:tcPr>
            <w:tcW w:w="7620" w:type="dxa"/>
            <w:tcBorders>
              <w:left w:val="single" w:sz="12" w:space="0" w:color="000000"/>
              <w:right w:val="single" w:sz="12" w:space="0" w:color="000000"/>
            </w:tcBorders>
          </w:tcPr>
          <w:p w14:paraId="4AEA9DE5" w14:textId="77777777" w:rsidR="001D0666" w:rsidRDefault="009C2295" w:rsidP="001D0666">
            <w:pPr>
              <w:spacing w:line="360" w:lineRule="auto"/>
            </w:pPr>
            <w:r>
              <w:t>Clase 7: E</w:t>
            </w:r>
            <w:r w:rsidR="001D0666">
              <w:t xml:space="preserve">l </w:t>
            </w:r>
            <w:proofErr w:type="spellStart"/>
            <w:proofErr w:type="gramStart"/>
            <w:r w:rsidR="001D0666">
              <w:t>abstract</w:t>
            </w:r>
            <w:proofErr w:type="spellEnd"/>
            <w:proofErr w:type="gramEnd"/>
            <w:r w:rsidR="001D0666">
              <w:t>. Verbos. Conectores.</w:t>
            </w:r>
          </w:p>
        </w:tc>
      </w:tr>
      <w:tr w:rsidR="001D0666" w14:paraId="7E8F1B54" w14:textId="77777777">
        <w:trPr>
          <w:trHeight w:val="20"/>
        </w:trPr>
        <w:tc>
          <w:tcPr>
            <w:tcW w:w="1590" w:type="dxa"/>
            <w:tcBorders>
              <w:left w:val="single" w:sz="12" w:space="0" w:color="000000"/>
              <w:right w:val="single" w:sz="12" w:space="0" w:color="000000"/>
            </w:tcBorders>
            <w:shd w:val="clear" w:color="auto" w:fill="EBF1DD"/>
          </w:tcPr>
          <w:p w14:paraId="2837D6FE" w14:textId="77777777" w:rsidR="001D0666" w:rsidRDefault="001D0666" w:rsidP="001D0666">
            <w:pPr>
              <w:spacing w:line="360" w:lineRule="auto"/>
              <w:jc w:val="both"/>
            </w:pPr>
            <w:r>
              <w:t>Semana 8</w:t>
            </w:r>
          </w:p>
        </w:tc>
        <w:tc>
          <w:tcPr>
            <w:tcW w:w="7620" w:type="dxa"/>
            <w:tcBorders>
              <w:left w:val="single" w:sz="12" w:space="0" w:color="000000"/>
              <w:right w:val="single" w:sz="12" w:space="0" w:color="000000"/>
            </w:tcBorders>
          </w:tcPr>
          <w:p w14:paraId="013F904A" w14:textId="77777777" w:rsidR="001D0666" w:rsidRDefault="009C2295" w:rsidP="001D0666">
            <w:pPr>
              <w:spacing w:before="120" w:after="120" w:line="240" w:lineRule="auto"/>
            </w:pPr>
            <w:r>
              <w:t>Clase 8: E</w:t>
            </w:r>
            <w:r w:rsidR="001D0666">
              <w:t>l texto explicativo de Programación.  Vocabulario especifico. Tiempos continuos</w:t>
            </w:r>
            <w:r>
              <w:t>.</w:t>
            </w:r>
          </w:p>
        </w:tc>
      </w:tr>
      <w:tr w:rsidR="001D0666" w14:paraId="52023DFD" w14:textId="77777777">
        <w:trPr>
          <w:trHeight w:val="20"/>
        </w:trPr>
        <w:tc>
          <w:tcPr>
            <w:tcW w:w="1590" w:type="dxa"/>
            <w:tcBorders>
              <w:left w:val="single" w:sz="12" w:space="0" w:color="000000"/>
              <w:right w:val="single" w:sz="12" w:space="0" w:color="000000"/>
            </w:tcBorders>
            <w:shd w:val="clear" w:color="auto" w:fill="EBF1DD"/>
          </w:tcPr>
          <w:p w14:paraId="53186B6A" w14:textId="77777777" w:rsidR="001D0666" w:rsidRDefault="001D0666" w:rsidP="001D0666">
            <w:pPr>
              <w:spacing w:line="360" w:lineRule="auto"/>
              <w:jc w:val="both"/>
            </w:pPr>
            <w:r>
              <w:t>Semana 9</w:t>
            </w:r>
          </w:p>
        </w:tc>
        <w:tc>
          <w:tcPr>
            <w:tcW w:w="7620" w:type="dxa"/>
            <w:tcBorders>
              <w:left w:val="single" w:sz="12" w:space="0" w:color="000000"/>
              <w:right w:val="single" w:sz="12" w:space="0" w:color="000000"/>
            </w:tcBorders>
          </w:tcPr>
          <w:p w14:paraId="6ADD974C" w14:textId="77777777" w:rsidR="001D0666" w:rsidRDefault="001D0666" w:rsidP="006E6503">
            <w:pPr>
              <w:spacing w:before="120" w:after="120" w:line="240" w:lineRule="auto"/>
            </w:pPr>
            <w:r>
              <w:t xml:space="preserve">Clase 9: </w:t>
            </w:r>
            <w:r w:rsidR="006E6503">
              <w:t>PRIMER PARCIAL OBLIGATORIO (PRESENCIAL)</w:t>
            </w:r>
          </w:p>
        </w:tc>
      </w:tr>
      <w:tr w:rsidR="001D0666" w14:paraId="1273836F" w14:textId="77777777">
        <w:trPr>
          <w:trHeight w:val="20"/>
        </w:trPr>
        <w:tc>
          <w:tcPr>
            <w:tcW w:w="1590" w:type="dxa"/>
            <w:tcBorders>
              <w:left w:val="single" w:sz="12" w:space="0" w:color="000000"/>
              <w:right w:val="single" w:sz="12" w:space="0" w:color="000000"/>
            </w:tcBorders>
            <w:shd w:val="clear" w:color="auto" w:fill="EBF1DD"/>
          </w:tcPr>
          <w:p w14:paraId="3B10E4A8" w14:textId="77777777" w:rsidR="001D0666" w:rsidRDefault="001D0666" w:rsidP="001D0666">
            <w:pPr>
              <w:spacing w:line="360" w:lineRule="auto"/>
              <w:jc w:val="both"/>
            </w:pPr>
            <w:r>
              <w:t>Semana 10</w:t>
            </w:r>
          </w:p>
        </w:tc>
        <w:tc>
          <w:tcPr>
            <w:tcW w:w="7620" w:type="dxa"/>
            <w:tcBorders>
              <w:left w:val="single" w:sz="12" w:space="0" w:color="000000"/>
              <w:right w:val="single" w:sz="12" w:space="0" w:color="000000"/>
            </w:tcBorders>
          </w:tcPr>
          <w:p w14:paraId="1220E164" w14:textId="77777777" w:rsidR="001D0666" w:rsidRDefault="001D0666" w:rsidP="001D0666">
            <w:pPr>
              <w:spacing w:before="120" w:after="120" w:line="240" w:lineRule="auto"/>
            </w:pPr>
            <w:r>
              <w:t>Clase 10:</w:t>
            </w:r>
            <w:r w:rsidR="006E6503">
              <w:t xml:space="preserve"> La página web. Componentes. Vocabulario especifico. L</w:t>
            </w:r>
            <w:r>
              <w:t>as páginas web de las univers</w:t>
            </w:r>
            <w:r w:rsidR="006E6503">
              <w:t xml:space="preserve">idades. </w:t>
            </w:r>
            <w:r>
              <w:t>Bloques</w:t>
            </w:r>
            <w:r w:rsidR="009C2295">
              <w:t xml:space="preserve"> nominales</w:t>
            </w:r>
            <w:r>
              <w:t>. Voz pasiva. Tiempos perfectibles</w:t>
            </w:r>
          </w:p>
        </w:tc>
      </w:tr>
      <w:tr w:rsidR="001D0666" w14:paraId="193FE8F0" w14:textId="77777777">
        <w:trPr>
          <w:trHeight w:val="20"/>
        </w:trPr>
        <w:tc>
          <w:tcPr>
            <w:tcW w:w="1590" w:type="dxa"/>
            <w:tcBorders>
              <w:left w:val="single" w:sz="12" w:space="0" w:color="000000"/>
              <w:right w:val="single" w:sz="12" w:space="0" w:color="000000"/>
            </w:tcBorders>
            <w:shd w:val="clear" w:color="auto" w:fill="EBF1DD"/>
          </w:tcPr>
          <w:p w14:paraId="74860573" w14:textId="77777777" w:rsidR="001D0666" w:rsidRDefault="001D0666" w:rsidP="001D0666">
            <w:pPr>
              <w:spacing w:line="360" w:lineRule="auto"/>
              <w:jc w:val="both"/>
            </w:pPr>
            <w:r>
              <w:t>Semana 11</w:t>
            </w:r>
          </w:p>
        </w:tc>
        <w:tc>
          <w:tcPr>
            <w:tcW w:w="7620" w:type="dxa"/>
            <w:tcBorders>
              <w:left w:val="single" w:sz="12" w:space="0" w:color="000000"/>
              <w:right w:val="single" w:sz="12" w:space="0" w:color="000000"/>
            </w:tcBorders>
          </w:tcPr>
          <w:p w14:paraId="548BFB98" w14:textId="77777777" w:rsidR="001D0666" w:rsidRDefault="00DE758D" w:rsidP="001D0666">
            <w:pPr>
              <w:spacing w:before="120" w:after="120" w:line="240" w:lineRule="auto"/>
            </w:pPr>
            <w:r>
              <w:t>Clase 11: E</w:t>
            </w:r>
            <w:r w:rsidR="00A07476">
              <w:t>l folleto informativo. Verbos de modalidad. Condicionales</w:t>
            </w:r>
            <w:r w:rsidR="006E6503">
              <w:t>.</w:t>
            </w:r>
          </w:p>
        </w:tc>
      </w:tr>
      <w:tr w:rsidR="001D0666" w14:paraId="264D0737" w14:textId="77777777">
        <w:trPr>
          <w:trHeight w:val="20"/>
        </w:trPr>
        <w:tc>
          <w:tcPr>
            <w:tcW w:w="1590" w:type="dxa"/>
            <w:tcBorders>
              <w:left w:val="single" w:sz="12" w:space="0" w:color="000000"/>
              <w:right w:val="single" w:sz="12" w:space="0" w:color="000000"/>
            </w:tcBorders>
            <w:shd w:val="clear" w:color="auto" w:fill="EBF1DD"/>
          </w:tcPr>
          <w:p w14:paraId="43D7F62F" w14:textId="77777777" w:rsidR="001D0666" w:rsidRDefault="001D0666" w:rsidP="001D0666">
            <w:pPr>
              <w:spacing w:line="360" w:lineRule="auto"/>
              <w:jc w:val="both"/>
            </w:pPr>
            <w:r>
              <w:t>Semana 12</w:t>
            </w:r>
          </w:p>
        </w:tc>
        <w:tc>
          <w:tcPr>
            <w:tcW w:w="7620" w:type="dxa"/>
            <w:tcBorders>
              <w:left w:val="single" w:sz="12" w:space="0" w:color="000000"/>
              <w:right w:val="single" w:sz="12" w:space="0" w:color="000000"/>
            </w:tcBorders>
          </w:tcPr>
          <w:p w14:paraId="4F0C4F5A" w14:textId="77777777" w:rsidR="001D0666" w:rsidRDefault="00DE758D" w:rsidP="001D0666">
            <w:pPr>
              <w:spacing w:before="120" w:after="120" w:line="240" w:lineRule="auto"/>
            </w:pPr>
            <w:r>
              <w:t>Clase 12: I</w:t>
            </w:r>
            <w:r w:rsidR="00EC377D">
              <w:t>ntegración</w:t>
            </w:r>
            <w:r>
              <w:t xml:space="preserve"> de todos los temas trabajados en la cursada utilizando</w:t>
            </w:r>
            <w:r w:rsidR="00EC377D">
              <w:t xml:space="preserve"> textos específicos de Programación. Simulacro de examen</w:t>
            </w:r>
            <w:r w:rsidR="009C2295">
              <w:t>.</w:t>
            </w:r>
          </w:p>
        </w:tc>
      </w:tr>
      <w:tr w:rsidR="001D0666" w14:paraId="26CEBD24" w14:textId="77777777">
        <w:trPr>
          <w:trHeight w:val="20"/>
        </w:trPr>
        <w:tc>
          <w:tcPr>
            <w:tcW w:w="1590" w:type="dxa"/>
            <w:tcBorders>
              <w:left w:val="single" w:sz="12" w:space="0" w:color="000000"/>
              <w:right w:val="single" w:sz="12" w:space="0" w:color="000000"/>
            </w:tcBorders>
            <w:shd w:val="clear" w:color="auto" w:fill="EBF1DD"/>
          </w:tcPr>
          <w:p w14:paraId="741A8273" w14:textId="77777777" w:rsidR="001D0666" w:rsidRDefault="001D0666" w:rsidP="001D0666">
            <w:pPr>
              <w:spacing w:line="360" w:lineRule="auto"/>
              <w:jc w:val="both"/>
            </w:pPr>
            <w:r>
              <w:t>Semana 13</w:t>
            </w:r>
          </w:p>
        </w:tc>
        <w:tc>
          <w:tcPr>
            <w:tcW w:w="7620" w:type="dxa"/>
            <w:tcBorders>
              <w:left w:val="single" w:sz="12" w:space="0" w:color="000000"/>
              <w:right w:val="single" w:sz="12" w:space="0" w:color="000000"/>
            </w:tcBorders>
          </w:tcPr>
          <w:p w14:paraId="380B5BD5" w14:textId="77777777" w:rsidR="001D0666" w:rsidRDefault="006E6503" w:rsidP="001D0666">
            <w:pPr>
              <w:spacing w:before="120" w:after="120" w:line="240" w:lineRule="auto"/>
            </w:pPr>
            <w:r>
              <w:t>Clase 13: SEGUNDO</w:t>
            </w:r>
            <w:r w:rsidR="00EC377D">
              <w:t xml:space="preserve"> PARCIAL</w:t>
            </w:r>
            <w:r>
              <w:t xml:space="preserve"> OBLIGATORIO (PRESENCIAL)</w:t>
            </w:r>
          </w:p>
        </w:tc>
      </w:tr>
      <w:tr w:rsidR="001D0666" w14:paraId="405AA23E" w14:textId="77777777">
        <w:trPr>
          <w:trHeight w:val="20"/>
        </w:trPr>
        <w:tc>
          <w:tcPr>
            <w:tcW w:w="1590" w:type="dxa"/>
            <w:tcBorders>
              <w:left w:val="single" w:sz="12" w:space="0" w:color="000000"/>
              <w:right w:val="single" w:sz="12" w:space="0" w:color="000000"/>
            </w:tcBorders>
            <w:shd w:val="clear" w:color="auto" w:fill="EBF1DD"/>
          </w:tcPr>
          <w:p w14:paraId="643AE1D9" w14:textId="77777777" w:rsidR="001D0666" w:rsidRDefault="001D0666" w:rsidP="001D0666">
            <w:pPr>
              <w:spacing w:line="360" w:lineRule="auto"/>
              <w:jc w:val="both"/>
            </w:pPr>
            <w:r>
              <w:t>Semana 14</w:t>
            </w:r>
          </w:p>
        </w:tc>
        <w:tc>
          <w:tcPr>
            <w:tcW w:w="7620" w:type="dxa"/>
            <w:tcBorders>
              <w:left w:val="single" w:sz="12" w:space="0" w:color="000000"/>
              <w:right w:val="single" w:sz="12" w:space="0" w:color="000000"/>
            </w:tcBorders>
          </w:tcPr>
          <w:p w14:paraId="41F71E85" w14:textId="77777777" w:rsidR="001D0666" w:rsidRDefault="00EC377D" w:rsidP="00DE758D">
            <w:pPr>
              <w:spacing w:before="120" w:after="120" w:line="240" w:lineRule="auto"/>
            </w:pPr>
            <w:r>
              <w:t>Clase 14:</w:t>
            </w:r>
            <w:r w:rsidR="00DE758D">
              <w:rPr>
                <w:color w:val="000000"/>
              </w:rPr>
              <w:t xml:space="preserve"> Devolución de </w:t>
            </w:r>
            <w:r>
              <w:rPr>
                <w:color w:val="000000"/>
              </w:rPr>
              <w:t>exámenes.</w:t>
            </w:r>
            <w:r w:rsidR="00DE758D">
              <w:rPr>
                <w:color w:val="000000"/>
              </w:rPr>
              <w:t xml:space="preserve"> Explicación y pautas generales acerca </w:t>
            </w:r>
            <w:proofErr w:type="gramStart"/>
            <w:r w:rsidR="00DE758D">
              <w:rPr>
                <w:color w:val="000000"/>
              </w:rPr>
              <w:t>del  examen</w:t>
            </w:r>
            <w:proofErr w:type="gramEnd"/>
            <w:r w:rsidR="00DE758D">
              <w:rPr>
                <w:color w:val="000000"/>
              </w:rPr>
              <w:t xml:space="preserve"> integrador.</w:t>
            </w:r>
          </w:p>
        </w:tc>
      </w:tr>
      <w:tr w:rsidR="001D0666" w14:paraId="4E94124A" w14:textId="77777777">
        <w:trPr>
          <w:trHeight w:val="20"/>
        </w:trPr>
        <w:tc>
          <w:tcPr>
            <w:tcW w:w="1590" w:type="dxa"/>
            <w:tcBorders>
              <w:left w:val="single" w:sz="12" w:space="0" w:color="000000"/>
              <w:right w:val="single" w:sz="12" w:space="0" w:color="000000"/>
            </w:tcBorders>
            <w:shd w:val="clear" w:color="auto" w:fill="EBF1DD"/>
          </w:tcPr>
          <w:p w14:paraId="700EFAC3" w14:textId="77777777" w:rsidR="001D0666" w:rsidRDefault="001D0666" w:rsidP="001D0666">
            <w:pPr>
              <w:spacing w:line="360" w:lineRule="auto"/>
              <w:jc w:val="both"/>
            </w:pPr>
            <w:r>
              <w:t>Semana 15</w:t>
            </w:r>
          </w:p>
        </w:tc>
        <w:tc>
          <w:tcPr>
            <w:tcW w:w="7620" w:type="dxa"/>
            <w:tcBorders>
              <w:left w:val="single" w:sz="12" w:space="0" w:color="000000"/>
              <w:right w:val="single" w:sz="12" w:space="0" w:color="000000"/>
            </w:tcBorders>
          </w:tcPr>
          <w:p w14:paraId="09B70DAB" w14:textId="77777777" w:rsidR="001D0666" w:rsidRDefault="00DE758D" w:rsidP="00DE758D">
            <w:pPr>
              <w:spacing w:before="120" w:after="120" w:line="240" w:lineRule="auto"/>
            </w:pPr>
            <w:r>
              <w:rPr>
                <w:color w:val="000000"/>
              </w:rPr>
              <w:t xml:space="preserve">Clase 15: Recuperatorios (presencial). Firma de libretas a los y las estudiantes promocionados.  </w:t>
            </w:r>
          </w:p>
        </w:tc>
      </w:tr>
      <w:tr w:rsidR="001D0666" w14:paraId="3D05D78A" w14:textId="77777777">
        <w:trPr>
          <w:trHeight w:val="20"/>
        </w:trPr>
        <w:tc>
          <w:tcPr>
            <w:tcW w:w="1590" w:type="dxa"/>
            <w:tcBorders>
              <w:left w:val="single" w:sz="12" w:space="0" w:color="000000"/>
              <w:right w:val="single" w:sz="12" w:space="0" w:color="000000"/>
            </w:tcBorders>
            <w:shd w:val="clear" w:color="auto" w:fill="EBF1DD"/>
          </w:tcPr>
          <w:p w14:paraId="218E916D" w14:textId="77777777" w:rsidR="001D0666" w:rsidRDefault="001D0666" w:rsidP="001D0666">
            <w:pPr>
              <w:spacing w:line="360" w:lineRule="auto"/>
              <w:jc w:val="both"/>
            </w:pPr>
            <w:r>
              <w:t>Semana 16</w:t>
            </w:r>
          </w:p>
        </w:tc>
        <w:tc>
          <w:tcPr>
            <w:tcW w:w="7620" w:type="dxa"/>
            <w:tcBorders>
              <w:left w:val="single" w:sz="12" w:space="0" w:color="000000"/>
              <w:right w:val="single" w:sz="12" w:space="0" w:color="000000"/>
            </w:tcBorders>
          </w:tcPr>
          <w:p w14:paraId="756DD5B1" w14:textId="77777777" w:rsidR="001D0666" w:rsidRDefault="00DE758D" w:rsidP="001D0666">
            <w:pPr>
              <w:spacing w:before="120" w:after="120" w:line="240" w:lineRule="auto"/>
              <w:rPr>
                <w:color w:val="000000"/>
              </w:rPr>
            </w:pPr>
            <w:r>
              <w:rPr>
                <w:color w:val="000000"/>
              </w:rPr>
              <w:t>Clase 16: D</w:t>
            </w:r>
            <w:r w:rsidR="00EC377D">
              <w:rPr>
                <w:color w:val="000000"/>
              </w:rPr>
              <w:t>evolución de examen recuperatorio. Cierre de notas y planillas</w:t>
            </w:r>
            <w:r>
              <w:rPr>
                <w:color w:val="000000"/>
              </w:rPr>
              <w:t>.</w:t>
            </w:r>
          </w:p>
          <w:p w14:paraId="11ABD200" w14:textId="77777777" w:rsidR="00D15B66" w:rsidRDefault="00D15B66" w:rsidP="001D0666">
            <w:pPr>
              <w:spacing w:before="120" w:after="120" w:line="240" w:lineRule="auto"/>
              <w:rPr>
                <w:color w:val="000000"/>
              </w:rPr>
            </w:pPr>
          </w:p>
          <w:p w14:paraId="07A416A8" w14:textId="77777777" w:rsidR="00D15B66" w:rsidRDefault="00D15B66" w:rsidP="001D0666">
            <w:pPr>
              <w:spacing w:before="120" w:after="120" w:line="240" w:lineRule="auto"/>
            </w:pPr>
          </w:p>
        </w:tc>
      </w:tr>
    </w:tbl>
    <w:p w14:paraId="242A9EED" w14:textId="77777777" w:rsidR="006830C1" w:rsidRDefault="006830C1">
      <w:pPr>
        <w:spacing w:line="360" w:lineRule="auto"/>
      </w:pPr>
    </w:p>
    <w:p w14:paraId="121FC31E" w14:textId="77777777" w:rsidR="00132528" w:rsidRDefault="006830C1">
      <w:pPr>
        <w:spacing w:line="360" w:lineRule="auto"/>
        <w:rPr>
          <w:rFonts w:ascii="Arial" w:eastAsia="Arial" w:hAnsi="Arial" w:cs="Arial"/>
        </w:rPr>
      </w:pPr>
      <w:r>
        <w:rPr>
          <w:rFonts w:ascii="Arial" w:eastAsia="Arial" w:hAnsi="Arial" w:cs="Arial"/>
        </w:rPr>
        <w:lastRenderedPageBreak/>
        <w:t>Firma de las docentes responsables</w:t>
      </w:r>
      <w:r w:rsidR="000E71CE">
        <w:rPr>
          <w:rFonts w:ascii="Arial" w:eastAsia="Arial" w:hAnsi="Arial" w:cs="Arial"/>
        </w:rPr>
        <w:t>:</w:t>
      </w:r>
    </w:p>
    <w:p w14:paraId="678D0148" w14:textId="77777777" w:rsidR="00D15B66" w:rsidRPr="006830C1" w:rsidRDefault="00D15B66" w:rsidP="006830C1">
      <w:pPr>
        <w:pStyle w:val="Prrafodelista"/>
        <w:numPr>
          <w:ilvl w:val="0"/>
          <w:numId w:val="2"/>
        </w:numPr>
        <w:spacing w:line="360" w:lineRule="auto"/>
        <w:rPr>
          <w:rFonts w:ascii="Arial" w:eastAsia="Arial" w:hAnsi="Arial" w:cs="Arial"/>
        </w:rPr>
      </w:pPr>
      <w:r w:rsidRPr="006830C1">
        <w:rPr>
          <w:rFonts w:ascii="Arial" w:eastAsia="Arial" w:hAnsi="Arial" w:cs="Arial"/>
        </w:rPr>
        <w:t xml:space="preserve">Prof. Marina </w:t>
      </w:r>
      <w:proofErr w:type="spellStart"/>
      <w:r w:rsidRPr="006830C1">
        <w:rPr>
          <w:rFonts w:ascii="Arial" w:eastAsia="Arial" w:hAnsi="Arial" w:cs="Arial"/>
        </w:rPr>
        <w:t>Surace</w:t>
      </w:r>
      <w:proofErr w:type="spellEnd"/>
    </w:p>
    <w:p w14:paraId="27770784" w14:textId="77777777" w:rsidR="00D15B66" w:rsidRDefault="00D15B66" w:rsidP="006830C1">
      <w:pPr>
        <w:pStyle w:val="Prrafodelista"/>
        <w:numPr>
          <w:ilvl w:val="0"/>
          <w:numId w:val="2"/>
        </w:numPr>
        <w:spacing w:line="360" w:lineRule="auto"/>
        <w:rPr>
          <w:rFonts w:ascii="Arial" w:eastAsia="Arial" w:hAnsi="Arial" w:cs="Arial"/>
        </w:rPr>
      </w:pPr>
      <w:r w:rsidRPr="006830C1">
        <w:rPr>
          <w:rFonts w:ascii="Arial" w:eastAsia="Arial" w:hAnsi="Arial" w:cs="Arial"/>
        </w:rPr>
        <w:t>Prof. Vanesa Glock</w:t>
      </w:r>
    </w:p>
    <w:p w14:paraId="7E56BADC" w14:textId="5F8C2A76" w:rsidR="00520EFC" w:rsidRPr="006830C1" w:rsidRDefault="00520EFC" w:rsidP="00520EFC">
      <w:pPr>
        <w:pStyle w:val="Prrafodelista"/>
        <w:spacing w:line="360" w:lineRule="auto"/>
        <w:rPr>
          <w:rFonts w:ascii="Arial" w:eastAsia="Arial" w:hAnsi="Arial" w:cs="Arial"/>
        </w:rPr>
      </w:pPr>
      <w:r w:rsidRPr="00520EFC">
        <w:rPr>
          <w:rFonts w:ascii="Arial" w:eastAsia="Arial" w:hAnsi="Arial" w:cs="Arial"/>
        </w:rPr>
        <w:drawing>
          <wp:inline distT="0" distB="0" distL="0" distR="0" wp14:anchorId="1F45C89C" wp14:editId="614CD669">
            <wp:extent cx="2148840" cy="844357"/>
            <wp:effectExtent l="0" t="0" r="3810" b="0"/>
            <wp:docPr id="18715778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77845" name="Imagen 1" descr="Diagrama&#10;&#10;Descripción generada automáticamente"/>
                    <pic:cNvPicPr/>
                  </pic:nvPicPr>
                  <pic:blipFill>
                    <a:blip r:embed="rId8"/>
                    <a:stretch>
                      <a:fillRect/>
                    </a:stretch>
                  </pic:blipFill>
                  <pic:spPr>
                    <a:xfrm>
                      <a:off x="0" y="0"/>
                      <a:ext cx="2163713" cy="850201"/>
                    </a:xfrm>
                    <a:prstGeom prst="rect">
                      <a:avLst/>
                    </a:prstGeom>
                  </pic:spPr>
                </pic:pic>
              </a:graphicData>
            </a:graphic>
          </wp:inline>
        </w:drawing>
      </w:r>
    </w:p>
    <w:p w14:paraId="5255E217" w14:textId="77777777" w:rsidR="00132528" w:rsidRDefault="00132528">
      <w:pPr>
        <w:spacing w:after="0" w:line="240" w:lineRule="auto"/>
        <w:jc w:val="center"/>
        <w:rPr>
          <w:rFonts w:ascii="Arial" w:eastAsia="Arial" w:hAnsi="Arial" w:cs="Arial"/>
        </w:rPr>
      </w:pPr>
    </w:p>
    <w:p w14:paraId="43CF5E54" w14:textId="77777777" w:rsidR="00132528" w:rsidRDefault="000E71CE">
      <w:pPr>
        <w:spacing w:after="0" w:line="240" w:lineRule="auto"/>
        <w:jc w:val="center"/>
        <w:rPr>
          <w:rFonts w:ascii="Arial" w:eastAsia="Arial" w:hAnsi="Arial" w:cs="Arial"/>
        </w:rPr>
      </w:pPr>
      <w:r>
        <w:rPr>
          <w:rFonts w:ascii="Arial" w:eastAsia="Arial" w:hAnsi="Arial" w:cs="Arial"/>
        </w:rPr>
        <w:t xml:space="preserve">                                                                        .</w:t>
      </w:r>
    </w:p>
    <w:p w14:paraId="0562A26C" w14:textId="77777777" w:rsidR="00132528" w:rsidRDefault="00132528">
      <w:pPr>
        <w:spacing w:after="0" w:line="240" w:lineRule="auto"/>
        <w:ind w:firstLine="2832"/>
        <w:jc w:val="both"/>
        <w:rPr>
          <w:rFonts w:ascii="Arial" w:eastAsia="Arial" w:hAnsi="Arial" w:cs="Arial"/>
        </w:rPr>
      </w:pPr>
    </w:p>
    <w:p w14:paraId="33FDBDE9" w14:textId="77777777" w:rsidR="00132528" w:rsidRDefault="00132528">
      <w:pPr>
        <w:spacing w:after="0" w:line="240" w:lineRule="auto"/>
        <w:jc w:val="both"/>
        <w:rPr>
          <w:rFonts w:ascii="Arial" w:eastAsia="Arial" w:hAnsi="Arial" w:cs="Arial"/>
          <w:sz w:val="24"/>
          <w:szCs w:val="24"/>
        </w:rPr>
      </w:pPr>
    </w:p>
    <w:p w14:paraId="286B61B9" w14:textId="77777777" w:rsidR="00132528" w:rsidRDefault="00132528">
      <w:pPr>
        <w:rPr>
          <w:strike/>
        </w:rPr>
      </w:pPr>
    </w:p>
    <w:sectPr w:rsidR="00132528">
      <w:headerReference w:type="default" r:id="rId9"/>
      <w:footerReference w:type="even" r:id="rId10"/>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AAF63" w14:textId="77777777" w:rsidR="00DA161F" w:rsidRDefault="00DA161F">
      <w:pPr>
        <w:spacing w:after="0" w:line="240" w:lineRule="auto"/>
      </w:pPr>
      <w:r>
        <w:separator/>
      </w:r>
    </w:p>
  </w:endnote>
  <w:endnote w:type="continuationSeparator" w:id="0">
    <w:p w14:paraId="1AF3FC6A" w14:textId="77777777" w:rsidR="00DA161F" w:rsidRDefault="00DA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BC6D" w14:textId="77777777" w:rsidR="00132528" w:rsidRDefault="000E71CE">
    <w:pPr>
      <w:pBdr>
        <w:top w:val="nil"/>
        <w:left w:val="nil"/>
        <w:bottom w:val="nil"/>
        <w:right w:val="nil"/>
        <w:between w:val="nil"/>
      </w:pBdr>
      <w:tabs>
        <w:tab w:val="center" w:pos="4252"/>
        <w:tab w:val="right" w:pos="8504"/>
      </w:tabs>
      <w:spacing w:after="0" w:line="240" w:lineRule="auto"/>
      <w:rPr>
        <w:color w:val="000000"/>
      </w:rPr>
    </w:pPr>
    <w:r>
      <w:rPr>
        <w:noProof/>
        <w:color w:val="000000"/>
        <w:lang w:val="en-US"/>
      </w:rPr>
      <w:drawing>
        <wp:inline distT="0" distB="0" distL="0" distR="0" wp14:anchorId="6805E8D1" wp14:editId="45C1908A">
          <wp:extent cx="5758180" cy="234950"/>
          <wp:effectExtent l="0" t="0" r="0" b="0"/>
          <wp:docPr id="19" name="image1.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1.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194F" w14:textId="77777777" w:rsidR="00DA161F" w:rsidRDefault="00DA161F">
      <w:pPr>
        <w:spacing w:after="0" w:line="240" w:lineRule="auto"/>
      </w:pPr>
      <w:r>
        <w:separator/>
      </w:r>
    </w:p>
  </w:footnote>
  <w:footnote w:type="continuationSeparator" w:id="0">
    <w:p w14:paraId="424EF5D9" w14:textId="77777777" w:rsidR="00DA161F" w:rsidRDefault="00DA1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C0396" w14:textId="77777777" w:rsidR="00132528" w:rsidRDefault="000E71CE">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lang w:val="en-US"/>
      </w:rPr>
      <w:drawing>
        <wp:inline distT="0" distB="0" distL="0" distR="0" wp14:anchorId="2F25D6C8" wp14:editId="59AD869A">
          <wp:extent cx="1697686" cy="551862"/>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lang w:val="en-US"/>
      </w:rPr>
      <mc:AlternateContent>
        <mc:Choice Requires="wps">
          <w:drawing>
            <wp:anchor distT="0" distB="0" distL="114300" distR="114300" simplePos="0" relativeHeight="251658240" behindDoc="0" locked="0" layoutInCell="1" hidden="0" allowOverlap="1" wp14:anchorId="7111BAE0" wp14:editId="503B2A05">
              <wp:simplePos x="0" y="0"/>
              <wp:positionH relativeFrom="column">
                <wp:posOffset>1638300</wp:posOffset>
              </wp:positionH>
              <wp:positionV relativeFrom="paragraph">
                <wp:posOffset>25400</wp:posOffset>
              </wp:positionV>
              <wp:extent cx="4152900" cy="398145"/>
              <wp:effectExtent l="0" t="0" r="0" b="0"/>
              <wp:wrapNone/>
              <wp:docPr id="17" name="Rectángulo 17"/>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2DD2C637" w14:textId="77777777" w:rsidR="00132528" w:rsidRDefault="000E71CE">
                          <w:pPr>
                            <w:spacing w:after="0" w:line="240" w:lineRule="auto"/>
                            <w:jc w:val="right"/>
                            <w:textDirection w:val="btLr"/>
                          </w:pPr>
                          <w:r>
                            <w:rPr>
                              <w:b/>
                              <w:color w:val="808080"/>
                              <w:sz w:val="18"/>
                            </w:rPr>
                            <w:t xml:space="preserve">“1983/2023 - 40 AÑOS DE DEMOCRACIA” </w:t>
                          </w:r>
                        </w:p>
                        <w:p w14:paraId="0A0AFBC8" w14:textId="77777777" w:rsidR="00132528" w:rsidRDefault="00132528">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7111BAE0" id="Rectángulo 17" o:spid="_x0000_s1026" style="position:absolute;left:0;text-align:left;margin-left:129pt;margin-top:2pt;width:327pt;height:31.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" filled="f" stroked="f">
              <v:textbox inset="2.53958mm,1.2694mm,2.53958mm,1.2694mm">
                <w:txbxContent>
                  <w:p w14:paraId="2DD2C637" w14:textId="77777777" w:rsidR="00132528" w:rsidRDefault="000E71CE">
                    <w:pPr>
                      <w:spacing w:after="0" w:line="240" w:lineRule="auto"/>
                      <w:jc w:val="right"/>
                      <w:textDirection w:val="btLr"/>
                    </w:pPr>
                    <w:r>
                      <w:rPr>
                        <w:b/>
                        <w:color w:val="808080"/>
                        <w:sz w:val="18"/>
                      </w:rPr>
                      <w:t xml:space="preserve">“1983/2023 - 40 AÑOS DE DEMOCRACIA” </w:t>
                    </w:r>
                  </w:p>
                  <w:p w14:paraId="0A0AFBC8" w14:textId="77777777" w:rsidR="00132528" w:rsidRDefault="00132528">
                    <w:pPr>
                      <w:spacing w:line="275" w:lineRule="auto"/>
                      <w:jc w:val="right"/>
                      <w:textDirection w:val="btLr"/>
                    </w:pPr>
                  </w:p>
                </w:txbxContent>
              </v:textbox>
            </v:rect>
          </w:pict>
        </mc:Fallback>
      </mc:AlternateContent>
    </w:r>
  </w:p>
  <w:p w14:paraId="04C250BC" w14:textId="77777777" w:rsidR="00132528" w:rsidRDefault="000E71CE">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lang w:val="en-US"/>
      </w:rPr>
      <mc:AlternateContent>
        <mc:Choice Requires="wpg">
          <w:drawing>
            <wp:anchor distT="0" distB="0" distL="114300" distR="114300" simplePos="0" relativeHeight="251659264" behindDoc="0" locked="0" layoutInCell="1" hidden="0" allowOverlap="1" wp14:anchorId="08C7EB65" wp14:editId="789E328B">
              <wp:simplePos x="0" y="0"/>
              <wp:positionH relativeFrom="column">
                <wp:posOffset>25401</wp:posOffset>
              </wp:positionH>
              <wp:positionV relativeFrom="paragraph">
                <wp:posOffset>76200</wp:posOffset>
              </wp:positionV>
              <wp:extent cx="5772150" cy="85725"/>
              <wp:effectExtent l="0" t="0" r="0" b="0"/>
              <wp:wrapNone/>
              <wp:docPr id="16" name="Conector recto de flecha 16"/>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5772150" cy="85725"/>
              <wp:effectExtent b="0" l="0" r="0" t="0"/>
              <wp:wrapNone/>
              <wp:docPr id="16"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772150" cy="857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7B34"/>
    <w:multiLevelType w:val="multilevel"/>
    <w:tmpl w:val="8C22917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454651"/>
    <w:multiLevelType w:val="hybridMultilevel"/>
    <w:tmpl w:val="C7D27738"/>
    <w:lvl w:ilvl="0" w:tplc="31307C1C">
      <w:start w:val="1"/>
      <w:numFmt w:val="bullet"/>
      <w:lvlText w:val="-"/>
      <w:lvlJc w:val="left"/>
      <w:pPr>
        <w:ind w:left="720" w:hanging="360"/>
      </w:pPr>
      <w:rPr>
        <w:rFonts w:ascii="Calibri" w:eastAsia="Calibr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46267">
    <w:abstractNumId w:val="0"/>
  </w:num>
  <w:num w:numId="2" w16cid:durableId="1614365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28"/>
    <w:rsid w:val="00040713"/>
    <w:rsid w:val="000E71CE"/>
    <w:rsid w:val="00132528"/>
    <w:rsid w:val="00145EA5"/>
    <w:rsid w:val="001D0666"/>
    <w:rsid w:val="003C2E70"/>
    <w:rsid w:val="004737F9"/>
    <w:rsid w:val="004A1EAA"/>
    <w:rsid w:val="00520EFC"/>
    <w:rsid w:val="005C21DE"/>
    <w:rsid w:val="00605C63"/>
    <w:rsid w:val="0067564D"/>
    <w:rsid w:val="006830C1"/>
    <w:rsid w:val="0069771A"/>
    <w:rsid w:val="006E6503"/>
    <w:rsid w:val="009C2295"/>
    <w:rsid w:val="00A07476"/>
    <w:rsid w:val="00C64DEE"/>
    <w:rsid w:val="00D15B66"/>
    <w:rsid w:val="00DA161F"/>
    <w:rsid w:val="00DB65B1"/>
    <w:rsid w:val="00DE758D"/>
    <w:rsid w:val="00EC3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D1B3"/>
  <w15:docId w15:val="{7091EA31-8E41-4A29-AB69-58D84F48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eastAsia="es-AR"/>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I9zR32FTyYprOUDmv85RDQyxSw==">AMUW2mVJPB1J/9NwdzYGdeC9WxtmQnFczfCBKyTy5din0jQ8epiFFQmdAasWi8+k+mtNBCUaoZFsQUUzGTpYmp3kGnkMR4AWDpJiT0H1JdQFqu3/K1THk3Z8JgRt5LEVoQI9YDbuTnEZ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1921</Words>
  <Characters>10568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Victor Contreras</cp:lastModifiedBy>
  <cp:revision>11</cp:revision>
  <dcterms:created xsi:type="dcterms:W3CDTF">2023-05-26T12:51:00Z</dcterms:created>
  <dcterms:modified xsi:type="dcterms:W3CDTF">2023-09-12T14:08:00Z</dcterms:modified>
</cp:coreProperties>
</file>