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599"/>
        <w:gridCol w:w="432"/>
        <w:gridCol w:w="842"/>
        <w:gridCol w:w="350"/>
        <w:gridCol w:w="783"/>
        <w:gridCol w:w="1120"/>
        <w:gridCol w:w="674"/>
        <w:gridCol w:w="1895"/>
      </w:tblGrid>
      <w:tr w:rsidR="00F77F0B" w14:paraId="70A4437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A84EB8">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A84EB8">
            <w:pPr>
              <w:spacing w:after="0" w:line="240" w:lineRule="auto"/>
              <w:rPr>
                <w:b/>
              </w:rPr>
            </w:pPr>
            <w:r>
              <w:rPr>
                <w:b/>
              </w:rPr>
              <w:t xml:space="preserve">Unidad Académica </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A84EB8">
            <w:pPr>
              <w:ind w:left="663" w:hanging="663"/>
              <w:rPr>
                <w:b/>
              </w:rPr>
            </w:pPr>
            <w:r>
              <w:rPr>
                <w:b/>
              </w:rPr>
              <w:t>Carrera/s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A84EB8">
            <w:pPr>
              <w:ind w:left="663" w:hanging="663"/>
              <w:rPr>
                <w:b/>
              </w:rPr>
            </w:pPr>
            <w:r>
              <w:rPr>
                <w:b/>
              </w:rPr>
              <w:t>Plan de Estudios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A84EB8">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A84EB8">
            <w:pPr>
              <w:rPr>
                <w:b/>
              </w:rPr>
            </w:pPr>
            <w:r>
              <w:rPr>
                <w:b/>
              </w:rPr>
              <w:t>Nombre</w:t>
            </w:r>
          </w:p>
        </w:tc>
        <w:tc>
          <w:tcPr>
            <w:tcW w:w="4009"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46DC6597" w:rsidR="00F77F0B" w:rsidRDefault="00D66443">
            <w:r>
              <w:rPr>
                <w:b/>
              </w:rPr>
              <w:t>ÁLGEBRA Y GEOMETRÍA ANALÍTICA</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A84EB8">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103237C3" w:rsidR="00F77F0B" w:rsidRDefault="00AF640C">
            <w:r>
              <w:t>60</w:t>
            </w:r>
            <w:r w:rsidR="00D66443">
              <w:t>07</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A84EB8">
            <w:pPr>
              <w:rPr>
                <w:b/>
              </w:rPr>
            </w:pPr>
            <w:r>
              <w:rPr>
                <w:b/>
              </w:rPr>
              <w:t>Modalidad</w:t>
            </w:r>
          </w:p>
        </w:tc>
        <w:tc>
          <w:tcPr>
            <w:tcW w:w="2032" w:type="dxa"/>
            <w:gridSpan w:val="2"/>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A84EB8">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2"/>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D66443"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D66443" w:rsidRDefault="00D66443" w:rsidP="00D66443">
            <w:pPr>
              <w:rPr>
                <w:b/>
              </w:rPr>
            </w:pPr>
            <w:r>
              <w:rPr>
                <w:b/>
              </w:rPr>
              <w:t>Equipo responsable</w:t>
            </w:r>
          </w:p>
          <w:p w14:paraId="2D0837FE" w14:textId="77777777" w:rsidR="00D66443" w:rsidRDefault="00D66443" w:rsidP="00D66443">
            <w:pPr>
              <w:rPr>
                <w:b/>
              </w:rPr>
            </w:pP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260C1650" w:rsidR="00D66443" w:rsidRDefault="00D66443" w:rsidP="00D66443">
            <w:pPr>
              <w:spacing w:after="0" w:line="240" w:lineRule="auto"/>
              <w:rPr>
                <w:b/>
              </w:rPr>
            </w:pPr>
            <w:r>
              <w:rPr>
                <w:b/>
              </w:rPr>
              <w:t>Gisele Azul Olmos</w:t>
            </w:r>
          </w:p>
        </w:tc>
      </w:tr>
      <w:tr w:rsidR="00D66443"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D66443" w:rsidRDefault="00D66443" w:rsidP="00D66443">
            <w:pPr>
              <w:ind w:left="1"/>
              <w:rPr>
                <w:b/>
              </w:rPr>
            </w:pPr>
            <w:r>
              <w:rPr>
                <w:b/>
              </w:rPr>
              <w:t>Año y mes de presentación del programa</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7191E883" w:rsidR="00D66443" w:rsidRDefault="00D66443" w:rsidP="00D66443">
            <w:pPr>
              <w:rPr>
                <w:b/>
              </w:rPr>
            </w:pPr>
            <w:r>
              <w:rPr>
                <w:b/>
              </w:rPr>
              <w:t>2023-SEPTIEMBRE</w:t>
            </w:r>
          </w:p>
        </w:tc>
      </w:tr>
      <w:tr w:rsidR="00D66443" w14:paraId="409FB6CB"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D66443" w:rsidRDefault="00D66443" w:rsidP="00D66443">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D66443"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D66443" w:rsidRDefault="00D66443" w:rsidP="00D66443">
            <w:pPr>
              <w:tabs>
                <w:tab w:val="left" w:pos="0"/>
              </w:tabs>
              <w:ind w:left="663" w:hanging="663"/>
              <w:rPr>
                <w:b/>
              </w:rPr>
            </w:pPr>
            <w:r>
              <w:rPr>
                <w:b/>
              </w:rPr>
              <w:t>Horas de clase semanales</w:t>
            </w:r>
          </w:p>
        </w:tc>
        <w:tc>
          <w:tcPr>
            <w:tcW w:w="1275" w:type="dxa"/>
            <w:gridSpan w:val="2"/>
            <w:tcBorders>
              <w:top w:val="single" w:sz="12" w:space="0" w:color="000000"/>
              <w:left w:val="single" w:sz="12" w:space="0" w:color="000000"/>
              <w:bottom w:val="single" w:sz="12" w:space="0" w:color="000000"/>
              <w:right w:val="single" w:sz="12" w:space="0" w:color="000000"/>
            </w:tcBorders>
          </w:tcPr>
          <w:p w14:paraId="562B16A5" w14:textId="334BCB2B" w:rsidR="00D66443" w:rsidRDefault="00D66443" w:rsidP="00131759">
            <w:pPr>
              <w:jc w:val="center"/>
            </w:pPr>
            <w:r>
              <w:t>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D66443" w:rsidRDefault="00D66443" w:rsidP="00D66443">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D66443" w:rsidRDefault="00D66443" w:rsidP="00D66443">
            <w:pPr>
              <w:ind w:left="660" w:hanging="660"/>
            </w:pPr>
          </w:p>
        </w:tc>
      </w:tr>
      <w:tr w:rsidR="00D66443"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D66443" w:rsidRDefault="00D66443" w:rsidP="00D66443">
            <w:pPr>
              <w:tabs>
                <w:tab w:val="left" w:pos="0"/>
              </w:tabs>
              <w:ind w:left="663" w:hanging="663"/>
              <w:rPr>
                <w:b/>
              </w:rPr>
            </w:pPr>
            <w:r>
              <w:rPr>
                <w:b/>
              </w:rPr>
              <w:t>Horas de clase totales</w:t>
            </w:r>
          </w:p>
        </w:tc>
        <w:tc>
          <w:tcPr>
            <w:tcW w:w="1275" w:type="dxa"/>
            <w:gridSpan w:val="2"/>
            <w:vMerge w:val="restart"/>
            <w:tcBorders>
              <w:top w:val="single" w:sz="12" w:space="0" w:color="000000"/>
              <w:left w:val="single" w:sz="12" w:space="0" w:color="000000"/>
              <w:right w:val="single" w:sz="12" w:space="0" w:color="000000"/>
            </w:tcBorders>
          </w:tcPr>
          <w:p w14:paraId="36E5D4D2" w14:textId="7E5965E6" w:rsidR="00D66443" w:rsidRDefault="00CC607F" w:rsidP="00D66443">
            <w:pPr>
              <w:ind w:left="660" w:hanging="660"/>
              <w:jc w:val="center"/>
            </w:pPr>
            <w:r>
              <w:t>6</w:t>
            </w:r>
            <w:r w:rsidR="00D66443">
              <w:t>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D66443" w:rsidRDefault="00D66443" w:rsidP="00D66443">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46A7205D" w:rsidR="00D66443" w:rsidRDefault="00D66443" w:rsidP="00D66443">
            <w:pPr>
              <w:ind w:left="660" w:hanging="660"/>
            </w:pPr>
          </w:p>
        </w:tc>
      </w:tr>
      <w:tr w:rsidR="00D66443"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D66443" w:rsidRDefault="00D66443" w:rsidP="00D66443">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right w:val="single" w:sz="12" w:space="0" w:color="000000"/>
            </w:tcBorders>
          </w:tcPr>
          <w:p w14:paraId="071AC8FC" w14:textId="77777777" w:rsidR="00D66443" w:rsidRDefault="00D66443" w:rsidP="00D66443">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D66443" w:rsidRDefault="00D66443" w:rsidP="00D66443">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14917AB6" w:rsidR="00D66443" w:rsidRDefault="00D66443" w:rsidP="00D66443">
            <w:pPr>
              <w:ind w:left="660" w:hanging="660"/>
            </w:pPr>
          </w:p>
        </w:tc>
      </w:tr>
      <w:tr w:rsidR="00D66443"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D66443" w:rsidRDefault="00D66443" w:rsidP="00D66443">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bottom w:val="single" w:sz="12" w:space="0" w:color="000000"/>
              <w:right w:val="single" w:sz="12" w:space="0" w:color="000000"/>
            </w:tcBorders>
          </w:tcPr>
          <w:p w14:paraId="0BFC200D" w14:textId="77777777" w:rsidR="00D66443" w:rsidRDefault="00D66443" w:rsidP="00D66443">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D66443" w:rsidRDefault="00D66443" w:rsidP="00D66443">
            <w:pPr>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D66443" w:rsidRDefault="00D66443" w:rsidP="00D66443">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A84EB8">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A84EB8">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A84EB8">
            <w:pPr>
              <w:ind w:left="660" w:hanging="660"/>
              <w:jc w:val="center"/>
            </w:pPr>
            <w:r>
              <w:t>Código</w:t>
            </w:r>
          </w:p>
        </w:tc>
      </w:tr>
      <w:tr w:rsidR="00D66443"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2C1D5350" w:rsidR="00D66443" w:rsidRDefault="00D66443">
            <w:pPr>
              <w:ind w:hanging="2"/>
            </w:pPr>
            <w:r>
              <w:t xml:space="preserve">ANÁLISIS MATEMÁTICO I </w:t>
            </w:r>
          </w:p>
        </w:tc>
        <w:tc>
          <w:tcPr>
            <w:tcW w:w="1114" w:type="dxa"/>
            <w:tcBorders>
              <w:top w:val="nil"/>
              <w:left w:val="nil"/>
              <w:bottom w:val="single" w:sz="4" w:space="0" w:color="000000"/>
              <w:right w:val="single" w:sz="12" w:space="0" w:color="000000"/>
            </w:tcBorders>
          </w:tcPr>
          <w:p w14:paraId="124F46A3" w14:textId="7C11EA91" w:rsidR="00D66443" w:rsidRDefault="00D66443" w:rsidP="00D66443">
            <w:pPr>
              <w:ind w:hanging="2"/>
              <w:rPr>
                <w:highlight w:val="yellow"/>
              </w:rPr>
            </w:pPr>
            <w:r w:rsidRPr="00656F44">
              <w:t>6001</w:t>
            </w: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7777777" w:rsidR="00F77F0B" w:rsidRDefault="00A84EB8">
            <w:pPr>
              <w:ind w:left="660" w:hanging="660"/>
            </w:pPr>
            <w:r>
              <w:t>     </w:t>
            </w:r>
          </w:p>
        </w:tc>
        <w:tc>
          <w:tcPr>
            <w:tcW w:w="1114" w:type="dxa"/>
            <w:tcBorders>
              <w:top w:val="single" w:sz="4" w:space="0" w:color="000000"/>
              <w:left w:val="nil"/>
              <w:bottom w:val="single" w:sz="4" w:space="0" w:color="000000"/>
              <w:right w:val="single" w:sz="12" w:space="0" w:color="000000"/>
            </w:tcBorders>
          </w:tcPr>
          <w:p w14:paraId="3D476B9C" w14:textId="77777777" w:rsidR="00F77F0B" w:rsidRDefault="00F77F0B">
            <w:pPr>
              <w:ind w:left="660" w:hanging="660"/>
              <w:rPr>
                <w:highlight w:val="lightGray"/>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A84EB8">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76A2149A" w:rsidR="00F77F0B" w:rsidRDefault="00E9711A" w:rsidP="00131759">
            <w:pPr>
              <w:spacing w:before="120" w:after="120" w:line="360" w:lineRule="auto"/>
              <w:jc w:val="both"/>
            </w:pPr>
            <w:r>
              <w:t xml:space="preserve">Números complejos. Sistemas de ecuaciones lineales. Álgebra Vectorial. Recta y Plano en el espacio. Matrices. Determinantes.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como espacio vectorial, subespacios, transformaciones lineales, cambio de base. Autovalores y Autovectores. Formas bilineales. Estructuras algebraicas. Geometría Analítica.</w:t>
            </w:r>
            <w:r w:rsidR="00BE5670">
              <w:t xml:space="preserve"> Sistemas de representación.</w:t>
            </w: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A84EB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7906A692" w14:textId="2AF4BDE1" w:rsidR="00E9711A" w:rsidRDefault="00E9711A" w:rsidP="00131759">
            <w:pPr>
              <w:shd w:val="clear" w:color="auto" w:fill="FFFFFF"/>
              <w:spacing w:before="240" w:after="0" w:line="360" w:lineRule="auto"/>
              <w:jc w:val="both"/>
              <w:rPr>
                <w:rFonts w:eastAsia="Times New Roman" w:cs="Arial"/>
              </w:rPr>
            </w:pPr>
            <w:r>
              <w:rPr>
                <w:rFonts w:eastAsia="Times New Roman" w:cs="Arial"/>
              </w:rPr>
              <w:t>Álgebra y Geometría Analítica</w:t>
            </w:r>
            <w:r w:rsidRPr="00797583">
              <w:rPr>
                <w:rFonts w:eastAsia="Times New Roman" w:cs="Arial"/>
              </w:rPr>
              <w:t xml:space="preserve"> es una asignatura que forma parte de las unidades curricu</w:t>
            </w:r>
            <w:r>
              <w:rPr>
                <w:rFonts w:eastAsia="Times New Roman" w:cs="Arial"/>
              </w:rPr>
              <w:t>lares que se dictan en el segundo</w:t>
            </w:r>
            <w:r w:rsidRPr="00797583">
              <w:rPr>
                <w:rFonts w:eastAsia="Times New Roman" w:cs="Arial"/>
              </w:rPr>
              <w:t xml:space="preserve"> cuatrimestre del trayecto de cursada para la carrera Licenciatura en Gestión de Tecnologías de la Información</w:t>
            </w:r>
            <w:r>
              <w:rPr>
                <w:rFonts w:eastAsia="Times New Roman" w:cs="Arial"/>
              </w:rPr>
              <w:t xml:space="preserve"> de la Universidad Nacional de José C. Paz</w:t>
            </w:r>
            <w:r w:rsidRPr="00797583">
              <w:rPr>
                <w:rFonts w:eastAsia="Times New Roman" w:cs="Arial"/>
              </w:rPr>
              <w:t xml:space="preserve">. Se encuentra dentro del eje de ciencias básicas y aborda fundamentos matemáticos necesarios para que los y las estudiantes puedan trabajar con los contenidos, tanto de las materias que la tienen a la presente como correlativa, como así también para su futura labor profesional. </w:t>
            </w:r>
          </w:p>
          <w:p w14:paraId="0F312E7F" w14:textId="663F2BB4" w:rsidR="00E9711A" w:rsidRDefault="00E9711A">
            <w:pPr>
              <w:shd w:val="clear" w:color="auto" w:fill="FFFFFF"/>
              <w:spacing w:after="0" w:line="360" w:lineRule="auto"/>
              <w:jc w:val="both"/>
              <w:rPr>
                <w:rFonts w:cs="Arial"/>
              </w:rPr>
            </w:pPr>
            <w:r w:rsidRPr="00797583">
              <w:rPr>
                <w:rFonts w:cs="Arial"/>
              </w:rPr>
              <w:t>Los fundamentos y prácticas de matemática son esenciales en la formación de un/una Licenciado/a en Gestión de Tecnologías de la Información ya que contribuye a la formación lógico-deductiva, proporciona</w:t>
            </w:r>
            <w:r>
              <w:rPr>
                <w:rFonts w:cs="Arial"/>
              </w:rPr>
              <w:t>n</w:t>
            </w:r>
            <w:r w:rsidRPr="00797583">
              <w:rPr>
                <w:rFonts w:cs="Arial"/>
              </w:rPr>
              <w:t xml:space="preserve"> una herramienta heurística y un lenguaje que permite modelar diversos fenómenos. </w:t>
            </w:r>
            <w:r>
              <w:rPr>
                <w:rFonts w:eastAsia="Times New Roman" w:cs="Arial"/>
              </w:rPr>
              <w:t>Álgebra y Geometría Analítica</w:t>
            </w:r>
            <w:r w:rsidRPr="00797583">
              <w:rPr>
                <w:rFonts w:eastAsia="Times New Roman" w:cs="Arial"/>
              </w:rPr>
              <w:t xml:space="preserve"> </w:t>
            </w:r>
            <w:r w:rsidRPr="00797583">
              <w:rPr>
                <w:rFonts w:cs="Arial"/>
              </w:rPr>
              <w:t>tiene como uno de sus principales objetivos acercar conceptos matemáticos al quehacer cotidiano y a la intuición, incorporando paulatinamente conc</w:t>
            </w:r>
            <w:r>
              <w:rPr>
                <w:rFonts w:cs="Arial"/>
              </w:rPr>
              <w:t>eptos y principios matemáticos.</w:t>
            </w:r>
          </w:p>
          <w:p w14:paraId="6CD17090" w14:textId="77777777" w:rsidR="00E9711A" w:rsidRDefault="00E9711A">
            <w:pPr>
              <w:shd w:val="clear" w:color="auto" w:fill="FFFFFF"/>
              <w:spacing w:after="0" w:line="360" w:lineRule="auto"/>
              <w:jc w:val="both"/>
              <w:rPr>
                <w:rFonts w:cs="Arial"/>
              </w:rPr>
            </w:pPr>
            <w:r w:rsidRPr="00797583">
              <w:rPr>
                <w:rFonts w:cs="Arial"/>
              </w:rPr>
              <w:lastRenderedPageBreak/>
              <w:t xml:space="preserve">Los contenidos son seleccionados y organizados de manera tal que sigan una secuencia que permita a los y las estudiantes vincular los contenidos matemáticos con conceptos y prácticas vinculadas con el eje central de su carrera. </w:t>
            </w:r>
          </w:p>
          <w:p w14:paraId="39D82785" w14:textId="10CF6BFF" w:rsidR="00E9711A" w:rsidRDefault="00E9711A">
            <w:pPr>
              <w:shd w:val="clear" w:color="auto" w:fill="FFFFFF"/>
              <w:spacing w:after="0" w:line="360" w:lineRule="auto"/>
              <w:jc w:val="both"/>
              <w:rPr>
                <w:rFonts w:cs="Arial"/>
              </w:rPr>
            </w:pPr>
            <w:r>
              <w:rPr>
                <w:rFonts w:cs="Arial"/>
              </w:rPr>
              <w:t>Esta unidad curricular</w:t>
            </w:r>
            <w:r w:rsidRPr="009D62CD">
              <w:rPr>
                <w:rFonts w:cs="Arial"/>
              </w:rPr>
              <w:t xml:space="preserve"> comparte con las restantes materias </w:t>
            </w:r>
            <w:r>
              <w:rPr>
                <w:rFonts w:cs="Arial"/>
              </w:rPr>
              <w:t>del primer año</w:t>
            </w:r>
            <w:r w:rsidRPr="009D62CD">
              <w:rPr>
                <w:rFonts w:cs="Arial"/>
              </w:rPr>
              <w:t xml:space="preserve"> del trayecto de cursada</w:t>
            </w:r>
            <w:r w:rsidRPr="009D62CD">
              <w:rPr>
                <w:rFonts w:eastAsia="CMR10" w:cs="Arial"/>
              </w:rPr>
              <w:t xml:space="preserve"> de la carrera la responsabilidad de </w:t>
            </w:r>
            <w:r>
              <w:rPr>
                <w:rFonts w:eastAsia="CMR10" w:cs="Arial"/>
              </w:rPr>
              <w:t>acompañar</w:t>
            </w:r>
            <w:r w:rsidRPr="009D62CD">
              <w:rPr>
                <w:rFonts w:eastAsia="CMR10" w:cs="Arial"/>
              </w:rPr>
              <w:t xml:space="preserve"> a los y las </w:t>
            </w:r>
            <w:r>
              <w:rPr>
                <w:rFonts w:eastAsia="CMR10" w:cs="Arial"/>
              </w:rPr>
              <w:t>estudiantes</w:t>
            </w:r>
            <w:r w:rsidRPr="009D62CD">
              <w:rPr>
                <w:rFonts w:eastAsia="CMR10" w:cs="Arial"/>
              </w:rPr>
              <w:t xml:space="preserve"> en el proceso de convertirse en estudiantes universitarios/as. Para atender adecuadamente a este desafío institucional se ha elaborado una propuesta de trabajo para </w:t>
            </w:r>
            <w:r>
              <w:rPr>
                <w:rFonts w:eastAsia="CMR10" w:cs="Arial"/>
              </w:rPr>
              <w:t>el desarrollo de la unidad curricular</w:t>
            </w:r>
            <w:r w:rsidRPr="009D62CD">
              <w:rPr>
                <w:rFonts w:eastAsia="CMR10" w:cs="Arial"/>
              </w:rPr>
              <w:t xml:space="preserve"> que pone a el/la </w:t>
            </w:r>
            <w:r>
              <w:rPr>
                <w:rFonts w:eastAsia="CMR10" w:cs="Arial"/>
              </w:rPr>
              <w:t>estudiante</w:t>
            </w:r>
            <w:r w:rsidRPr="009D62CD">
              <w:rPr>
                <w:rFonts w:eastAsia="CMR10" w:cs="Arial"/>
              </w:rPr>
              <w:t xml:space="preserve"> en el centro de las acciones y prioriza tanto la artic</w:t>
            </w:r>
            <w:r>
              <w:rPr>
                <w:rFonts w:eastAsia="CMR10" w:cs="Arial"/>
              </w:rPr>
              <w:t xml:space="preserve">ulación con la formación previa, </w:t>
            </w:r>
            <w:r w:rsidRPr="009D62CD">
              <w:rPr>
                <w:rFonts w:eastAsia="CMR10" w:cs="Arial"/>
              </w:rPr>
              <w:t xml:space="preserve">reflejado en acciones concretas destinadas a lograr que los/las ingresantes se conviertan en estudiantes autónomos/as, como el acompañamiento en su trayectoria académica en tanto se vayan construyendo como estudiantes de matemática. </w:t>
            </w:r>
            <w:r w:rsidRPr="009D62CD">
              <w:rPr>
                <w:rFonts w:cs="Arial"/>
              </w:rPr>
              <w:t xml:space="preserve">En este sentido, siempre que es posible, se ubican al inicio los contenidos cuyo tratamiento requiera menor nivel de abstracción, en todos los casos preservando una coherencia lógica entre los mismos. </w:t>
            </w:r>
          </w:p>
          <w:p w14:paraId="23204D1B" w14:textId="5660B9F4" w:rsidR="00F77F0B" w:rsidRDefault="00E9711A" w:rsidP="00131759">
            <w:pPr>
              <w:spacing w:after="120" w:line="360" w:lineRule="auto"/>
              <w:jc w:val="both"/>
            </w:pPr>
            <w:r>
              <w:rPr>
                <w:rFonts w:cs="Arial"/>
              </w:rPr>
              <w:t>Es</w:t>
            </w:r>
            <w:r w:rsidRPr="009D62CD">
              <w:rPr>
                <w:rFonts w:cs="Arial"/>
              </w:rPr>
              <w:t xml:space="preserve"> imprescindible tener </w:t>
            </w:r>
            <w:r>
              <w:rPr>
                <w:rFonts w:cs="Arial"/>
              </w:rPr>
              <w:t>en cuenta</w:t>
            </w:r>
            <w:r w:rsidRPr="009D62CD">
              <w:rPr>
                <w:rFonts w:cs="Arial"/>
              </w:rPr>
              <w:t xml:space="preserve"> que “cualquier versión del conocimiento que se formule en contexto de enseñanza es adecuada sólo si se ofrece a los alumnos una oportunidad real para su adqui</w:t>
            </w:r>
            <w:r>
              <w:rPr>
                <w:rFonts w:cs="Arial"/>
              </w:rPr>
              <w:t>sición” (Feldman, 2014, p. 56).</w:t>
            </w:r>
            <w:r w:rsidRPr="009D62CD">
              <w:rPr>
                <w:rFonts w:cs="Arial"/>
              </w:rPr>
              <w:t xml:space="preserve"> Los y las estudiantes no serán iguales con relación al conocimiento a lo largo de su carrera y es fundamental que la práctica docente considere en sus secuencias de trabajo el acompañamiento en el progreso de los y las estudiantes con ese conocimiento.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A84EB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2CD89460" w14:textId="77777777" w:rsidR="00E9711A" w:rsidRPr="001D669F" w:rsidRDefault="00E9711A" w:rsidP="00E9711A">
            <w:pPr>
              <w:spacing w:before="60" w:line="360" w:lineRule="auto"/>
              <w:jc w:val="both"/>
              <w:rPr>
                <w:noProof/>
              </w:rPr>
            </w:pPr>
            <w:r>
              <w:rPr>
                <w:noProof/>
              </w:rPr>
              <w:t xml:space="preserve">Se espera que los/las </w:t>
            </w:r>
            <w:r w:rsidRPr="001D669F">
              <w:rPr>
                <w:noProof/>
              </w:rPr>
              <w:t>estudiantes logren:</w:t>
            </w:r>
          </w:p>
          <w:p w14:paraId="24B1C438" w14:textId="215C18C9" w:rsidR="005F0EA3" w:rsidRDefault="005F0EA3" w:rsidP="005F0EA3">
            <w:pPr>
              <w:spacing w:before="60" w:line="360" w:lineRule="auto"/>
              <w:jc w:val="both"/>
              <w:rPr>
                <w:noProof/>
              </w:rPr>
            </w:pPr>
            <w:r>
              <w:rPr>
                <w:noProof/>
              </w:rPr>
              <w:t xml:space="preserve">- </w:t>
            </w:r>
            <w:r w:rsidR="002938A3">
              <w:rPr>
                <w:noProof/>
              </w:rPr>
              <w:t>I</w:t>
            </w:r>
            <w:r w:rsidRPr="001D669F">
              <w:rPr>
                <w:noProof/>
              </w:rPr>
              <w:t xml:space="preserve">nterpretar definiciones y resultados matemáticos </w:t>
            </w:r>
            <w:r>
              <w:rPr>
                <w:noProof/>
              </w:rPr>
              <w:t>relacionados con los contenidos mínimos</w:t>
            </w:r>
            <w:r w:rsidRPr="001D669F">
              <w:rPr>
                <w:noProof/>
              </w:rPr>
              <w:t>.</w:t>
            </w:r>
          </w:p>
          <w:p w14:paraId="18712A8F" w14:textId="320926C4" w:rsidR="002938A3" w:rsidRDefault="002938A3" w:rsidP="005F0EA3">
            <w:pPr>
              <w:spacing w:before="60" w:line="360" w:lineRule="auto"/>
              <w:jc w:val="both"/>
              <w:rPr>
                <w:noProof/>
              </w:rPr>
            </w:pPr>
            <w:r>
              <w:rPr>
                <w:noProof/>
              </w:rPr>
              <w:t>- Analizar rectas y planos en el espacio.</w:t>
            </w:r>
          </w:p>
          <w:p w14:paraId="52C155A2" w14:textId="6C4A7CF2" w:rsidR="005F0EA3" w:rsidRPr="001D669F" w:rsidRDefault="005F0EA3" w:rsidP="005F0EA3">
            <w:pPr>
              <w:spacing w:before="60" w:line="360" w:lineRule="auto"/>
              <w:jc w:val="both"/>
              <w:rPr>
                <w:noProof/>
              </w:rPr>
            </w:pPr>
            <w:r w:rsidRPr="001D669F">
              <w:rPr>
                <w:noProof/>
              </w:rPr>
              <w:t>- Realizar justificaciones matemáticas sencillas: métodos directos e indirectos.</w:t>
            </w:r>
          </w:p>
          <w:p w14:paraId="57E47F86" w14:textId="652F9223" w:rsidR="00DE654D" w:rsidRDefault="005F0EA3" w:rsidP="005F0EA3">
            <w:pPr>
              <w:spacing w:before="60" w:line="360" w:lineRule="auto"/>
              <w:jc w:val="both"/>
              <w:rPr>
                <w:noProof/>
              </w:rPr>
            </w:pPr>
            <w:r w:rsidRPr="001D669F">
              <w:rPr>
                <w:noProof/>
              </w:rPr>
              <w:t xml:space="preserve">- </w:t>
            </w:r>
            <w:r w:rsidR="002938A3">
              <w:rPr>
                <w:noProof/>
              </w:rPr>
              <w:t>U</w:t>
            </w:r>
            <w:r w:rsidRPr="001D669F">
              <w:rPr>
                <w:noProof/>
              </w:rPr>
              <w:t>tilizar algunas heurísticas para resolver problemas</w:t>
            </w:r>
            <w:r w:rsidR="002938A3">
              <w:rPr>
                <w:noProof/>
              </w:rPr>
              <w:t xml:space="preserve"> </w:t>
            </w:r>
            <w:r w:rsidR="00FD63F7">
              <w:rPr>
                <w:noProof/>
              </w:rPr>
              <w:t>con</w:t>
            </w:r>
            <w:r w:rsidR="002938A3">
              <w:rPr>
                <w:noProof/>
              </w:rPr>
              <w:t xml:space="preserve"> sistemas de ecuaciones lineales</w:t>
            </w:r>
            <w:r w:rsidRPr="001D669F">
              <w:rPr>
                <w:noProof/>
              </w:rPr>
              <w:t>.</w:t>
            </w:r>
          </w:p>
          <w:p w14:paraId="62919202" w14:textId="77777777" w:rsidR="002938A3" w:rsidRDefault="002938A3" w:rsidP="005F0EA3">
            <w:pPr>
              <w:spacing w:before="60" w:line="360" w:lineRule="auto"/>
              <w:jc w:val="both"/>
              <w:rPr>
                <w:noProof/>
              </w:rPr>
            </w:pPr>
            <w:r>
              <w:rPr>
                <w:noProof/>
              </w:rPr>
              <w:t>- Operar con matrices.</w:t>
            </w:r>
          </w:p>
          <w:p w14:paraId="5DFF1805" w14:textId="15B6E1E7" w:rsidR="005F0EA3" w:rsidRPr="001D669F" w:rsidRDefault="002938A3" w:rsidP="005F0EA3">
            <w:pPr>
              <w:spacing w:before="60" w:line="360" w:lineRule="auto"/>
              <w:jc w:val="both"/>
              <w:rPr>
                <w:noProof/>
              </w:rPr>
            </w:pPr>
            <w:r>
              <w:rPr>
                <w:noProof/>
              </w:rPr>
              <w:t>- Operar con números complejos.</w:t>
            </w:r>
            <w:r w:rsidR="005F0EA3" w:rsidRPr="001D669F">
              <w:rPr>
                <w:noProof/>
              </w:rPr>
              <w:t xml:space="preserve"> </w:t>
            </w:r>
          </w:p>
          <w:p w14:paraId="1E494E70" w14:textId="21373E70" w:rsidR="005F0EA3" w:rsidRPr="00715235" w:rsidRDefault="005F0EA3" w:rsidP="005F0EA3">
            <w:pPr>
              <w:spacing w:before="60" w:line="360" w:lineRule="auto"/>
              <w:jc w:val="both"/>
              <w:rPr>
                <w:noProof/>
              </w:rPr>
            </w:pPr>
            <w:r w:rsidRPr="001D669F">
              <w:rPr>
                <w:noProof/>
              </w:rPr>
              <w:lastRenderedPageBreak/>
              <w:t xml:space="preserve">- </w:t>
            </w:r>
            <w:r w:rsidR="002938A3">
              <w:rPr>
                <w:noProof/>
              </w:rPr>
              <w:t>A</w:t>
            </w:r>
            <w:r w:rsidRPr="001D669F">
              <w:rPr>
                <w:noProof/>
              </w:rPr>
              <w:t>rgumentar con razonamientos matemáticamente válidos.</w:t>
            </w:r>
          </w:p>
          <w:p w14:paraId="7D52D143" w14:textId="77777777" w:rsidR="005F0EA3" w:rsidRDefault="005F0EA3" w:rsidP="005F0EA3">
            <w:pPr>
              <w:spacing w:line="360" w:lineRule="auto"/>
              <w:jc w:val="both"/>
              <w:rPr>
                <w:rFonts w:asciiTheme="minorHAnsi" w:hAnsiTheme="minorHAnsi" w:cstheme="minorHAnsi"/>
              </w:rPr>
            </w:pPr>
            <w:r w:rsidRPr="006B1FD9">
              <w:rPr>
                <w:rFonts w:asciiTheme="minorHAnsi" w:hAnsiTheme="minorHAnsi" w:cstheme="minorHAnsi"/>
              </w:rPr>
              <w:t>- Vincularse con la matemática naturalmente y entenderla como parte cotidiana del trabajo de un Licenciado en Gestión de Tecnologías de la Información.</w:t>
            </w:r>
          </w:p>
          <w:p w14:paraId="5D580741" w14:textId="1C6B82EE" w:rsidR="00F77F0B" w:rsidRDefault="005F0EA3" w:rsidP="00F27E61">
            <w:pPr>
              <w:spacing w:line="360" w:lineRule="auto"/>
              <w:jc w:val="both"/>
            </w:pPr>
            <w:r>
              <w:rPr>
                <w:rFonts w:asciiTheme="minorHAnsi" w:hAnsiTheme="minorHAnsi" w:cstheme="minorHAnsi"/>
              </w:rPr>
              <w:t>- Incorporar como herramienta para la resolución de problemas de la Unidad Curricular el Software GeoGebra.</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708C677A" w14:textId="77777777" w:rsidR="005F0EA3" w:rsidRPr="00010BBF" w:rsidRDefault="005F0EA3" w:rsidP="005F0EA3">
            <w:pPr>
              <w:spacing w:before="240" w:line="360" w:lineRule="auto"/>
              <w:jc w:val="both"/>
              <w:rPr>
                <w:rFonts w:asciiTheme="minorHAnsi" w:hAnsiTheme="minorHAnsi" w:cstheme="minorHAnsi"/>
              </w:rPr>
            </w:pPr>
            <w:r w:rsidRPr="00715235">
              <w:rPr>
                <w:rFonts w:asciiTheme="minorHAnsi" w:hAnsiTheme="minorHAnsi" w:cstheme="minorHAnsi"/>
                <w:b/>
              </w:rPr>
              <w:t>Unidad 1:</w:t>
            </w:r>
            <w:r w:rsidRPr="00715235">
              <w:rPr>
                <w:rFonts w:asciiTheme="minorHAnsi" w:hAnsiTheme="minorHAnsi" w:cstheme="minorHAnsi"/>
              </w:rPr>
              <w:t xml:space="preserve"> </w:t>
            </w:r>
            <w:r w:rsidRPr="00010BBF">
              <w:rPr>
                <w:rFonts w:asciiTheme="minorHAnsi" w:hAnsiTheme="minorHAnsi" w:cstheme="minorHAnsi"/>
              </w:rPr>
              <w:t>Vectores en el plano y en el espacio, suma de vectores, producto de un número por un vector, resta de vectores, norma, distancia entre dos puntos, producto escalar, rectas y planos en el espacio. Ecuación vectorial de la recta. Rectas paralelas, perpendiculares, alabeadas, coincidentes. Ecuación vectorial del plano. Ecuación implícita del plano. Planos paralelos. Planos perpendiculares. Posibles intersecciones entre planos.</w:t>
            </w:r>
          </w:p>
          <w:p w14:paraId="556AA882" w14:textId="77777777" w:rsidR="005F0EA3" w:rsidRPr="00010BBF" w:rsidRDefault="005F0EA3" w:rsidP="005F0EA3">
            <w:pPr>
              <w:spacing w:before="240" w:line="360" w:lineRule="auto"/>
              <w:jc w:val="both"/>
              <w:rPr>
                <w:rFonts w:asciiTheme="minorHAnsi" w:hAnsiTheme="minorHAnsi" w:cstheme="minorHAnsi"/>
              </w:rPr>
            </w:pPr>
            <w:r w:rsidRPr="00CC20EF">
              <w:rPr>
                <w:rFonts w:asciiTheme="minorHAnsi" w:hAnsiTheme="minorHAnsi" w:cstheme="minorHAnsi"/>
                <w:b/>
              </w:rPr>
              <w:t>Unidad 2:</w:t>
            </w:r>
            <w:r w:rsidRPr="006B1FD9">
              <w:rPr>
                <w:rFonts w:asciiTheme="minorHAnsi" w:hAnsiTheme="minorHAnsi" w:cstheme="minorHAnsi"/>
              </w:rPr>
              <w:t xml:space="preserve"> </w:t>
            </w:r>
            <w:r w:rsidRPr="00010BBF">
              <w:rPr>
                <w:rFonts w:asciiTheme="minorHAnsi" w:hAnsiTheme="minorHAnsi" w:cstheme="minorHAnsi"/>
              </w:rPr>
              <w:t>Sistemas de ecuaciones lineales. Conjunto solución. Clasificación de sistemas. Sistemas equivalentes. Resolución de sistemas mediante triangulación. Aplicaciones. Matrices. Operaciones elementales. Ecuaciones matriciales. Matriz inversa. Determinantes.</w:t>
            </w:r>
          </w:p>
          <w:p w14:paraId="77CF605C" w14:textId="77777777" w:rsidR="005F0EA3" w:rsidRPr="00010BBF" w:rsidRDefault="005F0EA3" w:rsidP="005F0EA3">
            <w:pPr>
              <w:spacing w:before="240" w:line="360" w:lineRule="auto"/>
              <w:jc w:val="both"/>
              <w:rPr>
                <w:rFonts w:asciiTheme="minorHAnsi" w:hAnsiTheme="minorHAnsi" w:cstheme="minorHAnsi"/>
              </w:rPr>
            </w:pPr>
            <w:r w:rsidRPr="00715235">
              <w:rPr>
                <w:rFonts w:asciiTheme="minorHAnsi" w:hAnsiTheme="minorHAnsi" w:cstheme="minorHAnsi"/>
                <w:b/>
              </w:rPr>
              <w:t xml:space="preserve">Unidad 3: </w:t>
            </w:r>
            <w:r w:rsidRPr="00010BBF">
              <w:rPr>
                <w:rFonts w:asciiTheme="minorHAnsi" w:hAnsiTheme="minorHAnsi" w:cstheme="minorHAnsi"/>
              </w:rPr>
              <w:t xml:space="preserve">Espacios vectoriales. </w:t>
            </w:r>
            <m:oMath>
              <m:sSup>
                <m:sSupPr>
                  <m:ctrlPr>
                    <w:rPr>
                      <w:rFonts w:ascii="Cambria Math" w:hAnsi="Cambria Math" w:cstheme="minorHAnsi"/>
                    </w:rPr>
                  </m:ctrlPr>
                </m:sSupPr>
                <m:e>
                  <m:r>
                    <m:rPr>
                      <m:scr m:val="double-struck"/>
                      <m:sty m:val="p"/>
                    </m:rPr>
                    <w:rPr>
                      <w:rFonts w:ascii="Cambria Math" w:hAnsi="Cambria Math" w:cstheme="minorHAnsi"/>
                    </w:rPr>
                    <m:t>R</m:t>
                  </m:r>
                </m:e>
                <m:sup>
                  <m:r>
                    <w:rPr>
                      <w:rFonts w:ascii="Cambria Math" w:hAnsi="Cambria Math" w:cstheme="minorHAnsi"/>
                    </w:rPr>
                    <m:t>n</m:t>
                  </m:r>
                </m:sup>
              </m:sSup>
            </m:oMath>
            <w:r w:rsidRPr="00010BBF">
              <w:rPr>
                <w:rFonts w:asciiTheme="minorHAnsi" w:hAnsiTheme="minorHAnsi" w:cstheme="minorHAnsi"/>
              </w:rPr>
              <w:t xml:space="preserve"> como espacio vectorial. Espacios vectoriales generales. Subespacios. Espacio generado. Conjunto generador. Independencia lineal. Bases y dimensión. Transformaciones lineales. Núcleo e imagen.</w:t>
            </w:r>
            <w:r>
              <w:rPr>
                <w:rFonts w:asciiTheme="minorHAnsi" w:hAnsiTheme="minorHAnsi" w:cstheme="minorHAnsi"/>
              </w:rPr>
              <w:t xml:space="preserve"> Autovalores y Autovectores.</w:t>
            </w:r>
          </w:p>
          <w:p w14:paraId="60EB7D07" w14:textId="69B0A128" w:rsidR="00613F0A" w:rsidRDefault="005F0EA3" w:rsidP="00131759">
            <w:pPr>
              <w:spacing w:before="120" w:after="120" w:line="360" w:lineRule="auto"/>
              <w:jc w:val="both"/>
            </w:pPr>
            <w:r w:rsidRPr="00715235">
              <w:rPr>
                <w:rFonts w:asciiTheme="minorHAnsi" w:hAnsiTheme="minorHAnsi" w:cstheme="minorHAnsi"/>
                <w:b/>
              </w:rPr>
              <w:t>Unidad 4:</w:t>
            </w:r>
            <w:r>
              <w:rPr>
                <w:rFonts w:asciiTheme="minorHAnsi" w:hAnsiTheme="minorHAnsi" w:cstheme="minorHAnsi"/>
                <w:b/>
              </w:rPr>
              <w:t xml:space="preserve"> </w:t>
            </w:r>
            <w:r w:rsidRPr="00010BBF">
              <w:rPr>
                <w:rFonts w:asciiTheme="minorHAnsi" w:hAnsiTheme="minorHAnsi" w:cstheme="minorHAnsi"/>
              </w:rPr>
              <w:t>Conjunto de los números complejos como espacio vectorial. Forma Binómica. Número complejo conjugado. Módulo de un número complejo. Inverso multiplicativo y división.</w:t>
            </w: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A84EB8"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7F8FEF34" w14:textId="77777777" w:rsidR="005F0EA3" w:rsidRDefault="005F0EA3" w:rsidP="00131759">
            <w:pPr>
              <w:spacing w:before="240" w:after="0" w:line="360" w:lineRule="auto"/>
              <w:jc w:val="both"/>
              <w:rPr>
                <w:rFonts w:asciiTheme="minorHAnsi" w:hAnsiTheme="minorHAnsi" w:cstheme="minorHAnsi"/>
                <w:b/>
              </w:rPr>
            </w:pPr>
            <w:r w:rsidRPr="00CC20EF">
              <w:rPr>
                <w:rFonts w:asciiTheme="minorHAnsi" w:hAnsiTheme="minorHAnsi" w:cstheme="minorHAnsi"/>
                <w:b/>
              </w:rPr>
              <w:t>Obligatoria:</w:t>
            </w:r>
          </w:p>
          <w:p w14:paraId="4FD8A848" w14:textId="77777777" w:rsidR="005F0EA3" w:rsidRDefault="005F0EA3" w:rsidP="00131759">
            <w:pPr>
              <w:spacing w:line="360" w:lineRule="auto"/>
              <w:jc w:val="both"/>
              <w:rPr>
                <w:rFonts w:asciiTheme="minorHAnsi" w:hAnsiTheme="minorHAnsi" w:cstheme="minorHAnsi"/>
                <w:b/>
              </w:rPr>
            </w:pPr>
            <w:r>
              <w:rPr>
                <w:rFonts w:asciiTheme="minorHAnsi" w:hAnsiTheme="minorHAnsi" w:cstheme="minorHAnsi"/>
                <w:b/>
              </w:rPr>
              <w:t>Unidad 1:</w:t>
            </w:r>
          </w:p>
          <w:p w14:paraId="41660963" w14:textId="330E51D6" w:rsidR="00FD63F7" w:rsidRDefault="005F0EA3" w:rsidP="00FD63F7">
            <w:pPr>
              <w:spacing w:before="240" w:line="360" w:lineRule="auto"/>
              <w:jc w:val="both"/>
              <w:rPr>
                <w:rFonts w:asciiTheme="minorHAnsi" w:hAnsiTheme="minorHAnsi" w:cstheme="minorHAnsi"/>
                <w:b/>
              </w:rPr>
            </w:pPr>
            <w:r>
              <w:rPr>
                <w:rFonts w:asciiTheme="minorHAnsi" w:hAnsiTheme="minorHAnsi" w:cstheme="minorHAnsi"/>
              </w:rPr>
              <w:t>-</w:t>
            </w:r>
            <w:r w:rsidR="00FD63F7">
              <w:rPr>
                <w:rFonts w:asciiTheme="minorHAnsi" w:hAnsiTheme="minorHAnsi" w:cstheme="minorHAnsi"/>
              </w:rPr>
              <w:t xml:space="preserve"> </w:t>
            </w:r>
            <w:r w:rsidR="00FD63F7" w:rsidRPr="006A1AD0">
              <w:rPr>
                <w:rFonts w:asciiTheme="minorHAnsi" w:hAnsiTheme="minorHAnsi" w:cstheme="minorHAnsi"/>
              </w:rPr>
              <w:t>Olmos, G. (2023</w:t>
            </w:r>
            <w:r w:rsidR="00FD63F7" w:rsidRPr="00FD63F7">
              <w:rPr>
                <w:rFonts w:asciiTheme="minorHAnsi" w:hAnsiTheme="minorHAnsi" w:cstheme="minorHAnsi"/>
                <w:iCs/>
              </w:rPr>
              <w:t>).</w:t>
            </w:r>
            <w:r w:rsidR="00FD63F7" w:rsidRPr="00F27E61">
              <w:rPr>
                <w:rFonts w:asciiTheme="minorHAnsi" w:hAnsiTheme="minorHAnsi" w:cstheme="minorHAnsi"/>
                <w:i/>
              </w:rPr>
              <w:t xml:space="preserve"> Álgebra y Geometría Analítica.</w:t>
            </w:r>
            <w:r w:rsidR="00FD63F7">
              <w:rPr>
                <w:rFonts w:asciiTheme="minorHAnsi" w:hAnsiTheme="minorHAnsi" w:cstheme="minorHAnsi"/>
                <w:b/>
              </w:rPr>
              <w:t xml:space="preserve"> </w:t>
            </w:r>
            <w:r w:rsidR="00FD63F7" w:rsidRPr="006A1AD0">
              <w:rPr>
                <w:rFonts w:asciiTheme="minorHAnsi" w:hAnsiTheme="minorHAnsi" w:cstheme="minorHAnsi"/>
                <w:i/>
              </w:rPr>
              <w:t>Apunte de clase.</w:t>
            </w:r>
            <w:r w:rsidR="00FD63F7">
              <w:rPr>
                <w:rFonts w:asciiTheme="minorHAnsi" w:hAnsiTheme="minorHAnsi" w:cstheme="minorHAnsi"/>
              </w:rPr>
              <w:t xml:space="preserve"> UNPAZ. LGTI.</w:t>
            </w:r>
          </w:p>
          <w:p w14:paraId="45BCBEE1" w14:textId="14031F56" w:rsidR="005F0EA3" w:rsidRPr="00BB4B92" w:rsidRDefault="00FD63F7" w:rsidP="005F0EA3">
            <w:pPr>
              <w:spacing w:line="360" w:lineRule="auto"/>
              <w:jc w:val="both"/>
              <w:rPr>
                <w:rFonts w:asciiTheme="minorHAnsi" w:hAnsiTheme="minorHAnsi" w:cstheme="minorHAnsi"/>
                <w:b/>
              </w:rPr>
            </w:pPr>
            <w:r>
              <w:rPr>
                <w:rFonts w:asciiTheme="minorHAnsi" w:hAnsiTheme="minorHAnsi" w:cstheme="minorHAnsi"/>
              </w:rPr>
              <w:lastRenderedPageBreak/>
              <w:t xml:space="preserve">- </w:t>
            </w:r>
            <w:hyperlink r:id="rId8" w:tgtFrame="_blank" w:history="1">
              <w:r w:rsidR="005F0EA3">
                <w:rPr>
                  <w:rFonts w:asciiTheme="minorHAnsi" w:hAnsiTheme="minorHAnsi" w:cstheme="minorHAnsi"/>
                </w:rPr>
                <w:t>Alejandra Maestripieri; Martín Pavón</w:t>
              </w:r>
              <w:r w:rsidR="005F0EA3" w:rsidRPr="00BB4B92">
                <w:rPr>
                  <w:rFonts w:asciiTheme="minorHAnsi" w:hAnsiTheme="minorHAnsi" w:cstheme="minorHAnsi"/>
                </w:rPr>
                <w:t>; Paula Resmesar (2017). </w:t>
              </w:r>
              <w:r w:rsidR="005F0EA3" w:rsidRPr="00BB4B92">
                <w:rPr>
                  <w:rFonts w:asciiTheme="minorHAnsi" w:hAnsiTheme="minorHAnsi" w:cstheme="minorHAnsi"/>
                  <w:i/>
                </w:rPr>
                <w:t>Notas de álgebra lineal.</w:t>
              </w:r>
              <w:r w:rsidR="005F0EA3" w:rsidRPr="00BB4B92">
                <w:rPr>
                  <w:rFonts w:asciiTheme="minorHAnsi" w:hAnsiTheme="minorHAnsi" w:cstheme="minorHAnsi"/>
                </w:rPr>
                <w:t> 1a ed. 4a reimp. Los Polvorines: Universidad Nacional de General Sarmiento.</w:t>
              </w:r>
            </w:hyperlink>
            <w:r w:rsidR="005F0EA3">
              <w:rPr>
                <w:rFonts w:asciiTheme="minorHAnsi" w:hAnsiTheme="minorHAnsi" w:cstheme="minorHAnsi"/>
              </w:rPr>
              <w:t xml:space="preserve"> Capítulo 1.</w:t>
            </w:r>
          </w:p>
          <w:p w14:paraId="74F386B7" w14:textId="77777777" w:rsidR="005F0EA3" w:rsidRDefault="005F0EA3" w:rsidP="005F0EA3">
            <w:pPr>
              <w:spacing w:line="360" w:lineRule="auto"/>
              <w:jc w:val="both"/>
              <w:rPr>
                <w:rFonts w:asciiTheme="minorHAnsi" w:hAnsiTheme="minorHAnsi" w:cstheme="minorHAnsi"/>
                <w:b/>
              </w:rPr>
            </w:pPr>
            <w:r w:rsidRPr="00531FCD">
              <w:rPr>
                <w:rFonts w:asciiTheme="minorHAnsi" w:hAnsiTheme="minorHAnsi" w:cstheme="minorHAnsi"/>
                <w:b/>
              </w:rPr>
              <w:t>Unidad 2:</w:t>
            </w:r>
          </w:p>
          <w:p w14:paraId="46705109" w14:textId="1EC6ABCB" w:rsidR="00FD63F7" w:rsidRDefault="00FD63F7" w:rsidP="00FD63F7">
            <w:pPr>
              <w:spacing w:before="240" w:line="360" w:lineRule="auto"/>
              <w:jc w:val="both"/>
              <w:rPr>
                <w:rFonts w:asciiTheme="minorHAnsi" w:hAnsiTheme="minorHAnsi" w:cstheme="minorHAnsi"/>
                <w:b/>
              </w:rPr>
            </w:pPr>
            <w:r>
              <w:rPr>
                <w:rFonts w:asciiTheme="minorHAnsi" w:hAnsiTheme="minorHAnsi" w:cstheme="minorHAnsi"/>
              </w:rPr>
              <w:t xml:space="preserve">- </w:t>
            </w:r>
            <w:r w:rsidRPr="006A1AD0">
              <w:rPr>
                <w:rFonts w:asciiTheme="minorHAnsi" w:hAnsiTheme="minorHAnsi" w:cstheme="minorHAnsi"/>
              </w:rPr>
              <w:t>Olmos, G. (2023</w:t>
            </w:r>
            <w:r w:rsidRPr="00FD63F7">
              <w:rPr>
                <w:rFonts w:asciiTheme="minorHAnsi" w:hAnsiTheme="minorHAnsi" w:cstheme="minorHAnsi"/>
                <w:iCs/>
              </w:rPr>
              <w:t>).</w:t>
            </w:r>
            <w:r w:rsidRPr="006A1AD0">
              <w:rPr>
                <w:rFonts w:asciiTheme="minorHAnsi" w:hAnsiTheme="minorHAnsi" w:cstheme="minorHAnsi"/>
                <w:i/>
              </w:rPr>
              <w:t xml:space="preserve"> Álgebra y Geometría Analítica.</w:t>
            </w:r>
            <w:r>
              <w:rPr>
                <w:rFonts w:asciiTheme="minorHAnsi" w:hAnsiTheme="minorHAnsi" w:cstheme="minorHAnsi"/>
                <w:b/>
              </w:rPr>
              <w:t xml:space="preserve"> </w:t>
            </w:r>
            <w:r w:rsidRPr="006A1AD0">
              <w:rPr>
                <w:rFonts w:asciiTheme="minorHAnsi" w:hAnsiTheme="minorHAnsi" w:cstheme="minorHAnsi"/>
                <w:i/>
              </w:rPr>
              <w:t>Apunte de clase.</w:t>
            </w:r>
            <w:r>
              <w:rPr>
                <w:rFonts w:asciiTheme="minorHAnsi" w:hAnsiTheme="minorHAnsi" w:cstheme="minorHAnsi"/>
              </w:rPr>
              <w:t xml:space="preserve"> UNPAZ. LGTI.</w:t>
            </w:r>
          </w:p>
          <w:p w14:paraId="3D841789" w14:textId="53F1B9CC" w:rsidR="005F0EA3" w:rsidRPr="00BB4B92" w:rsidRDefault="005F0EA3" w:rsidP="00131759">
            <w:pPr>
              <w:spacing w:before="240" w:line="360" w:lineRule="auto"/>
              <w:jc w:val="both"/>
              <w:rPr>
                <w:rFonts w:asciiTheme="minorHAnsi" w:hAnsiTheme="minorHAnsi" w:cstheme="minorHAnsi"/>
                <w:b/>
              </w:rPr>
            </w:pPr>
            <w:r>
              <w:rPr>
                <w:rFonts w:asciiTheme="minorHAnsi" w:hAnsiTheme="minorHAnsi" w:cstheme="minorHAnsi"/>
              </w:rPr>
              <w:t>-</w:t>
            </w:r>
            <w:hyperlink r:id="rId9" w:tgtFrame="_blank" w:history="1">
              <w:r>
                <w:rPr>
                  <w:rFonts w:asciiTheme="minorHAnsi" w:hAnsiTheme="minorHAnsi" w:cstheme="minorHAnsi"/>
                </w:rPr>
                <w:t>Alejandra Maestripieri; Martín Pavón</w:t>
              </w:r>
              <w:r w:rsidRPr="00BB4B92">
                <w:rPr>
                  <w:rFonts w:asciiTheme="minorHAnsi" w:hAnsiTheme="minorHAnsi" w:cstheme="minorHAnsi"/>
                </w:rPr>
                <w:t>; Paula Resmesar (2017). </w:t>
              </w:r>
              <w:r w:rsidRPr="00BB4B92">
                <w:rPr>
                  <w:rFonts w:asciiTheme="minorHAnsi" w:hAnsiTheme="minorHAnsi" w:cstheme="minorHAnsi"/>
                  <w:i/>
                </w:rPr>
                <w:t>Notas de álgebra lineal.</w:t>
              </w:r>
              <w:r w:rsidRPr="00BB4B92">
                <w:rPr>
                  <w:rFonts w:asciiTheme="minorHAnsi" w:hAnsiTheme="minorHAnsi" w:cstheme="minorHAnsi"/>
                </w:rPr>
                <w:t> </w:t>
              </w:r>
              <w:r>
                <w:rPr>
                  <w:rFonts w:asciiTheme="minorHAnsi" w:hAnsiTheme="minorHAnsi" w:cstheme="minorHAnsi"/>
                </w:rPr>
                <w:t>1a ed. 4a reimp. Los Polvorines</w:t>
              </w:r>
              <w:r w:rsidRPr="00BB4B92">
                <w:rPr>
                  <w:rFonts w:asciiTheme="minorHAnsi" w:hAnsiTheme="minorHAnsi" w:cstheme="minorHAnsi"/>
                </w:rPr>
                <w:t>: Universidad Nacional de General Sarmiento.</w:t>
              </w:r>
            </w:hyperlink>
            <w:r>
              <w:rPr>
                <w:rFonts w:asciiTheme="minorHAnsi" w:hAnsiTheme="minorHAnsi" w:cstheme="minorHAnsi"/>
              </w:rPr>
              <w:t xml:space="preserve"> Capítulos 2, 3 y 4.</w:t>
            </w:r>
          </w:p>
          <w:p w14:paraId="0F87C2C2" w14:textId="77777777" w:rsidR="005F0EA3" w:rsidRDefault="005F0EA3" w:rsidP="005F0EA3">
            <w:pPr>
              <w:spacing w:line="360" w:lineRule="auto"/>
              <w:jc w:val="both"/>
              <w:rPr>
                <w:rFonts w:asciiTheme="minorHAnsi" w:hAnsiTheme="minorHAnsi" w:cstheme="minorHAnsi"/>
                <w:b/>
              </w:rPr>
            </w:pPr>
            <w:r>
              <w:rPr>
                <w:rFonts w:asciiTheme="minorHAnsi" w:hAnsiTheme="minorHAnsi" w:cstheme="minorHAnsi"/>
                <w:b/>
              </w:rPr>
              <w:t>Unidad 3</w:t>
            </w:r>
            <w:r w:rsidRPr="00531FCD">
              <w:rPr>
                <w:rFonts w:asciiTheme="minorHAnsi" w:hAnsiTheme="minorHAnsi" w:cstheme="minorHAnsi"/>
                <w:b/>
              </w:rPr>
              <w:t>:</w:t>
            </w:r>
          </w:p>
          <w:p w14:paraId="5CCEB5DE" w14:textId="77777777" w:rsidR="00FD63F7" w:rsidRDefault="00FD63F7" w:rsidP="00FD63F7">
            <w:pPr>
              <w:spacing w:before="240" w:line="360" w:lineRule="auto"/>
              <w:jc w:val="both"/>
              <w:rPr>
                <w:rFonts w:asciiTheme="minorHAnsi" w:hAnsiTheme="minorHAnsi" w:cstheme="minorHAnsi"/>
                <w:b/>
              </w:rPr>
            </w:pPr>
            <w:r>
              <w:rPr>
                <w:rFonts w:asciiTheme="minorHAnsi" w:hAnsiTheme="minorHAnsi" w:cstheme="minorHAnsi"/>
                <w:b/>
              </w:rPr>
              <w:t xml:space="preserve">- </w:t>
            </w:r>
            <w:r w:rsidRPr="006A1AD0">
              <w:rPr>
                <w:rFonts w:asciiTheme="minorHAnsi" w:hAnsiTheme="minorHAnsi" w:cstheme="minorHAnsi"/>
              </w:rPr>
              <w:t>Olmos, G. (2023</w:t>
            </w:r>
            <w:r w:rsidRPr="00FD63F7">
              <w:rPr>
                <w:rFonts w:asciiTheme="minorHAnsi" w:hAnsiTheme="minorHAnsi" w:cstheme="minorHAnsi"/>
                <w:iCs/>
              </w:rPr>
              <w:t>).</w:t>
            </w:r>
            <w:r w:rsidRPr="006A1AD0">
              <w:rPr>
                <w:rFonts w:asciiTheme="minorHAnsi" w:hAnsiTheme="minorHAnsi" w:cstheme="minorHAnsi"/>
                <w:i/>
              </w:rPr>
              <w:t xml:space="preserve"> Álgebra y Geometría Analítica.</w:t>
            </w:r>
            <w:r>
              <w:rPr>
                <w:rFonts w:asciiTheme="minorHAnsi" w:hAnsiTheme="minorHAnsi" w:cstheme="minorHAnsi"/>
                <w:b/>
              </w:rPr>
              <w:t xml:space="preserve"> </w:t>
            </w:r>
            <w:r w:rsidRPr="006A1AD0">
              <w:rPr>
                <w:rFonts w:asciiTheme="minorHAnsi" w:hAnsiTheme="minorHAnsi" w:cstheme="minorHAnsi"/>
                <w:i/>
              </w:rPr>
              <w:t>Apunte de clase.</w:t>
            </w:r>
            <w:r>
              <w:rPr>
                <w:rFonts w:asciiTheme="minorHAnsi" w:hAnsiTheme="minorHAnsi" w:cstheme="minorHAnsi"/>
              </w:rPr>
              <w:t xml:space="preserve"> UNPAZ. LGTI.</w:t>
            </w:r>
          </w:p>
          <w:p w14:paraId="664733BD" w14:textId="1165FB21" w:rsidR="005F0EA3" w:rsidRPr="00BB4B92" w:rsidRDefault="005F0EA3" w:rsidP="005F0EA3">
            <w:pPr>
              <w:spacing w:line="360" w:lineRule="auto"/>
              <w:jc w:val="both"/>
              <w:rPr>
                <w:rFonts w:asciiTheme="minorHAnsi" w:hAnsiTheme="minorHAnsi" w:cstheme="minorHAnsi"/>
                <w:b/>
              </w:rPr>
            </w:pPr>
            <w:r>
              <w:rPr>
                <w:rFonts w:asciiTheme="minorHAnsi" w:hAnsiTheme="minorHAnsi" w:cstheme="minorHAnsi"/>
                <w:b/>
              </w:rPr>
              <w:t xml:space="preserve">- </w:t>
            </w:r>
            <w:hyperlink r:id="rId10" w:tgtFrame="_blank" w:history="1">
              <w:r w:rsidRPr="00BB4B92">
                <w:rPr>
                  <w:rFonts w:asciiTheme="minorHAnsi" w:hAnsiTheme="minorHAnsi" w:cstheme="minorHAnsi"/>
                </w:rPr>
                <w:t>V. Costa, R. Rossignoli, C. Sorichetti y V. Vampa. Coordinación general de Raúl Rossignoli (2018). </w:t>
              </w:r>
              <w:r w:rsidRPr="00BB4B92">
                <w:rPr>
                  <w:rFonts w:asciiTheme="minorHAnsi" w:hAnsiTheme="minorHAnsi" w:cstheme="minorHAnsi"/>
                  <w:i/>
                </w:rPr>
                <w:t xml:space="preserve">Álgebra lineal con aplicaciones: parte I. </w:t>
              </w:r>
              <w:r w:rsidRPr="00BB4B92">
                <w:rPr>
                  <w:rFonts w:asciiTheme="minorHAnsi" w:hAnsiTheme="minorHAnsi" w:cstheme="minorHAnsi"/>
                </w:rPr>
                <w:t>1a edición para el alumno. La Plata: U</w:t>
              </w:r>
              <w:r>
                <w:rPr>
                  <w:rFonts w:asciiTheme="minorHAnsi" w:hAnsiTheme="minorHAnsi" w:cstheme="minorHAnsi"/>
                </w:rPr>
                <w:t>niversidad Nacional de La Plata</w:t>
              </w:r>
              <w:r w:rsidRPr="00BB4B92">
                <w:rPr>
                  <w:rFonts w:asciiTheme="minorHAnsi" w:hAnsiTheme="minorHAnsi" w:cstheme="minorHAnsi"/>
                </w:rPr>
                <w:t>; La Plata: EDULP.</w:t>
              </w:r>
            </w:hyperlink>
            <w:r>
              <w:rPr>
                <w:rFonts w:asciiTheme="minorHAnsi" w:hAnsiTheme="minorHAnsi" w:cstheme="minorHAnsi"/>
              </w:rPr>
              <w:t xml:space="preserve"> Capítulos 4 y 5.</w:t>
            </w:r>
          </w:p>
          <w:p w14:paraId="5498BA64" w14:textId="77777777" w:rsidR="005F0EA3" w:rsidRDefault="005F0EA3" w:rsidP="005F0EA3">
            <w:pPr>
              <w:spacing w:line="360" w:lineRule="auto"/>
              <w:jc w:val="both"/>
              <w:rPr>
                <w:rFonts w:asciiTheme="minorHAnsi" w:hAnsiTheme="minorHAnsi" w:cstheme="minorHAnsi"/>
                <w:b/>
              </w:rPr>
            </w:pPr>
            <w:r w:rsidRPr="00531FCD">
              <w:rPr>
                <w:rFonts w:asciiTheme="minorHAnsi" w:hAnsiTheme="minorHAnsi" w:cstheme="minorHAnsi"/>
                <w:b/>
              </w:rPr>
              <w:t>Unidad 4:</w:t>
            </w:r>
          </w:p>
          <w:p w14:paraId="49077529" w14:textId="77777777" w:rsidR="00FD63F7" w:rsidRDefault="00FD63F7" w:rsidP="00FD63F7">
            <w:pPr>
              <w:spacing w:before="240" w:line="360" w:lineRule="auto"/>
              <w:jc w:val="both"/>
              <w:rPr>
                <w:rFonts w:asciiTheme="minorHAnsi" w:hAnsiTheme="minorHAnsi" w:cstheme="minorHAnsi"/>
                <w:b/>
              </w:rPr>
            </w:pPr>
            <w:r>
              <w:rPr>
                <w:rFonts w:asciiTheme="minorHAnsi" w:hAnsiTheme="minorHAnsi" w:cstheme="minorHAnsi"/>
                <w:b/>
              </w:rPr>
              <w:t xml:space="preserve">- </w:t>
            </w:r>
            <w:r w:rsidRPr="006A1AD0">
              <w:rPr>
                <w:rFonts w:asciiTheme="minorHAnsi" w:hAnsiTheme="minorHAnsi" w:cstheme="minorHAnsi"/>
              </w:rPr>
              <w:t>Olmos, G. (2023</w:t>
            </w:r>
            <w:r w:rsidRPr="00FD63F7">
              <w:rPr>
                <w:rFonts w:asciiTheme="minorHAnsi" w:hAnsiTheme="minorHAnsi" w:cstheme="minorHAnsi"/>
                <w:iCs/>
              </w:rPr>
              <w:t>).</w:t>
            </w:r>
            <w:r w:rsidRPr="006A1AD0">
              <w:rPr>
                <w:rFonts w:asciiTheme="minorHAnsi" w:hAnsiTheme="minorHAnsi" w:cstheme="minorHAnsi"/>
                <w:i/>
              </w:rPr>
              <w:t xml:space="preserve"> Álgebra y Geometría Analítica.</w:t>
            </w:r>
            <w:r>
              <w:rPr>
                <w:rFonts w:asciiTheme="minorHAnsi" w:hAnsiTheme="minorHAnsi" w:cstheme="minorHAnsi"/>
                <w:b/>
              </w:rPr>
              <w:t xml:space="preserve"> </w:t>
            </w:r>
            <w:r w:rsidRPr="006A1AD0">
              <w:rPr>
                <w:rFonts w:asciiTheme="minorHAnsi" w:hAnsiTheme="minorHAnsi" w:cstheme="minorHAnsi"/>
                <w:i/>
              </w:rPr>
              <w:t>Apunte de clase.</w:t>
            </w:r>
            <w:r>
              <w:rPr>
                <w:rFonts w:asciiTheme="minorHAnsi" w:hAnsiTheme="minorHAnsi" w:cstheme="minorHAnsi"/>
              </w:rPr>
              <w:t xml:space="preserve"> UNPAZ. LGTI.</w:t>
            </w:r>
          </w:p>
          <w:p w14:paraId="02337B47" w14:textId="3C98CA44" w:rsidR="005F0EA3" w:rsidRPr="00BB4B92" w:rsidRDefault="005F0EA3" w:rsidP="005F0EA3">
            <w:pPr>
              <w:spacing w:line="360" w:lineRule="auto"/>
              <w:jc w:val="both"/>
              <w:rPr>
                <w:rFonts w:asciiTheme="minorHAnsi" w:hAnsiTheme="minorHAnsi" w:cstheme="minorHAnsi"/>
                <w:b/>
              </w:rPr>
            </w:pPr>
            <w:r>
              <w:rPr>
                <w:rFonts w:asciiTheme="minorHAnsi" w:hAnsiTheme="minorHAnsi" w:cstheme="minorHAnsi"/>
                <w:b/>
              </w:rPr>
              <w:t xml:space="preserve">- </w:t>
            </w:r>
            <w:hyperlink r:id="rId11" w:tgtFrame="_blank" w:history="1">
              <w:r w:rsidRPr="00BB4B92">
                <w:rPr>
                  <w:rFonts w:asciiTheme="minorHAnsi" w:hAnsiTheme="minorHAnsi" w:cstheme="minorHAnsi"/>
                </w:rPr>
                <w:t>Diana Rubio (2013). </w:t>
              </w:r>
              <w:r w:rsidRPr="00BB4B92">
                <w:rPr>
                  <w:rFonts w:asciiTheme="minorHAnsi" w:hAnsiTheme="minorHAnsi" w:cstheme="minorHAnsi"/>
                  <w:i/>
                </w:rPr>
                <w:t>Números complejos</w:t>
              </w:r>
              <w:r w:rsidRPr="00BB4B92">
                <w:rPr>
                  <w:rFonts w:asciiTheme="minorHAnsi" w:hAnsiTheme="minorHAnsi" w:cstheme="minorHAnsi"/>
                </w:rPr>
                <w:t>. 1a ed. 2a reimp. - Los Polvorines: Univ. Nacional de General Sarmiento.</w:t>
              </w:r>
            </w:hyperlink>
          </w:p>
          <w:p w14:paraId="0C0D0A51" w14:textId="77777777" w:rsidR="005F0EA3" w:rsidRDefault="005F0EA3" w:rsidP="005F0EA3">
            <w:pPr>
              <w:spacing w:before="240" w:line="360" w:lineRule="auto"/>
              <w:jc w:val="both"/>
              <w:rPr>
                <w:rFonts w:asciiTheme="minorHAnsi" w:hAnsiTheme="minorHAnsi" w:cstheme="minorHAnsi"/>
                <w:b/>
              </w:rPr>
            </w:pPr>
            <w:r w:rsidRPr="00CC20EF">
              <w:rPr>
                <w:rFonts w:asciiTheme="minorHAnsi" w:hAnsiTheme="minorHAnsi" w:cstheme="minorHAnsi"/>
                <w:b/>
              </w:rPr>
              <w:t>Complementaria:</w:t>
            </w:r>
          </w:p>
          <w:p w14:paraId="6B518FC1" w14:textId="77777777" w:rsidR="005F0EA3" w:rsidRDefault="005F0EA3" w:rsidP="005F0EA3">
            <w:pPr>
              <w:spacing w:line="360" w:lineRule="auto"/>
              <w:jc w:val="both"/>
              <w:rPr>
                <w:rFonts w:asciiTheme="minorHAnsi" w:hAnsiTheme="minorHAnsi" w:cstheme="minorHAnsi"/>
                <w:b/>
              </w:rPr>
            </w:pPr>
            <w:r>
              <w:rPr>
                <w:rFonts w:asciiTheme="minorHAnsi" w:hAnsiTheme="minorHAnsi" w:cstheme="minorHAnsi"/>
                <w:b/>
              </w:rPr>
              <w:t xml:space="preserve">Para las unidades 1 y 2: </w:t>
            </w:r>
          </w:p>
          <w:p w14:paraId="3304D724" w14:textId="1940550D" w:rsidR="005F0EA3" w:rsidRPr="00BB4B92" w:rsidRDefault="005F0EA3" w:rsidP="005F0EA3">
            <w:pPr>
              <w:spacing w:line="360" w:lineRule="auto"/>
              <w:jc w:val="both"/>
              <w:rPr>
                <w:rFonts w:asciiTheme="minorHAnsi" w:hAnsiTheme="minorHAnsi" w:cstheme="minorHAnsi"/>
                <w:b/>
              </w:rPr>
            </w:pPr>
            <w:r>
              <w:rPr>
                <w:rFonts w:asciiTheme="minorHAnsi" w:hAnsiTheme="minorHAnsi" w:cstheme="minorHAnsi"/>
                <w:b/>
              </w:rPr>
              <w:t xml:space="preserve">- </w:t>
            </w:r>
            <w:hyperlink r:id="rId12" w:tgtFrame="_blank" w:history="1">
              <w:r w:rsidRPr="00BB4B92">
                <w:rPr>
                  <w:rFonts w:asciiTheme="minorHAnsi" w:hAnsiTheme="minorHAnsi" w:cstheme="minorHAnsi"/>
                </w:rPr>
                <w:t>V. Costa, R. Rossignoli, C. Sorichetti y V. Vampa. Coordinación general de Raúl Rossignoli (2018). </w:t>
              </w:r>
              <w:r w:rsidRPr="00BB4B92">
                <w:rPr>
                  <w:rFonts w:asciiTheme="minorHAnsi" w:hAnsiTheme="minorHAnsi" w:cstheme="minorHAnsi"/>
                  <w:i/>
                </w:rPr>
                <w:t xml:space="preserve">Álgebra lineal con aplicaciones: parte I. </w:t>
              </w:r>
              <w:r w:rsidRPr="00BB4B92">
                <w:rPr>
                  <w:rFonts w:asciiTheme="minorHAnsi" w:hAnsiTheme="minorHAnsi" w:cstheme="minorHAnsi"/>
                </w:rPr>
                <w:t xml:space="preserve">1a edición para el alumno. La Plata: Universidad Nacional de La Plata; La </w:t>
              </w:r>
              <w:r w:rsidR="00656F44" w:rsidRPr="00BB4B92">
                <w:rPr>
                  <w:rFonts w:asciiTheme="minorHAnsi" w:hAnsiTheme="minorHAnsi" w:cstheme="minorHAnsi"/>
                </w:rPr>
                <w:t>Plata:</w:t>
              </w:r>
              <w:r w:rsidRPr="00BB4B92">
                <w:rPr>
                  <w:rFonts w:asciiTheme="minorHAnsi" w:hAnsiTheme="minorHAnsi" w:cstheme="minorHAnsi"/>
                </w:rPr>
                <w:t xml:space="preserve"> EDULP.</w:t>
              </w:r>
            </w:hyperlink>
            <w:r>
              <w:rPr>
                <w:rFonts w:asciiTheme="minorHAnsi" w:hAnsiTheme="minorHAnsi" w:cstheme="minorHAnsi"/>
              </w:rPr>
              <w:t xml:space="preserve"> Capítulos 1, 2 y 3.</w:t>
            </w:r>
          </w:p>
          <w:p w14:paraId="5BBE4A55" w14:textId="77777777" w:rsidR="005F0EA3" w:rsidRDefault="005F0EA3" w:rsidP="005F0EA3">
            <w:pPr>
              <w:spacing w:line="360" w:lineRule="auto"/>
              <w:jc w:val="both"/>
              <w:rPr>
                <w:rFonts w:asciiTheme="minorHAnsi" w:hAnsiTheme="minorHAnsi" w:cstheme="minorHAnsi"/>
                <w:b/>
              </w:rPr>
            </w:pPr>
            <w:r>
              <w:rPr>
                <w:rFonts w:asciiTheme="minorHAnsi" w:hAnsiTheme="minorHAnsi" w:cstheme="minorHAnsi"/>
                <w:b/>
              </w:rPr>
              <w:t>Para las unidades 2 y 3:</w:t>
            </w:r>
          </w:p>
          <w:p w14:paraId="2E3678F2" w14:textId="77777777" w:rsidR="005F0EA3" w:rsidRPr="00C968ED" w:rsidRDefault="005F0EA3" w:rsidP="005F0EA3">
            <w:pPr>
              <w:spacing w:line="360" w:lineRule="auto"/>
              <w:jc w:val="both"/>
              <w:rPr>
                <w:rFonts w:asciiTheme="minorHAnsi" w:hAnsiTheme="minorHAnsi" w:cstheme="minorHAnsi"/>
              </w:rPr>
            </w:pPr>
            <w:r w:rsidRPr="00C968ED">
              <w:rPr>
                <w:rFonts w:asciiTheme="minorHAnsi" w:hAnsiTheme="minorHAnsi" w:cstheme="minorHAnsi"/>
              </w:rPr>
              <w:t xml:space="preserve">- Howard A. (1994). </w:t>
            </w:r>
            <w:r w:rsidRPr="00C968ED">
              <w:rPr>
                <w:rFonts w:asciiTheme="minorHAnsi" w:hAnsiTheme="minorHAnsi" w:cstheme="minorHAnsi"/>
                <w:i/>
              </w:rPr>
              <w:t>Introducción al álgebra lineal</w:t>
            </w:r>
            <w:r w:rsidRPr="00C968ED">
              <w:rPr>
                <w:rFonts w:asciiTheme="minorHAnsi" w:hAnsiTheme="minorHAnsi" w:cstheme="minorHAnsi"/>
              </w:rPr>
              <w:t>.</w:t>
            </w:r>
            <w:r>
              <w:rPr>
                <w:rFonts w:asciiTheme="minorHAnsi" w:hAnsiTheme="minorHAnsi" w:cstheme="minorHAnsi"/>
              </w:rPr>
              <w:t xml:space="preserve"> México. Ed. Limusa, S.A. de CV. Grupo Noriega Editores.</w:t>
            </w:r>
          </w:p>
          <w:p w14:paraId="7ACA9C20" w14:textId="77777777" w:rsidR="005F0EA3" w:rsidRDefault="005F0EA3" w:rsidP="005F0EA3">
            <w:pPr>
              <w:spacing w:line="360" w:lineRule="auto"/>
              <w:jc w:val="both"/>
              <w:rPr>
                <w:rFonts w:asciiTheme="minorHAnsi" w:hAnsiTheme="minorHAnsi" w:cstheme="minorHAnsi"/>
                <w:b/>
              </w:rPr>
            </w:pPr>
            <w:r>
              <w:rPr>
                <w:rFonts w:asciiTheme="minorHAnsi" w:hAnsiTheme="minorHAnsi" w:cstheme="minorHAnsi"/>
                <w:b/>
              </w:rPr>
              <w:t xml:space="preserve">Para la unidad 4: </w:t>
            </w:r>
          </w:p>
          <w:p w14:paraId="61B54E0A" w14:textId="725D9F7E" w:rsidR="00613F0A" w:rsidRDefault="005F0EA3" w:rsidP="00131759">
            <w:pPr>
              <w:spacing w:before="120" w:after="120" w:line="360" w:lineRule="auto"/>
              <w:jc w:val="both"/>
            </w:pPr>
            <w:r w:rsidRPr="00040608">
              <w:rPr>
                <w:rFonts w:asciiTheme="minorHAnsi" w:hAnsiTheme="minorHAnsi" w:cstheme="minorHAnsi"/>
              </w:rPr>
              <w:lastRenderedPageBreak/>
              <w:t xml:space="preserve">- Murúa, R. Pinasco, J.P. (2009). </w:t>
            </w:r>
            <w:r w:rsidRPr="008127CB">
              <w:rPr>
                <w:rFonts w:asciiTheme="minorHAnsi" w:hAnsiTheme="minorHAnsi" w:cstheme="minorHAnsi"/>
                <w:i/>
              </w:rPr>
              <w:t>Notas de elementos de matemática 2</w:t>
            </w:r>
            <w:r w:rsidRPr="00040608">
              <w:rPr>
                <w:rFonts w:asciiTheme="minorHAnsi" w:hAnsiTheme="minorHAnsi" w:cstheme="minorHAnsi"/>
              </w:rPr>
              <w:t>. Los Polvorines, Argentina: Editorial Universidad Nacional de General Sarmiento.</w:t>
            </w:r>
            <w:r>
              <w:rPr>
                <w:rFonts w:asciiTheme="minorHAnsi" w:hAnsiTheme="minorHAnsi" w:cstheme="minorHAnsi"/>
              </w:rPr>
              <w:t xml:space="preserve"> Capítulo 6.</w:t>
            </w:r>
            <w:r>
              <w:t>    </w:t>
            </w: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A84EB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4EE5D7A9" w14:textId="77777777" w:rsidR="00F146AC" w:rsidRPr="00DA7361" w:rsidRDefault="00F146AC" w:rsidP="00131759">
            <w:pPr>
              <w:spacing w:before="240" w:after="0" w:line="360" w:lineRule="auto"/>
              <w:jc w:val="both"/>
              <w:rPr>
                <w:rFonts w:eastAsia="Times New Roman" w:cs="Arial"/>
                <w:lang w:val="es-ES"/>
              </w:rPr>
            </w:pPr>
            <w:r w:rsidRPr="00DA7361">
              <w:rPr>
                <w:rFonts w:eastAsia="Times New Roman" w:cs="Arial"/>
                <w:lang w:val="es-ES"/>
              </w:rPr>
              <w:t xml:space="preserve">Los y las estudiantes dispondrán de una serie de guías de actividades que abarcan la totalidad de los temas tratados en la asignatura como de apuntes escritos por </w:t>
            </w:r>
            <w:r>
              <w:rPr>
                <w:rFonts w:eastAsia="Times New Roman" w:cs="Arial"/>
                <w:lang w:val="es-ES"/>
              </w:rPr>
              <w:t>el equipo</w:t>
            </w:r>
            <w:r w:rsidRPr="00DA7361">
              <w:rPr>
                <w:rFonts w:eastAsia="Times New Roman" w:cs="Arial"/>
                <w:lang w:val="es-ES"/>
              </w:rPr>
              <w:t xml:space="preserve"> docente que abarcan explicaciones y ejemplos de los contenidos.</w:t>
            </w:r>
          </w:p>
          <w:p w14:paraId="628F483B" w14:textId="77777777" w:rsidR="00F146AC" w:rsidRPr="00DA7361" w:rsidRDefault="00F146AC" w:rsidP="00131759">
            <w:pPr>
              <w:spacing w:before="240" w:after="0" w:line="360" w:lineRule="auto"/>
              <w:jc w:val="both"/>
              <w:rPr>
                <w:rFonts w:eastAsia="Times New Roman" w:cs="Arial"/>
                <w:lang w:val="es-ES"/>
              </w:rPr>
            </w:pPr>
            <w:r w:rsidRPr="00DA7361">
              <w:rPr>
                <w:rFonts w:eastAsia="Times New Roman" w:cs="Arial"/>
                <w:lang w:val="es-ES"/>
              </w:rPr>
              <w:t>Los y las docentes iniciarán los temas</w:t>
            </w:r>
            <w:r>
              <w:rPr>
                <w:rFonts w:eastAsia="Times New Roman" w:cs="Arial"/>
                <w:lang w:val="es-ES"/>
              </w:rPr>
              <w:t xml:space="preserve"> con exposiciones dialogadas </w:t>
            </w:r>
            <w:r w:rsidRPr="00DA7361">
              <w:rPr>
                <w:rFonts w:eastAsia="Times New Roman" w:cs="Arial"/>
                <w:lang w:val="es-ES"/>
              </w:rPr>
              <w:t xml:space="preserve">donde se propondrán situaciones problemáticas que para ser resueltas necesiten de la incorporación del tema a abordar. </w:t>
            </w:r>
          </w:p>
          <w:p w14:paraId="2DD2F778" w14:textId="77777777" w:rsidR="00F146AC" w:rsidRPr="00DA7361" w:rsidRDefault="00F146AC" w:rsidP="00F146AC">
            <w:pPr>
              <w:spacing w:after="0" w:line="360" w:lineRule="auto"/>
              <w:jc w:val="both"/>
              <w:rPr>
                <w:rFonts w:eastAsia="Times New Roman" w:cs="Arial"/>
                <w:lang w:val="es-ES"/>
              </w:rPr>
            </w:pPr>
            <w:r w:rsidRPr="00DA7361">
              <w:rPr>
                <w:rFonts w:eastAsia="Times New Roman" w:cs="Arial"/>
                <w:lang w:val="es-ES"/>
              </w:rPr>
              <w:t>Las clases serán teórico-prácticas y en ellas se irán poniendo en juego conceptos teóricos nuevos necesarios para avanzar con diferentes problemas que se formalizarán en el recorrido de las clases. Los y las docentes alternará</w:t>
            </w:r>
            <w:r>
              <w:rPr>
                <w:rFonts w:eastAsia="Times New Roman" w:cs="Arial"/>
                <w:lang w:val="es-ES"/>
              </w:rPr>
              <w:t>n</w:t>
            </w:r>
            <w:r w:rsidRPr="00DA7361">
              <w:rPr>
                <w:rFonts w:eastAsia="Times New Roman" w:cs="Arial"/>
                <w:lang w:val="es-ES"/>
              </w:rPr>
              <w:t xml:space="preserve"> su rol, entre asistente</w:t>
            </w:r>
            <w:r>
              <w:rPr>
                <w:rFonts w:eastAsia="Times New Roman" w:cs="Arial"/>
                <w:lang w:val="es-ES"/>
              </w:rPr>
              <w:t>s</w:t>
            </w:r>
            <w:r w:rsidRPr="00DA7361">
              <w:rPr>
                <w:rFonts w:eastAsia="Times New Roman" w:cs="Arial"/>
                <w:lang w:val="es-ES"/>
              </w:rPr>
              <w:t xml:space="preserve"> en la resolución de actividades que les proponga</w:t>
            </w:r>
            <w:r>
              <w:rPr>
                <w:rFonts w:eastAsia="Times New Roman" w:cs="Arial"/>
                <w:lang w:val="es-ES"/>
              </w:rPr>
              <w:t>n</w:t>
            </w:r>
            <w:r w:rsidRPr="00DA7361">
              <w:rPr>
                <w:rFonts w:eastAsia="Times New Roman" w:cs="Arial"/>
                <w:lang w:val="es-ES"/>
              </w:rPr>
              <w:t xml:space="preserve"> a los y las estudiantes y explicaciones en sobre cómo resolverlas. Habrá momentos centrados en el trabajo del estudiantado con los problemas</w:t>
            </w:r>
            <w:r>
              <w:rPr>
                <w:rFonts w:eastAsia="Times New Roman" w:cs="Arial"/>
                <w:lang w:val="es-ES"/>
              </w:rPr>
              <w:t xml:space="preserve"> </w:t>
            </w:r>
            <w:r w:rsidRPr="00DA7361">
              <w:rPr>
                <w:rFonts w:eastAsia="Times New Roman" w:cs="Arial"/>
                <w:lang w:val="es-ES"/>
              </w:rPr>
              <w:t xml:space="preserve">que </w:t>
            </w:r>
            <w:r>
              <w:rPr>
                <w:rFonts w:eastAsia="Times New Roman" w:cs="Arial"/>
                <w:lang w:val="es-ES"/>
              </w:rPr>
              <w:t>l</w:t>
            </w:r>
            <w:r w:rsidRPr="00585DAF">
              <w:rPr>
                <w:rFonts w:eastAsia="Times New Roman" w:cs="Arial"/>
                <w:lang w:val="es-ES"/>
              </w:rPr>
              <w:t xml:space="preserve">os y las docentes </w:t>
            </w:r>
            <w:r w:rsidRPr="00DA7361">
              <w:rPr>
                <w:rFonts w:eastAsia="Times New Roman" w:cs="Arial"/>
                <w:lang w:val="es-ES"/>
              </w:rPr>
              <w:t>a cargo propondrá</w:t>
            </w:r>
            <w:r>
              <w:rPr>
                <w:rFonts w:eastAsia="Times New Roman" w:cs="Arial"/>
                <w:lang w:val="es-ES"/>
              </w:rPr>
              <w:t>n,</w:t>
            </w:r>
            <w:r w:rsidRPr="00DA7361">
              <w:rPr>
                <w:rFonts w:eastAsia="Times New Roman" w:cs="Arial"/>
                <w:lang w:val="es-ES"/>
              </w:rPr>
              <w:t xml:space="preserve"> tanto en la modalidad grupal como individual</w:t>
            </w:r>
            <w:r>
              <w:rPr>
                <w:rFonts w:eastAsia="Times New Roman" w:cs="Arial"/>
                <w:lang w:val="es-ES"/>
              </w:rPr>
              <w:t>,</w:t>
            </w:r>
            <w:r w:rsidRPr="00DA7361">
              <w:rPr>
                <w:rFonts w:eastAsia="Times New Roman" w:cs="Arial"/>
                <w:lang w:val="es-ES"/>
              </w:rPr>
              <w:t xml:space="preserve"> donde gestionará</w:t>
            </w:r>
            <w:r>
              <w:rPr>
                <w:rFonts w:eastAsia="Times New Roman" w:cs="Arial"/>
                <w:lang w:val="es-ES"/>
              </w:rPr>
              <w:t>n</w:t>
            </w:r>
            <w:r w:rsidRPr="00DA7361">
              <w:rPr>
                <w:rFonts w:eastAsia="Times New Roman" w:cs="Arial"/>
                <w:lang w:val="es-ES"/>
              </w:rPr>
              <w:t xml:space="preserve"> las instancias de resolución de los y las estudian</w:t>
            </w:r>
            <w:r>
              <w:rPr>
                <w:rFonts w:eastAsia="Times New Roman" w:cs="Arial"/>
                <w:lang w:val="es-ES"/>
              </w:rPr>
              <w:t>tes ante sus pares. En estas instancias</w:t>
            </w:r>
            <w:r w:rsidRPr="00DA7361">
              <w:rPr>
                <w:rFonts w:eastAsia="Times New Roman" w:cs="Arial"/>
                <w:lang w:val="es-ES"/>
              </w:rPr>
              <w:t xml:space="preserve"> se espera que frente a cada problema </w:t>
            </w:r>
            <w:r>
              <w:rPr>
                <w:rFonts w:eastAsia="Times New Roman" w:cs="Arial"/>
                <w:lang w:val="es-ES"/>
              </w:rPr>
              <w:t xml:space="preserve">los y las estudiantes </w:t>
            </w:r>
            <w:r w:rsidRPr="00DA7361">
              <w:rPr>
                <w:rFonts w:eastAsia="Times New Roman" w:cs="Arial"/>
                <w:lang w:val="es-ES"/>
              </w:rPr>
              <w:t>tengan la oportunidad de hacer hipótesis, razonar, argumentar, justificar y elaborar sus propias respuestas, acciones que intervienen en la actividad matemática; así como las puestas en común e institucionalizaciones.</w:t>
            </w:r>
          </w:p>
          <w:p w14:paraId="33EA1DA5" w14:textId="116C8FFD" w:rsidR="00F77F0B" w:rsidRDefault="00F146AC" w:rsidP="00131759">
            <w:pPr>
              <w:spacing w:after="120" w:line="360" w:lineRule="auto"/>
              <w:jc w:val="both"/>
            </w:pPr>
            <w:r w:rsidRPr="00DA7361">
              <w:rPr>
                <w:rFonts w:eastAsia="Times New Roman" w:cs="Arial"/>
                <w:lang w:val="es-ES"/>
              </w:rPr>
              <w:t xml:space="preserve">Se indicará, al finalizar cada clase, las actividades que los y las estudiantes están en condiciones de resolver para retomar la clase siguiente. </w:t>
            </w:r>
            <w:r w:rsidRPr="0076704E">
              <w:t xml:space="preserve"> </w:t>
            </w: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A84EB8">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2F43B498" w14:textId="77777777" w:rsidR="00F146AC" w:rsidRPr="002E1A04" w:rsidRDefault="00F146AC" w:rsidP="00F146AC">
            <w:pPr>
              <w:spacing w:before="120" w:after="120" w:line="360" w:lineRule="auto"/>
              <w:jc w:val="both"/>
              <w:rPr>
                <w:bCs/>
              </w:rPr>
            </w:pPr>
            <w:r w:rsidRPr="002E1A04">
              <w:rPr>
                <w:bCs/>
              </w:rPr>
              <w:t>Se realiza</w:t>
            </w:r>
            <w:r w:rsidRPr="00636B4C">
              <w:rPr>
                <w:bCs/>
              </w:rPr>
              <w:t>rá</w:t>
            </w:r>
            <w:r w:rsidRPr="002E1A04">
              <w:rPr>
                <w:bCs/>
              </w:rPr>
              <w:t xml:space="preserve">n dos instancias de evaluación parcial. Ambas evaluaciones de modalidad escrita, donde se plantean distintas consultas </w:t>
            </w:r>
            <w:r w:rsidRPr="00636B4C">
              <w:rPr>
                <w:bCs/>
              </w:rPr>
              <w:t>en las que</w:t>
            </w:r>
            <w:r w:rsidRPr="002E1A04">
              <w:rPr>
                <w:bCs/>
              </w:rPr>
              <w:t xml:space="preserve"> los</w:t>
            </w:r>
            <w:r w:rsidRPr="00636B4C">
              <w:rPr>
                <w:bCs/>
              </w:rPr>
              <w:t>/las estudiantes</w:t>
            </w:r>
            <w:r w:rsidRPr="002E1A04">
              <w:rPr>
                <w:bCs/>
              </w:rPr>
              <w:t xml:space="preserve"> deben desarrollar las respuestas asociando los distintos temas vistos en clase.</w:t>
            </w:r>
            <w:r w:rsidRPr="00636B4C">
              <w:rPr>
                <w:bCs/>
              </w:rPr>
              <w:t xml:space="preserve"> Cada instancia de evaluación tiene su respectivo recuperatorio. Las evaluaciones parciales y sus recuperatorios serán tomados durante las semanas de clases, en el horario usual de cursada. Las notas de los recuperatorios reemplazan la de los parciales.</w:t>
            </w:r>
          </w:p>
          <w:p w14:paraId="25857B87" w14:textId="5A867FA4" w:rsidR="00F146AC" w:rsidRDefault="00F146AC" w:rsidP="00F146AC">
            <w:pPr>
              <w:spacing w:before="120" w:after="120" w:line="360" w:lineRule="auto"/>
              <w:jc w:val="both"/>
              <w:rPr>
                <w:bCs/>
              </w:rPr>
            </w:pPr>
            <w:r w:rsidRPr="00D44DA5">
              <w:rPr>
                <w:bCs/>
              </w:rPr>
              <w:lastRenderedPageBreak/>
              <w:t>La modalidad de evaluación y requisitos es articulada según Res. C.S. N°150/18</w:t>
            </w:r>
            <w:r>
              <w:rPr>
                <w:bCs/>
              </w:rPr>
              <w:t xml:space="preserve">, </w:t>
            </w:r>
            <w:r w:rsidRPr="00D44DA5">
              <w:rPr>
                <w:bCs/>
              </w:rPr>
              <w:t>Res. C.S. N°154/22</w:t>
            </w:r>
            <w:r>
              <w:rPr>
                <w:bCs/>
              </w:rPr>
              <w:t xml:space="preserve"> y</w:t>
            </w:r>
            <w:r w:rsidRPr="00D44DA5">
              <w:rPr>
                <w:bCs/>
              </w:rPr>
              <w:t xml:space="preserve"> Res. C.S. N°</w:t>
            </w:r>
            <w:r>
              <w:rPr>
                <w:bCs/>
              </w:rPr>
              <w:t>299</w:t>
            </w:r>
            <w:r w:rsidRPr="00D44DA5">
              <w:rPr>
                <w:bCs/>
              </w:rPr>
              <w:t>/2</w:t>
            </w:r>
            <w:r>
              <w:rPr>
                <w:bCs/>
              </w:rPr>
              <w:t>3. Los posibles estados de regularidad de la UUCC son:</w:t>
            </w:r>
          </w:p>
          <w:p w14:paraId="0CE0B114" w14:textId="2F16D6E4" w:rsidR="00F146AC" w:rsidRDefault="00F146AC" w:rsidP="00F146AC">
            <w:pPr>
              <w:pStyle w:val="Prrafodelista"/>
              <w:numPr>
                <w:ilvl w:val="0"/>
                <w:numId w:val="5"/>
              </w:numPr>
              <w:spacing w:before="120" w:after="120" w:line="360" w:lineRule="auto"/>
              <w:jc w:val="both"/>
              <w:rPr>
                <w:bCs/>
              </w:rPr>
            </w:pPr>
            <w:r w:rsidRPr="00D44DA5">
              <w:rPr>
                <w:bCs/>
              </w:rPr>
              <w:t xml:space="preserve">Regular: aprobó la cursada pero no la materia, </w:t>
            </w:r>
            <w:r w:rsidR="009C0D35">
              <w:rPr>
                <w:bCs/>
              </w:rPr>
              <w:t>con una nota menor a 7 y mayor o</w:t>
            </w:r>
            <w:r w:rsidRPr="00D44DA5">
              <w:rPr>
                <w:bCs/>
              </w:rPr>
              <w:t xml:space="preserve"> igual a 4</w:t>
            </w:r>
            <w:r>
              <w:rPr>
                <w:bCs/>
              </w:rPr>
              <w:t>.</w:t>
            </w:r>
          </w:p>
          <w:p w14:paraId="22F6073C" w14:textId="77777777" w:rsidR="00F146AC" w:rsidRPr="0083670F" w:rsidRDefault="00F146AC" w:rsidP="00F146AC">
            <w:pPr>
              <w:pStyle w:val="Prrafodelista"/>
              <w:spacing w:before="120" w:after="120" w:line="36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538060C3" w14:textId="77777777" w:rsidR="00F146AC" w:rsidRPr="00D44DA5" w:rsidRDefault="00F146AC" w:rsidP="00F146AC">
            <w:pPr>
              <w:pStyle w:val="Prrafodelista"/>
              <w:numPr>
                <w:ilvl w:val="0"/>
                <w:numId w:val="5"/>
              </w:numPr>
              <w:spacing w:before="120" w:after="120" w:line="36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7F0CFC1E" w14:textId="77777777" w:rsidR="00F146AC" w:rsidRPr="0083670F" w:rsidRDefault="00F146AC" w:rsidP="00F146AC">
            <w:pPr>
              <w:pStyle w:val="Prrafodelista"/>
              <w:numPr>
                <w:ilvl w:val="0"/>
                <w:numId w:val="5"/>
              </w:numPr>
              <w:spacing w:before="120" w:after="120" w:line="36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3030FE97" w14:textId="77777777" w:rsidR="00F146AC" w:rsidRPr="00D44DA5" w:rsidRDefault="00F146AC" w:rsidP="00F146AC">
            <w:pPr>
              <w:spacing w:before="120" w:after="120" w:line="360" w:lineRule="auto"/>
              <w:jc w:val="both"/>
              <w:rPr>
                <w:bCs/>
              </w:rPr>
            </w:pPr>
            <w:r w:rsidRPr="00D44DA5">
              <w:rPr>
                <w:bCs/>
              </w:rPr>
              <w:t xml:space="preserve">El régimen de aprobación de la UUCC podrá ser por: </w:t>
            </w:r>
          </w:p>
          <w:p w14:paraId="62A3ABB6" w14:textId="77777777" w:rsidR="00F146AC" w:rsidRDefault="00F146AC" w:rsidP="00F146AC">
            <w:pPr>
              <w:spacing w:before="120" w:after="120" w:line="360" w:lineRule="auto"/>
              <w:jc w:val="both"/>
              <w:rPr>
                <w:bCs/>
              </w:rPr>
            </w:pPr>
            <w:r w:rsidRPr="00D44DA5">
              <w:rPr>
                <w:bCs/>
              </w:rPr>
              <w:t>Según ARTÍCULO 31. C.S. N°150/18 y ARTÍCULO 4 Res.</w:t>
            </w:r>
            <w:r>
              <w:rPr>
                <w:bCs/>
              </w:rPr>
              <w:t xml:space="preserve"> </w:t>
            </w:r>
            <w:r w:rsidRPr="00D44DA5">
              <w:rPr>
                <w:bCs/>
              </w:rPr>
              <w:t>C.S. N°154/22</w:t>
            </w:r>
          </w:p>
          <w:p w14:paraId="3BFF628C" w14:textId="77777777" w:rsidR="00F146AC" w:rsidRPr="006A215E" w:rsidRDefault="00F146AC" w:rsidP="00F146AC">
            <w:pPr>
              <w:pStyle w:val="Prrafodelista"/>
              <w:numPr>
                <w:ilvl w:val="0"/>
                <w:numId w:val="7"/>
              </w:numPr>
              <w:spacing w:before="120" w:after="120" w:line="360" w:lineRule="auto"/>
              <w:jc w:val="both"/>
              <w:rPr>
                <w:bCs/>
              </w:rPr>
            </w:pPr>
            <w:r w:rsidRPr="006A215E">
              <w:rPr>
                <w:bCs/>
              </w:rPr>
              <w:t>mediante promoción directa;</w:t>
            </w:r>
          </w:p>
          <w:p w14:paraId="4F74713F" w14:textId="77777777" w:rsidR="00F146AC" w:rsidRPr="006A215E" w:rsidRDefault="00F146AC" w:rsidP="00F146AC">
            <w:pPr>
              <w:pStyle w:val="Prrafodelista"/>
              <w:numPr>
                <w:ilvl w:val="0"/>
                <w:numId w:val="7"/>
              </w:numPr>
              <w:spacing w:before="120" w:after="120" w:line="360" w:lineRule="auto"/>
              <w:jc w:val="both"/>
              <w:rPr>
                <w:bCs/>
              </w:rPr>
            </w:pPr>
            <w:r w:rsidRPr="006A215E">
              <w:rPr>
                <w:bCs/>
              </w:rPr>
              <w:t>mediante aprobación de examen integrador;</w:t>
            </w:r>
          </w:p>
          <w:p w14:paraId="4129564D" w14:textId="77777777" w:rsidR="00F146AC" w:rsidRPr="006A215E" w:rsidRDefault="00F146AC" w:rsidP="00F146AC">
            <w:pPr>
              <w:pStyle w:val="Prrafodelista"/>
              <w:numPr>
                <w:ilvl w:val="0"/>
                <w:numId w:val="7"/>
              </w:numPr>
              <w:spacing w:before="120" w:after="120" w:line="360" w:lineRule="auto"/>
              <w:jc w:val="both"/>
            </w:pPr>
            <w:r w:rsidRPr="006A215E">
              <w:rPr>
                <w:bCs/>
              </w:rPr>
              <w:t>mediante examen final.</w:t>
            </w:r>
          </w:p>
          <w:p w14:paraId="69E0AEB2" w14:textId="77777777" w:rsidR="00F146AC" w:rsidRDefault="00F146AC" w:rsidP="00F146AC">
            <w:pPr>
              <w:spacing w:before="120" w:after="120" w:line="360" w:lineRule="auto"/>
              <w:jc w:val="both"/>
              <w:rPr>
                <w:bCs/>
              </w:rPr>
            </w:pPr>
            <w:r w:rsidRPr="00BD45FD">
              <w:rPr>
                <w:b/>
              </w:rPr>
              <w:t>Régimen de aprobación de la UUCC mediante promoción directa</w:t>
            </w:r>
          </w:p>
          <w:p w14:paraId="6B9AE3FD" w14:textId="77777777" w:rsidR="00F146AC" w:rsidRPr="00D44DA5" w:rsidRDefault="00F146AC" w:rsidP="00F146AC">
            <w:pPr>
              <w:spacing w:before="120" w:after="120" w:line="36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30294E62" w14:textId="77777777" w:rsidR="00F146AC" w:rsidRDefault="00F146AC" w:rsidP="00F146AC">
            <w:pPr>
              <w:pStyle w:val="Prrafodelista"/>
              <w:numPr>
                <w:ilvl w:val="0"/>
                <w:numId w:val="12"/>
              </w:numPr>
              <w:spacing w:before="120" w:after="120" w:line="360" w:lineRule="auto"/>
              <w:jc w:val="both"/>
              <w:rPr>
                <w:bCs/>
              </w:rPr>
            </w:pPr>
            <w:r w:rsidRPr="00D44DA5">
              <w:rPr>
                <w:bCs/>
              </w:rPr>
              <w:t>hayan mantenido su condición de regularidad al final del curso conforme lo previsto en el artículo 21 y,</w:t>
            </w:r>
          </w:p>
          <w:p w14:paraId="3BB0C79D" w14:textId="77777777" w:rsidR="00F146AC" w:rsidRDefault="00F146AC" w:rsidP="00F146AC">
            <w:pPr>
              <w:pStyle w:val="Prrafodelista"/>
              <w:numPr>
                <w:ilvl w:val="0"/>
                <w:numId w:val="12"/>
              </w:numPr>
              <w:spacing w:before="120" w:after="120" w:line="36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07E6ACDA" w14:textId="77777777" w:rsidR="00F146AC" w:rsidRPr="00BD45FD" w:rsidRDefault="00F146AC" w:rsidP="00F146AC">
            <w:pPr>
              <w:spacing w:before="120" w:after="120" w:line="360" w:lineRule="auto"/>
              <w:jc w:val="both"/>
              <w:rPr>
                <w:b/>
              </w:rPr>
            </w:pPr>
            <w:r w:rsidRPr="00215488">
              <w:rPr>
                <w:b/>
              </w:rPr>
              <w:t>Régimen de aprobación de la UUCC mediante</w:t>
            </w:r>
            <w:r w:rsidRPr="001B04D4">
              <w:rPr>
                <w:b/>
              </w:rPr>
              <w:t xml:space="preserve"> </w:t>
            </w:r>
            <w:r w:rsidRPr="00BD45FD">
              <w:rPr>
                <w:b/>
              </w:rPr>
              <w:t>evaluación integradora</w:t>
            </w:r>
          </w:p>
          <w:p w14:paraId="3781E05E" w14:textId="77777777" w:rsidR="00F146AC" w:rsidRPr="00D44DA5" w:rsidRDefault="00F146AC" w:rsidP="00F146AC">
            <w:pPr>
              <w:spacing w:before="120" w:after="120" w:line="36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0C894055" w14:textId="77777777" w:rsidR="00F146AC" w:rsidRDefault="00F146AC" w:rsidP="00F146AC">
            <w:pPr>
              <w:pStyle w:val="Prrafodelista"/>
              <w:numPr>
                <w:ilvl w:val="0"/>
                <w:numId w:val="6"/>
              </w:numPr>
              <w:spacing w:before="120" w:after="120" w:line="360" w:lineRule="auto"/>
              <w:jc w:val="both"/>
              <w:rPr>
                <w:bCs/>
              </w:rPr>
            </w:pPr>
            <w:r w:rsidRPr="00D44DA5">
              <w:rPr>
                <w:bCs/>
              </w:rPr>
              <w:lastRenderedPageBreak/>
              <w:t xml:space="preserve">hayan mantenido su condición de regularidad al final del curso (conforme lo previsto en el artículo 21); y, </w:t>
            </w:r>
          </w:p>
          <w:p w14:paraId="0875A99D" w14:textId="77777777" w:rsidR="00F146AC" w:rsidRDefault="00F146AC" w:rsidP="00F146AC">
            <w:pPr>
              <w:pStyle w:val="Prrafodelista"/>
              <w:numPr>
                <w:ilvl w:val="0"/>
                <w:numId w:val="6"/>
              </w:numPr>
              <w:spacing w:before="120" w:after="120" w:line="36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24F8B05F" w14:textId="77777777" w:rsidR="00F146AC" w:rsidRPr="00D44DA5" w:rsidRDefault="00F146AC" w:rsidP="00F146AC">
            <w:pPr>
              <w:spacing w:before="120" w:after="120" w:line="360" w:lineRule="auto"/>
              <w:jc w:val="both"/>
              <w:rPr>
                <w:bCs/>
              </w:rPr>
            </w:pPr>
            <w:r w:rsidRPr="00215488">
              <w:rPr>
                <w:b/>
              </w:rPr>
              <w:t xml:space="preserve">Régimen de aprobación de la UUCC </w:t>
            </w:r>
            <w:r w:rsidRPr="001B04D4">
              <w:rPr>
                <w:b/>
              </w:rPr>
              <w:t xml:space="preserve">mediante </w:t>
            </w:r>
            <w:r w:rsidRPr="00BD45FD">
              <w:rPr>
                <w:b/>
              </w:rPr>
              <w:t>examen final</w:t>
            </w:r>
          </w:p>
          <w:p w14:paraId="7392F929" w14:textId="77777777" w:rsidR="00F146AC" w:rsidRPr="00D44DA5" w:rsidRDefault="00F146AC" w:rsidP="00F146AC">
            <w:pPr>
              <w:spacing w:before="120" w:after="120" w:line="36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686D9320" w14:textId="77777777" w:rsidR="00F146AC" w:rsidRPr="00D44DA5" w:rsidRDefault="00F146AC" w:rsidP="00F146AC">
            <w:pPr>
              <w:spacing w:before="120" w:after="120" w:line="36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4EB22EEE" w14:textId="77777777" w:rsidR="00F146AC" w:rsidRPr="00636B4C" w:rsidRDefault="00F146AC" w:rsidP="00F146AC">
            <w:pPr>
              <w:spacing w:before="120" w:after="120" w:line="360" w:lineRule="auto"/>
              <w:jc w:val="both"/>
              <w:rPr>
                <w:b/>
                <w:bCs/>
              </w:rPr>
            </w:pPr>
            <w:r w:rsidRPr="00636B4C">
              <w:rPr>
                <w:b/>
                <w:bCs/>
              </w:rPr>
              <w:t>EXÁMENES LIBRES</w:t>
            </w:r>
          </w:p>
          <w:p w14:paraId="24BF476A" w14:textId="77777777" w:rsidR="00F146AC" w:rsidRPr="00D44DA5" w:rsidRDefault="00F146AC" w:rsidP="00F146AC">
            <w:pPr>
              <w:spacing w:before="120" w:after="120" w:line="36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59237703" w14:textId="77777777" w:rsidR="00F146AC" w:rsidRDefault="00F146AC" w:rsidP="00F146AC">
            <w:pPr>
              <w:pStyle w:val="Prrafodelista"/>
              <w:numPr>
                <w:ilvl w:val="0"/>
                <w:numId w:val="8"/>
              </w:numPr>
              <w:spacing w:before="120" w:after="120" w:line="360" w:lineRule="auto"/>
              <w:jc w:val="both"/>
              <w:rPr>
                <w:bCs/>
              </w:rPr>
            </w:pPr>
            <w:r w:rsidRPr="00D44DA5">
              <w:rPr>
                <w:bCs/>
              </w:rPr>
              <w:t>tener aprobadas las correlatividades correspondientes a la UC a la que se inscriben;</w:t>
            </w:r>
          </w:p>
          <w:p w14:paraId="40998F32" w14:textId="77777777" w:rsidR="00F146AC" w:rsidRDefault="00F146AC" w:rsidP="00F146AC">
            <w:pPr>
              <w:pStyle w:val="Prrafodelista"/>
              <w:numPr>
                <w:ilvl w:val="0"/>
                <w:numId w:val="8"/>
              </w:numPr>
              <w:spacing w:before="120" w:after="120" w:line="360" w:lineRule="auto"/>
              <w:jc w:val="both"/>
              <w:rPr>
                <w:bCs/>
              </w:rPr>
            </w:pPr>
            <w:r w:rsidRPr="00D44DA5">
              <w:rPr>
                <w:bCs/>
              </w:rPr>
              <w:t>no haber aprobado mediante la modalidad de evaluación libre el veinticinco por ciento (25%) o más de las UUCC que integran el Plan de Estudios de la Carrera;</w:t>
            </w:r>
          </w:p>
          <w:p w14:paraId="5E175A96" w14:textId="77777777" w:rsidR="00F146AC" w:rsidRPr="00D44DA5" w:rsidRDefault="00F146AC" w:rsidP="00F146AC">
            <w:pPr>
              <w:pStyle w:val="Prrafodelista"/>
              <w:numPr>
                <w:ilvl w:val="0"/>
                <w:numId w:val="8"/>
              </w:numPr>
              <w:spacing w:before="120" w:after="120" w:line="36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211D85FE" w14:textId="0067271B" w:rsidR="00F77F0B" w:rsidRDefault="00F146AC" w:rsidP="00131759">
            <w:pPr>
              <w:spacing w:before="120" w:after="120" w:line="360" w:lineRule="auto"/>
              <w:jc w:val="both"/>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A84EB8">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409EF5BD" w14:textId="7BA6907E" w:rsidR="00F77F0B" w:rsidRDefault="00A84EB8">
            <w:pPr>
              <w:spacing w:before="60" w:after="60" w:line="360" w:lineRule="auto"/>
              <w:jc w:val="both"/>
            </w:pPr>
            <w:r>
              <w:lastRenderedPageBreak/>
              <w:t>     </w:t>
            </w: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A84EB8">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9C0D35"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9C0D35" w:rsidRDefault="009C0D35" w:rsidP="009C0D35">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2DE76C69" w:rsidR="009C0D35" w:rsidRDefault="009C0D35" w:rsidP="009C0D35">
            <w:pPr>
              <w:spacing w:before="120" w:after="120" w:line="240" w:lineRule="auto"/>
            </w:pPr>
            <w:r>
              <w:t>Desarrollo de la Unidad 1</w:t>
            </w:r>
          </w:p>
        </w:tc>
      </w:tr>
      <w:tr w:rsidR="009C0D35"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9C0D35" w:rsidRDefault="009C0D35" w:rsidP="009C0D35">
            <w:pPr>
              <w:spacing w:line="360" w:lineRule="auto"/>
              <w:jc w:val="both"/>
            </w:pPr>
            <w:r>
              <w:t>Semana 2</w:t>
            </w:r>
          </w:p>
        </w:tc>
        <w:tc>
          <w:tcPr>
            <w:tcW w:w="7620" w:type="dxa"/>
            <w:tcBorders>
              <w:left w:val="single" w:sz="12" w:space="0" w:color="000000"/>
              <w:right w:val="single" w:sz="12" w:space="0" w:color="000000"/>
            </w:tcBorders>
          </w:tcPr>
          <w:p w14:paraId="46CDFED0" w14:textId="7D92F0D2" w:rsidR="009C0D35" w:rsidRDefault="009C0D35" w:rsidP="009C0D35">
            <w:pPr>
              <w:spacing w:before="120" w:after="120" w:line="240" w:lineRule="auto"/>
            </w:pPr>
            <w:r>
              <w:t>Desarrollo de la Unidad 1</w:t>
            </w:r>
          </w:p>
        </w:tc>
      </w:tr>
      <w:tr w:rsidR="009C0D35"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9C0D35" w:rsidRDefault="009C0D35" w:rsidP="009C0D35">
            <w:pPr>
              <w:spacing w:line="360" w:lineRule="auto"/>
              <w:jc w:val="both"/>
            </w:pPr>
            <w:r>
              <w:t>Semana 3</w:t>
            </w:r>
          </w:p>
        </w:tc>
        <w:tc>
          <w:tcPr>
            <w:tcW w:w="7620" w:type="dxa"/>
            <w:tcBorders>
              <w:left w:val="single" w:sz="12" w:space="0" w:color="000000"/>
              <w:right w:val="single" w:sz="12" w:space="0" w:color="000000"/>
            </w:tcBorders>
          </w:tcPr>
          <w:p w14:paraId="1D983B70" w14:textId="6D3C870D" w:rsidR="009C0D35" w:rsidRDefault="009C0D35" w:rsidP="009C0D35">
            <w:pPr>
              <w:spacing w:before="120" w:after="120" w:line="240" w:lineRule="auto"/>
            </w:pPr>
            <w:r>
              <w:t>Desarrollo de la Unidad 2</w:t>
            </w:r>
          </w:p>
        </w:tc>
      </w:tr>
      <w:tr w:rsidR="009C0D35"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9C0D35" w:rsidRDefault="009C0D35" w:rsidP="009C0D35">
            <w:pPr>
              <w:spacing w:line="360" w:lineRule="auto"/>
              <w:jc w:val="both"/>
            </w:pPr>
            <w:r>
              <w:t>Semana 4</w:t>
            </w:r>
          </w:p>
        </w:tc>
        <w:tc>
          <w:tcPr>
            <w:tcW w:w="7620" w:type="dxa"/>
            <w:tcBorders>
              <w:left w:val="single" w:sz="12" w:space="0" w:color="000000"/>
              <w:right w:val="single" w:sz="12" w:space="0" w:color="000000"/>
            </w:tcBorders>
          </w:tcPr>
          <w:p w14:paraId="68F04453" w14:textId="0F257A33" w:rsidR="009C0D35" w:rsidRDefault="009C0D35" w:rsidP="009C0D35">
            <w:pPr>
              <w:spacing w:before="120" w:after="120" w:line="240" w:lineRule="auto"/>
            </w:pPr>
            <w:r>
              <w:t>Desarrollo de la Unidad 2</w:t>
            </w:r>
          </w:p>
        </w:tc>
      </w:tr>
      <w:tr w:rsidR="009C0D35"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9C0D35" w:rsidRDefault="009C0D35" w:rsidP="009C0D35">
            <w:pPr>
              <w:spacing w:line="360" w:lineRule="auto"/>
              <w:jc w:val="both"/>
            </w:pPr>
            <w:r>
              <w:t>Semana 5</w:t>
            </w:r>
          </w:p>
        </w:tc>
        <w:tc>
          <w:tcPr>
            <w:tcW w:w="7620" w:type="dxa"/>
            <w:tcBorders>
              <w:left w:val="single" w:sz="12" w:space="0" w:color="000000"/>
              <w:right w:val="single" w:sz="12" w:space="0" w:color="000000"/>
            </w:tcBorders>
          </w:tcPr>
          <w:p w14:paraId="7BA40AED" w14:textId="52CCED17" w:rsidR="009C0D35" w:rsidRDefault="009C0D35" w:rsidP="009C0D35">
            <w:pPr>
              <w:spacing w:before="120" w:after="120" w:line="240" w:lineRule="auto"/>
            </w:pPr>
            <w:r>
              <w:t>Desarrollo de la Unidad 2</w:t>
            </w:r>
          </w:p>
        </w:tc>
      </w:tr>
      <w:tr w:rsidR="009C0D35"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9C0D35" w:rsidRDefault="009C0D35" w:rsidP="009C0D35">
            <w:pPr>
              <w:spacing w:line="360" w:lineRule="auto"/>
              <w:jc w:val="both"/>
            </w:pPr>
            <w:r>
              <w:t>Semana 6</w:t>
            </w:r>
          </w:p>
        </w:tc>
        <w:tc>
          <w:tcPr>
            <w:tcW w:w="7620" w:type="dxa"/>
            <w:tcBorders>
              <w:left w:val="single" w:sz="12" w:space="0" w:color="000000"/>
              <w:right w:val="single" w:sz="12" w:space="0" w:color="000000"/>
            </w:tcBorders>
          </w:tcPr>
          <w:p w14:paraId="69711569" w14:textId="1AB0771B" w:rsidR="009C0D35" w:rsidRDefault="009C0D35" w:rsidP="009C0D35">
            <w:pPr>
              <w:spacing w:before="120" w:after="120" w:line="240" w:lineRule="auto"/>
            </w:pPr>
            <w:r>
              <w:t>Repaso</w:t>
            </w:r>
          </w:p>
        </w:tc>
      </w:tr>
      <w:tr w:rsidR="009C0D35"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9C0D35" w:rsidRDefault="009C0D35" w:rsidP="009C0D35">
            <w:pPr>
              <w:spacing w:line="360" w:lineRule="auto"/>
              <w:jc w:val="both"/>
            </w:pPr>
            <w:r>
              <w:t>Semana 7</w:t>
            </w:r>
          </w:p>
        </w:tc>
        <w:tc>
          <w:tcPr>
            <w:tcW w:w="7620" w:type="dxa"/>
            <w:tcBorders>
              <w:left w:val="single" w:sz="12" w:space="0" w:color="000000"/>
              <w:right w:val="single" w:sz="12" w:space="0" w:color="000000"/>
            </w:tcBorders>
          </w:tcPr>
          <w:p w14:paraId="6AE3B914" w14:textId="14D8C26C" w:rsidR="009C0D35" w:rsidRDefault="009C0D35" w:rsidP="009C0D35">
            <w:pPr>
              <w:spacing w:before="120" w:after="120" w:line="240" w:lineRule="auto"/>
            </w:pPr>
            <w:r>
              <w:t>Primer Parcial</w:t>
            </w:r>
            <w:r w:rsidRPr="006B1FD9">
              <w:t>     </w:t>
            </w:r>
          </w:p>
        </w:tc>
      </w:tr>
      <w:tr w:rsidR="009C0D35"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9C0D35" w:rsidRDefault="009C0D35" w:rsidP="009C0D35">
            <w:pPr>
              <w:spacing w:line="360" w:lineRule="auto"/>
              <w:jc w:val="both"/>
            </w:pPr>
            <w:r>
              <w:t>Semana 8</w:t>
            </w:r>
          </w:p>
        </w:tc>
        <w:tc>
          <w:tcPr>
            <w:tcW w:w="7620" w:type="dxa"/>
            <w:tcBorders>
              <w:left w:val="single" w:sz="12" w:space="0" w:color="000000"/>
              <w:right w:val="single" w:sz="12" w:space="0" w:color="000000"/>
            </w:tcBorders>
          </w:tcPr>
          <w:p w14:paraId="4456F77E" w14:textId="187B8F44" w:rsidR="009C0D35" w:rsidRDefault="009C0D35" w:rsidP="009C0D35">
            <w:pPr>
              <w:spacing w:before="120" w:after="120" w:line="240" w:lineRule="auto"/>
            </w:pPr>
            <w:r>
              <w:rPr>
                <w:rFonts w:asciiTheme="minorHAnsi" w:hAnsiTheme="minorHAnsi" w:cstheme="minorHAnsi"/>
              </w:rPr>
              <w:t>Desarrollo de la Unidad 3</w:t>
            </w:r>
            <w:r w:rsidRPr="006B1FD9">
              <w:rPr>
                <w:rFonts w:asciiTheme="minorHAnsi" w:hAnsiTheme="minorHAnsi" w:cstheme="minorHAnsi"/>
              </w:rPr>
              <w:t> </w:t>
            </w:r>
          </w:p>
        </w:tc>
      </w:tr>
      <w:tr w:rsidR="009C0D35"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9C0D35" w:rsidRDefault="009C0D35" w:rsidP="009C0D35">
            <w:pPr>
              <w:spacing w:line="360" w:lineRule="auto"/>
              <w:jc w:val="both"/>
            </w:pPr>
            <w:r>
              <w:t>Semana 9</w:t>
            </w:r>
          </w:p>
        </w:tc>
        <w:tc>
          <w:tcPr>
            <w:tcW w:w="7620" w:type="dxa"/>
            <w:tcBorders>
              <w:left w:val="single" w:sz="12" w:space="0" w:color="000000"/>
              <w:right w:val="single" w:sz="12" w:space="0" w:color="000000"/>
            </w:tcBorders>
          </w:tcPr>
          <w:p w14:paraId="40857D7F" w14:textId="4016188A" w:rsidR="009C0D35" w:rsidRDefault="009C0D35" w:rsidP="009C0D35">
            <w:pPr>
              <w:spacing w:before="120" w:after="120" w:line="240" w:lineRule="auto"/>
            </w:pPr>
            <w:r>
              <w:rPr>
                <w:rFonts w:asciiTheme="minorHAnsi" w:hAnsiTheme="minorHAnsi" w:cstheme="minorHAnsi"/>
              </w:rPr>
              <w:t>Desarrollo de la Unidad 3</w:t>
            </w:r>
            <w:r w:rsidRPr="006B1FD9">
              <w:rPr>
                <w:rFonts w:asciiTheme="minorHAnsi" w:hAnsiTheme="minorHAnsi" w:cstheme="minorHAnsi"/>
              </w:rPr>
              <w:t> </w:t>
            </w:r>
          </w:p>
        </w:tc>
      </w:tr>
      <w:tr w:rsidR="009C0D35"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9C0D35" w:rsidRDefault="009C0D35" w:rsidP="009C0D35">
            <w:pPr>
              <w:spacing w:line="360" w:lineRule="auto"/>
              <w:jc w:val="both"/>
            </w:pPr>
            <w:r>
              <w:t>Semana 10</w:t>
            </w:r>
          </w:p>
        </w:tc>
        <w:tc>
          <w:tcPr>
            <w:tcW w:w="7620" w:type="dxa"/>
            <w:tcBorders>
              <w:left w:val="single" w:sz="12" w:space="0" w:color="000000"/>
              <w:right w:val="single" w:sz="12" w:space="0" w:color="000000"/>
            </w:tcBorders>
          </w:tcPr>
          <w:p w14:paraId="507FCFD4" w14:textId="336762C3" w:rsidR="009C0D35" w:rsidRDefault="009C0D35" w:rsidP="009C0D35">
            <w:pPr>
              <w:spacing w:before="120" w:after="120" w:line="240" w:lineRule="auto"/>
            </w:pPr>
            <w:r>
              <w:rPr>
                <w:rFonts w:asciiTheme="minorHAnsi" w:hAnsiTheme="minorHAnsi" w:cstheme="minorHAnsi"/>
              </w:rPr>
              <w:t>Desarrollo de la Unidad 3</w:t>
            </w:r>
            <w:r w:rsidRPr="006B1FD9">
              <w:rPr>
                <w:rFonts w:asciiTheme="minorHAnsi" w:hAnsiTheme="minorHAnsi" w:cstheme="minorHAnsi"/>
              </w:rPr>
              <w:t> </w:t>
            </w:r>
          </w:p>
        </w:tc>
      </w:tr>
      <w:tr w:rsidR="009C0D35"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9C0D35" w:rsidRDefault="009C0D35" w:rsidP="009C0D35">
            <w:pPr>
              <w:spacing w:line="360" w:lineRule="auto"/>
              <w:jc w:val="both"/>
            </w:pPr>
            <w:r>
              <w:t>Semana 11</w:t>
            </w:r>
          </w:p>
        </w:tc>
        <w:tc>
          <w:tcPr>
            <w:tcW w:w="7620" w:type="dxa"/>
            <w:tcBorders>
              <w:left w:val="single" w:sz="12" w:space="0" w:color="000000"/>
              <w:right w:val="single" w:sz="12" w:space="0" w:color="000000"/>
            </w:tcBorders>
          </w:tcPr>
          <w:p w14:paraId="35D99122" w14:textId="09D95D6C" w:rsidR="009C0D35" w:rsidRDefault="009C0D35" w:rsidP="009C0D35">
            <w:pPr>
              <w:spacing w:before="120" w:after="120" w:line="240" w:lineRule="auto"/>
            </w:pPr>
            <w:r>
              <w:rPr>
                <w:rFonts w:asciiTheme="minorHAnsi" w:hAnsiTheme="minorHAnsi" w:cstheme="minorHAnsi"/>
              </w:rPr>
              <w:t>Desarrollo de la Unidad 4</w:t>
            </w:r>
            <w:r w:rsidRPr="006B1FD9">
              <w:rPr>
                <w:rFonts w:asciiTheme="minorHAnsi" w:hAnsiTheme="minorHAnsi" w:cstheme="minorHAnsi"/>
              </w:rPr>
              <w:t>  </w:t>
            </w:r>
          </w:p>
        </w:tc>
      </w:tr>
      <w:tr w:rsidR="009C0D35"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9C0D35" w:rsidRDefault="009C0D35" w:rsidP="009C0D35">
            <w:pPr>
              <w:spacing w:line="360" w:lineRule="auto"/>
              <w:jc w:val="both"/>
            </w:pPr>
            <w:r>
              <w:t>Semana 12</w:t>
            </w:r>
          </w:p>
        </w:tc>
        <w:tc>
          <w:tcPr>
            <w:tcW w:w="7620" w:type="dxa"/>
            <w:tcBorders>
              <w:left w:val="single" w:sz="12" w:space="0" w:color="000000"/>
              <w:right w:val="single" w:sz="12" w:space="0" w:color="000000"/>
            </w:tcBorders>
          </w:tcPr>
          <w:p w14:paraId="1F7D33F0" w14:textId="362986EF" w:rsidR="009C0D35" w:rsidRDefault="009C0D35" w:rsidP="009C0D35">
            <w:pPr>
              <w:spacing w:before="120" w:after="120" w:line="240" w:lineRule="auto"/>
            </w:pPr>
            <w:r>
              <w:rPr>
                <w:rFonts w:asciiTheme="minorHAnsi" w:hAnsiTheme="minorHAnsi" w:cstheme="minorHAnsi"/>
              </w:rPr>
              <w:t>Desarrollo de la Unidad 4</w:t>
            </w:r>
            <w:r w:rsidRPr="006B1FD9">
              <w:rPr>
                <w:rFonts w:asciiTheme="minorHAnsi" w:hAnsiTheme="minorHAnsi" w:cstheme="minorHAnsi"/>
              </w:rPr>
              <w:t>  </w:t>
            </w:r>
          </w:p>
        </w:tc>
      </w:tr>
      <w:tr w:rsidR="009C0D35"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9C0D35" w:rsidRDefault="009C0D35" w:rsidP="009C0D35">
            <w:pPr>
              <w:spacing w:line="360" w:lineRule="auto"/>
              <w:jc w:val="both"/>
            </w:pPr>
            <w:r>
              <w:t>Semana 13</w:t>
            </w:r>
          </w:p>
        </w:tc>
        <w:tc>
          <w:tcPr>
            <w:tcW w:w="7620" w:type="dxa"/>
            <w:tcBorders>
              <w:left w:val="single" w:sz="12" w:space="0" w:color="000000"/>
              <w:right w:val="single" w:sz="12" w:space="0" w:color="000000"/>
            </w:tcBorders>
          </w:tcPr>
          <w:p w14:paraId="084E9EBA" w14:textId="722A6088" w:rsidR="009C0D35" w:rsidRDefault="009C0D35" w:rsidP="009C0D35">
            <w:pPr>
              <w:spacing w:before="120" w:after="120" w:line="240" w:lineRule="auto"/>
            </w:pPr>
            <w:r>
              <w:t>Repaso</w:t>
            </w:r>
          </w:p>
        </w:tc>
      </w:tr>
      <w:tr w:rsidR="009C0D35"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9C0D35" w:rsidRDefault="009C0D35" w:rsidP="009C0D35">
            <w:pPr>
              <w:spacing w:line="360" w:lineRule="auto"/>
              <w:jc w:val="both"/>
            </w:pPr>
            <w:r>
              <w:t>Semana 14</w:t>
            </w:r>
          </w:p>
        </w:tc>
        <w:tc>
          <w:tcPr>
            <w:tcW w:w="7620" w:type="dxa"/>
            <w:tcBorders>
              <w:left w:val="single" w:sz="12" w:space="0" w:color="000000"/>
              <w:right w:val="single" w:sz="12" w:space="0" w:color="000000"/>
            </w:tcBorders>
          </w:tcPr>
          <w:p w14:paraId="79C6550B" w14:textId="63E7C68C" w:rsidR="009C0D35" w:rsidRDefault="009C0D35" w:rsidP="009C0D35">
            <w:pPr>
              <w:spacing w:before="120" w:after="120" w:line="240" w:lineRule="auto"/>
            </w:pPr>
            <w:r>
              <w:t>Segundo Parcial</w:t>
            </w:r>
          </w:p>
        </w:tc>
      </w:tr>
      <w:tr w:rsidR="009C0D35"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9C0D35" w:rsidRDefault="009C0D35" w:rsidP="009C0D35">
            <w:pPr>
              <w:spacing w:line="360" w:lineRule="auto"/>
              <w:jc w:val="both"/>
            </w:pPr>
            <w:r>
              <w:t>Semana 15</w:t>
            </w:r>
          </w:p>
        </w:tc>
        <w:tc>
          <w:tcPr>
            <w:tcW w:w="7620" w:type="dxa"/>
            <w:tcBorders>
              <w:left w:val="single" w:sz="12" w:space="0" w:color="000000"/>
              <w:right w:val="single" w:sz="12" w:space="0" w:color="000000"/>
            </w:tcBorders>
          </w:tcPr>
          <w:p w14:paraId="7A03705E" w14:textId="189C2EAA" w:rsidR="009C0D35" w:rsidRDefault="009C0D35" w:rsidP="009C0D35">
            <w:pPr>
              <w:spacing w:before="120" w:after="120" w:line="240" w:lineRule="auto"/>
            </w:pPr>
            <w:r>
              <w:t>Recuperatorio del Primer Parcial</w:t>
            </w:r>
          </w:p>
        </w:tc>
      </w:tr>
      <w:tr w:rsidR="001414AD"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1414AD" w:rsidRDefault="001414AD" w:rsidP="001414AD">
            <w:pPr>
              <w:spacing w:line="360" w:lineRule="auto"/>
              <w:jc w:val="both"/>
            </w:pPr>
            <w:r>
              <w:t>Semana 16</w:t>
            </w:r>
          </w:p>
        </w:tc>
        <w:tc>
          <w:tcPr>
            <w:tcW w:w="7620" w:type="dxa"/>
            <w:tcBorders>
              <w:left w:val="single" w:sz="12" w:space="0" w:color="000000"/>
              <w:right w:val="single" w:sz="12" w:space="0" w:color="000000"/>
            </w:tcBorders>
          </w:tcPr>
          <w:p w14:paraId="213C226E" w14:textId="3A74D0A4" w:rsidR="001414AD" w:rsidRDefault="001414AD" w:rsidP="00131759">
            <w:pPr>
              <w:tabs>
                <w:tab w:val="left" w:pos="1740"/>
              </w:tabs>
              <w:spacing w:before="120" w:after="120" w:line="240" w:lineRule="auto"/>
            </w:pPr>
            <w:r>
              <w:t>Recuperatorio del Segundo Parcial</w:t>
            </w:r>
            <w:r w:rsidRPr="00290460">
              <w:t>     </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A84EB8">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A84EB8">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A84EB8">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A84EB8">
            <w:pPr>
              <w:spacing w:line="360" w:lineRule="auto"/>
              <w:jc w:val="both"/>
            </w:pPr>
            <w:r>
              <w:lastRenderedPageBreak/>
              <w:t>Semana 18</w:t>
            </w:r>
          </w:p>
        </w:tc>
        <w:tc>
          <w:tcPr>
            <w:tcW w:w="7650" w:type="dxa"/>
            <w:tcBorders>
              <w:left w:val="single" w:sz="12" w:space="0" w:color="000000"/>
              <w:right w:val="single" w:sz="12" w:space="0" w:color="000000"/>
            </w:tcBorders>
          </w:tcPr>
          <w:p w14:paraId="735516B3" w14:textId="77777777" w:rsidR="00F77F0B" w:rsidRDefault="00A84EB8">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A84EB8">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A84EB8">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A84EB8">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A84EB8">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A84EB8">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A84EB8">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A84EB8">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A84EB8">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A84EB8">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A84EB8">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A84EB8">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A84EB8">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A84EB8">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A84EB8">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A84EB8">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A84EB8">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A84EB8">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A84EB8">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A84EB8">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A84EB8">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A84EB8">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A84EB8">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A84EB8">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A84EB8">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A84EB8">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A84EB8">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A84EB8">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A84EB8">
            <w:pPr>
              <w:spacing w:line="360" w:lineRule="auto"/>
              <w:jc w:val="both"/>
            </w:pPr>
            <w:r>
              <w:t>     </w:t>
            </w:r>
          </w:p>
        </w:tc>
      </w:tr>
    </w:tbl>
    <w:p w14:paraId="019B677F" w14:textId="77777777" w:rsidR="00F77F0B" w:rsidRDefault="00F77F0B">
      <w:pPr>
        <w:jc w:val="both"/>
      </w:pPr>
    </w:p>
    <w:p w14:paraId="79DDC825" w14:textId="30918691" w:rsidR="001414AD" w:rsidRDefault="001414AD" w:rsidP="001414AD">
      <w:pPr>
        <w:spacing w:line="360" w:lineRule="auto"/>
        <w:rPr>
          <w:rFonts w:ascii="Arial" w:eastAsia="Arial" w:hAnsi="Arial" w:cs="Arial"/>
        </w:rPr>
      </w:pPr>
      <w:r>
        <w:rPr>
          <w:rFonts w:ascii="Arial" w:eastAsia="Arial" w:hAnsi="Arial" w:cs="Arial"/>
        </w:rPr>
        <w:t xml:space="preserve">Firma del docente/s responsable/s: </w:t>
      </w:r>
    </w:p>
    <w:p w14:paraId="4C542A0D" w14:textId="77777777" w:rsidR="001414AD" w:rsidRDefault="001414AD" w:rsidP="001414AD">
      <w:pPr>
        <w:spacing w:line="360" w:lineRule="auto"/>
        <w:rPr>
          <w:rFonts w:ascii="Arial" w:eastAsia="Arial" w:hAnsi="Arial" w:cs="Arial"/>
        </w:rPr>
      </w:pPr>
      <w:r>
        <w:rPr>
          <w:rFonts w:ascii="Arial" w:eastAsia="Arial" w:hAnsi="Arial" w:cs="Arial"/>
          <w:noProof/>
        </w:rPr>
        <w:drawing>
          <wp:inline distT="0" distB="0" distL="0" distR="0" wp14:anchorId="314875C3" wp14:editId="43DA7C60">
            <wp:extent cx="1143000" cy="10733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AZUL.jpeg"/>
                    <pic:cNvPicPr/>
                  </pic:nvPicPr>
                  <pic:blipFill>
                    <a:blip r:embed="rId13" cstate="print">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153247" cy="1082942"/>
                    </a:xfrm>
                    <a:prstGeom prst="rect">
                      <a:avLst/>
                    </a:prstGeom>
                    <a:ln>
                      <a:noFill/>
                    </a:ln>
                  </pic:spPr>
                </pic:pic>
              </a:graphicData>
            </a:graphic>
          </wp:inline>
        </w:drawing>
      </w:r>
    </w:p>
    <w:p w14:paraId="53DE233E" w14:textId="77777777" w:rsidR="001414AD" w:rsidRDefault="001414AD" w:rsidP="001414AD">
      <w:pPr>
        <w:spacing w:line="360" w:lineRule="auto"/>
        <w:rPr>
          <w:rFonts w:ascii="Arial" w:eastAsia="Arial" w:hAnsi="Arial" w:cs="Arial"/>
        </w:rPr>
      </w:pPr>
      <w:r>
        <w:rPr>
          <w:rFonts w:ascii="Arial" w:eastAsia="Arial" w:hAnsi="Arial" w:cs="Arial"/>
        </w:rPr>
        <w:t>Gisele Azul Olmos</w:t>
      </w:r>
    </w:p>
    <w:p w14:paraId="004E7FCD" w14:textId="3239E58A" w:rsidR="00F77F0B" w:rsidRDefault="001414AD">
      <w:pPr>
        <w:spacing w:after="0" w:line="240" w:lineRule="auto"/>
        <w:jc w:val="both"/>
        <w:rPr>
          <w:rFonts w:ascii="Arial" w:eastAsia="Arial" w:hAnsi="Arial" w:cs="Arial"/>
        </w:rPr>
      </w:pPr>
      <w:r>
        <w:rPr>
          <w:rFonts w:ascii="Arial" w:eastAsia="Arial" w:hAnsi="Arial" w:cs="Arial"/>
        </w:rPr>
        <w:t>DNI: 32449712</w:t>
      </w:r>
    </w:p>
    <w:p w14:paraId="4C8CBEDD" w14:textId="74CA6C95" w:rsidR="00F77F0B" w:rsidRDefault="00A84EB8" w:rsidP="00F27E61">
      <w:pPr>
        <w:spacing w:after="0" w:line="240" w:lineRule="auto"/>
        <w:jc w:val="center"/>
        <w:rPr>
          <w:strike/>
        </w:rPr>
      </w:pPr>
      <w:r>
        <w:rPr>
          <w:rFonts w:ascii="Arial" w:eastAsia="Arial" w:hAnsi="Arial" w:cs="Arial"/>
        </w:rPr>
        <w:t xml:space="preserve">                                                                        </w:t>
      </w:r>
    </w:p>
    <w:sectPr w:rsidR="00F77F0B">
      <w:headerReference w:type="default" r:id="rId15"/>
      <w:footerReference w:type="even" r:id="rId16"/>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75CF" w14:textId="77777777" w:rsidR="004407B6" w:rsidRDefault="004407B6">
      <w:pPr>
        <w:spacing w:after="0" w:line="240" w:lineRule="auto"/>
      </w:pPr>
      <w:r>
        <w:separator/>
      </w:r>
    </w:p>
  </w:endnote>
  <w:endnote w:type="continuationSeparator" w:id="0">
    <w:p w14:paraId="04001DDC" w14:textId="77777777" w:rsidR="004407B6" w:rsidRDefault="00440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A84EB8">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3008" w14:textId="77777777" w:rsidR="004407B6" w:rsidRDefault="004407B6">
      <w:pPr>
        <w:spacing w:after="0" w:line="240" w:lineRule="auto"/>
      </w:pPr>
      <w:r>
        <w:separator/>
      </w:r>
    </w:p>
  </w:footnote>
  <w:footnote w:type="continuationSeparator" w:id="0">
    <w:p w14:paraId="53E38ED5" w14:textId="77777777" w:rsidR="004407B6" w:rsidRDefault="00440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02FAF9F8" w:rsidR="00F77F0B" w:rsidRDefault="00890F9A">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6C0017A3">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A84EB8">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A84EB8">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3A956855" w:rsidR="00F77F0B" w:rsidRDefault="00890F9A">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sidRPr="00131759">
      <w:rPr>
        <w:noProof/>
        <w:sz w:val="18"/>
        <w:szCs w:val="18"/>
      </w:rPr>
      <mc:AlternateContent>
        <mc:Choice Requires="wps">
          <w:drawing>
            <wp:anchor distT="4294967295" distB="4294967295" distL="114300" distR="114300" simplePos="0" relativeHeight="251661312" behindDoc="0" locked="0" layoutInCell="1" allowOverlap="1" wp14:anchorId="12CD6839" wp14:editId="4E174978">
              <wp:simplePos x="0" y="0"/>
              <wp:positionH relativeFrom="column">
                <wp:posOffset>-365760</wp:posOffset>
              </wp:positionH>
              <wp:positionV relativeFrom="paragraph">
                <wp:posOffset>122555</wp:posOffset>
              </wp:positionV>
              <wp:extent cx="5962650" cy="0"/>
              <wp:effectExtent l="0" t="19050" r="19050"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1C83A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73852" id="4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8pt,9.65pt" to="440.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" strokecolor="#1c83a8" strokeweight="2.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656346115">
    <w:abstractNumId w:val="1"/>
  </w:num>
  <w:num w:numId="2" w16cid:durableId="866721140">
    <w:abstractNumId w:val="7"/>
  </w:num>
  <w:num w:numId="3" w16cid:durableId="654920265">
    <w:abstractNumId w:val="10"/>
  </w:num>
  <w:num w:numId="4" w16cid:durableId="1963805960">
    <w:abstractNumId w:val="5"/>
  </w:num>
  <w:num w:numId="5" w16cid:durableId="1235820475">
    <w:abstractNumId w:val="6"/>
  </w:num>
  <w:num w:numId="6" w16cid:durableId="1171020193">
    <w:abstractNumId w:val="9"/>
  </w:num>
  <w:num w:numId="7" w16cid:durableId="1219364186">
    <w:abstractNumId w:val="8"/>
  </w:num>
  <w:num w:numId="8" w16cid:durableId="64769650">
    <w:abstractNumId w:val="4"/>
  </w:num>
  <w:num w:numId="9" w16cid:durableId="333727924">
    <w:abstractNumId w:val="0"/>
  </w:num>
  <w:num w:numId="10" w16cid:durableId="687560586">
    <w:abstractNumId w:val="11"/>
  </w:num>
  <w:num w:numId="11" w16cid:durableId="2088064558">
    <w:abstractNumId w:val="2"/>
  </w:num>
  <w:num w:numId="12" w16cid:durableId="297733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4D75"/>
    <w:rsid w:val="000B2E5B"/>
    <w:rsid w:val="00131759"/>
    <w:rsid w:val="0013743B"/>
    <w:rsid w:val="001414AD"/>
    <w:rsid w:val="001B04D4"/>
    <w:rsid w:val="002938A3"/>
    <w:rsid w:val="00314A50"/>
    <w:rsid w:val="003274C9"/>
    <w:rsid w:val="00327AEE"/>
    <w:rsid w:val="003D6ABC"/>
    <w:rsid w:val="00436236"/>
    <w:rsid w:val="004407B6"/>
    <w:rsid w:val="004B2783"/>
    <w:rsid w:val="004F76E1"/>
    <w:rsid w:val="00542D62"/>
    <w:rsid w:val="00596CE4"/>
    <w:rsid w:val="005F0EA3"/>
    <w:rsid w:val="005F37D7"/>
    <w:rsid w:val="006057ED"/>
    <w:rsid w:val="00613F0A"/>
    <w:rsid w:val="00656F44"/>
    <w:rsid w:val="006A215E"/>
    <w:rsid w:val="006E0832"/>
    <w:rsid w:val="00723744"/>
    <w:rsid w:val="0072589D"/>
    <w:rsid w:val="007600E7"/>
    <w:rsid w:val="008153F7"/>
    <w:rsid w:val="0083670F"/>
    <w:rsid w:val="00885308"/>
    <w:rsid w:val="00890F9A"/>
    <w:rsid w:val="008C384B"/>
    <w:rsid w:val="00907623"/>
    <w:rsid w:val="009436A9"/>
    <w:rsid w:val="009C0D35"/>
    <w:rsid w:val="00A40848"/>
    <w:rsid w:val="00A54347"/>
    <w:rsid w:val="00A623EE"/>
    <w:rsid w:val="00A84EB8"/>
    <w:rsid w:val="00AF640C"/>
    <w:rsid w:val="00B2020F"/>
    <w:rsid w:val="00B67274"/>
    <w:rsid w:val="00BD45FD"/>
    <w:rsid w:val="00BE5670"/>
    <w:rsid w:val="00C6308E"/>
    <w:rsid w:val="00CC607F"/>
    <w:rsid w:val="00D307E5"/>
    <w:rsid w:val="00D44DA5"/>
    <w:rsid w:val="00D66443"/>
    <w:rsid w:val="00DC2998"/>
    <w:rsid w:val="00DE654D"/>
    <w:rsid w:val="00DF40C5"/>
    <w:rsid w:val="00E10230"/>
    <w:rsid w:val="00E37129"/>
    <w:rsid w:val="00E4366B"/>
    <w:rsid w:val="00E9711A"/>
    <w:rsid w:val="00EA1674"/>
    <w:rsid w:val="00F146AC"/>
    <w:rsid w:val="00F27E61"/>
    <w:rsid w:val="00F77F0B"/>
    <w:rsid w:val="00F836B6"/>
    <w:rsid w:val="00FB25DB"/>
    <w:rsid w:val="00FD63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53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bedocente.unpaz.edu.ar/s/KERoWaYrrqdG9f4"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ubedocente.unpaz.edu.ar/s/2fJNCwkM95LbK5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ubedocente.unpaz.edu.ar/s/3p7By5qrAy85Zz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ubedocente.unpaz.edu.ar/s/2fJNCwkM95LbK5p" TargetMode="External"/><Relationship Id="rId4" Type="http://schemas.openxmlformats.org/officeDocument/2006/relationships/settings" Target="settings.xml"/><Relationship Id="rId9" Type="http://schemas.openxmlformats.org/officeDocument/2006/relationships/hyperlink" Target="https://nubedocente.unpaz.edu.ar/s/KERoWaYrrqdG9f4" TargetMode="External"/><Relationship Id="rId14" Type="http://schemas.microsoft.com/office/2007/relationships/hdphoto" Target="media/hdphoto1.wdp"/></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2338</Words>
  <Characters>12859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Azul Olmos</dc:creator>
  <cp:lastModifiedBy>Azul Olmos</cp:lastModifiedBy>
  <cp:revision>13</cp:revision>
  <dcterms:created xsi:type="dcterms:W3CDTF">2023-09-09T13:00:00Z</dcterms:created>
  <dcterms:modified xsi:type="dcterms:W3CDTF">2023-10-10T18:58:00Z</dcterms:modified>
</cp:coreProperties>
</file>