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de Análisis Matemático II- 09/10/2023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="276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revisar la relación entre los objetivos y los contenidos, para formularlos de manera más específica.</w:t>
            </w:r>
          </w:p>
          <w:p w:rsidR="00000000" w:rsidDel="00000000" w:rsidP="00000000" w:rsidRDefault="00000000" w:rsidRPr="00000000" w14:paraId="0000002E">
            <w:pPr>
              <w:spacing w:after="60" w:before="6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simplificar la redacción del primer, el tercer y el cuarto objetivos, que podrían redactarse: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6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interpretar definiciones y resultados matemáticos desconocidos relacionados con los contenidos mínimos.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utilizar algunas heurísticas para resolver problemas.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60" w:before="0" w:before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argumentar con razonamientos matemáticamente válidos.</w:t>
            </w:r>
          </w:p>
          <w:p w:rsidR="00000000" w:rsidDel="00000000" w:rsidP="00000000" w:rsidRDefault="00000000" w:rsidRPr="00000000" w14:paraId="00000032">
            <w:pPr>
              <w:spacing w:after="60" w:before="6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  <w:p w:rsidR="00000000" w:rsidDel="00000000" w:rsidP="00000000" w:rsidRDefault="00000000" w:rsidRPr="00000000" w14:paraId="00000039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incorporar las guías de actividades y/o apuntes, referenciados como material de la cátedra.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clarificar las condiciones de aprobación, se sugiere aclarar cómo se compone la calificación final, teniendo en cuenta que se mencionan dos instancias parciales y un trabajo práctico.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C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JDoEph+RTHkUzGVIyaHNH3iSnQ==">CgMxLjAyCGguZ2pkZ3hzOAByITFwbm9yZlozZkJ1ck9zTWZLRHc0dkUyUmFneW1QSlNoSg==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