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Algoritmos y Programación- 09/10/2023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hanging="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Departamento: Economía, Producción e Innovación Tecnológica</w:t>
      </w: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completar la fundamentación haciendo referencia a los propósitos de enseñanza y el o los enfoques de enseñanza que se asumirán.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0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revisar, teniendo en cuenta las siguientes cuestiones: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00" w:before="6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Algunas formulaciones expresan propósitos (por ejemplo, las dos primeras) y no objetivos. Los objetivos corresponden a logros de aprendizaje esperados por parte de los y las estudiantes. Se sugiere incorporar el encabezado “Que los y las estudiantes sean capaces de:” y luego revisar las formulaciones.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Algunas formulaciones podrían sintetizarse, ya que apuntan a lo mismo. Es el caso, por ejemplo, de las dos primeras y la número 13.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60" w:before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lista de objetivos no debiera ser tan extensa. Se sugiere no exceder las cinco o seis formulaciones.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sugiere revisar el número de la unidades, ya que II y III están invertidos.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clarificar las condiciones de aprobación, se sugiere aclarar cómo se compone la calificación final, teniendo en cuenta que se mencionan dos instancias parciales y un trabajo práctico.</w:t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 mismo modo, al referir a las condiciones de regularidad detalladas en la Res. C.S. 299/23, se sugiere mencionar únicamente lo correspondiente a la alternativa en la que se desarrolla esta unidad.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A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XmVXlzq3WhfaTHH5pOcniC/1w==">CgMxLjAyCGguZ2pkZ3hzOAByITFjX3ZnQTE2a3Z4SnZ3aVlsUGNhRURsRHl5TmZnSG9jcg==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