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v="urn:schemas-microsoft-com:vml" xmlns:wp="http://schemas.openxmlformats.org/drawingml/2006/wordprocessingDrawing" xmlns:w10="urn:schemas-microsoft-com:office:word" xmlns:w="http://schemas.openxmlformats.org/wordprocessingml/2006/main">
  <w:body>
    <w:p>
      <w:pPr>
        <w:spacing w:after="321"/>
      </w:pPr>
      <w:r>
        <w:rPr>
          <w:rFonts w:ascii="Helvetica" w:hAnsi="Helvetica" w:cs="Helvetica"/>
          <w:sz w:val="48"/>
          <w:sz-cs w:val="48"/>
          <w:b/>
          <w:spacing w:val="0"/>
          <w:color w:val="1B3DB7"/>
        </w:rPr>
        <w:t xml:space="preserve">📄 Tubulu Universal Multi-Vertical Marketplace PRD</w:t>
      </w:r>
    </w:p>
    <w:p>
      <w:pPr>
        <w:spacing w:after="298"/>
      </w:pPr>
      <w:r>
        <w:rPr>
          <w:rFonts w:ascii="Helvetica" w:hAnsi="Helvetica" w:cs="Helvetica"/>
          <w:sz w:val="36"/>
          <w:sz-cs w:val="36"/>
          <w:b/>
          <w:spacing w:val="0"/>
          <w:color w:val="1B3DB7"/>
        </w:rPr>
        <w:t xml:space="preserve">1. Executive Summary</w:t>
      </w:r>
    </w:p>
    <w:p>
      <w:pPr>
        <w:spacing w:after="240"/>
      </w:pPr>
      <w:r>
        <w:rPr>
          <w:rFonts w:ascii="Helvetica" w:hAnsi="Helvetica" w:cs="Helvetica"/>
          <w:sz w:val="24"/>
          <w:sz-cs w:val="24"/>
          <w:spacing w:val="0"/>
        </w:rPr>
        <w:t xml:space="preserve">Tubulu is an agnostic, high-performance commerce infrastructure built to serve </w:t>
      </w:r>
      <w:r>
        <w:rPr>
          <w:rFonts w:ascii="Helvetica" w:hAnsi="Helvetica" w:cs="Helvetica"/>
          <w:sz w:val="24"/>
          <w:sz-cs w:val="24"/>
          <w:b/>
          <w:spacing w:val="0"/>
        </w:rPr>
        <w:t xml:space="preserve">multiple localized verticals</w:t>
      </w:r>
      <w:r>
        <w:rPr>
          <w:rFonts w:ascii="Helvetica" w:hAnsi="Helvetica" w:cs="Helvetica"/>
          <w:sz w:val="24"/>
          <w:sz-cs w:val="24"/>
          <w:spacing w:val="0"/>
        </w:rPr>
        <w:t xml:space="preserve">. Starting explicitly with Food &amp; Grocery as validation drivers, the architectural core is fundamentally engineered to be </w:t>
      </w:r>
      <w:r>
        <w:rPr>
          <w:rFonts w:ascii="Helvetica" w:hAnsi="Helvetica" w:cs="Helvetica"/>
          <w:sz w:val="24"/>
          <w:sz-cs w:val="24"/>
          <w:b/>
          <w:spacing w:val="0"/>
        </w:rPr>
        <w:t xml:space="preserve">industry-fluid</w:t>
      </w:r>
      <w:r>
        <w:rPr>
          <w:rFonts w:ascii="Helvetica" w:hAnsi="Helvetica" w:cs="Helvetica"/>
          <w:sz w:val="24"/>
          <w:sz-cs w:val="24"/>
          <w:spacing w:val="0"/>
        </w:rPr>
        <w:t xml:space="preserve">, immediately scalable to arbitrary retail and public/private sectors (Fashion, Electronics, Pharmacy, Govt Sector) without foundational re-engineering.</w:t>
      </w:r>
    </w:p>
    <w:p>
      <w:pPr>
        <w:spacing w:after="298"/>
      </w:pPr>
      <w:r>
        <w:rPr>
          <w:rFonts w:ascii="Helvetica" w:hAnsi="Helvetica" w:cs="Helvetica"/>
          <w:sz w:val="36"/>
          <w:sz-cs w:val="36"/>
          <w:b/>
          <w:spacing w:val="0"/>
          <w:color w:val="1B3DB7"/>
        </w:rPr>
        <w:t xml:space="preserve">2. Core Strategy &amp; Agnostic Design</w:t>
      </w:r>
    </w:p>
    <w:p>
      <w:pPr>
        <w:ind w:left="720" w:first-line="-720"/>
      </w:pPr>
      <w:r>
        <w:rPr>
          <w:rFonts w:ascii="Helvetica" w:hAnsi="Helvetica" w:cs="Helvetica"/>
          <w:sz w:val="24"/>
          <w:sz-cs w:val="24"/>
          <w:b/>
        </w:rPr>
        <w:t xml:space="preserve"/>
        <w:tab/>
        <w:t xml:space="preserve">•</w:t>
        <w:tab/>
        <w:t xml:space="preserve"/>
      </w:r>
      <w:r>
        <w:rPr>
          <w:rFonts w:ascii="Helvetica" w:hAnsi="Helvetica" w:cs="Helvetica"/>
          <w:sz w:val="24"/>
          <w:sz-cs w:val="24"/>
          <w:b/>
          <w:spacing w:val="0"/>
        </w:rPr>
        <w:t xml:space="preserve">Multi-Vertical Generalization:</w:t>
      </w:r>
      <w:r>
        <w:rPr>
          <w:rFonts w:ascii="Helvetica" w:hAnsi="Helvetica" w:cs="Helvetica"/>
          <w:sz w:val="24"/>
          <w:sz-cs w:val="24"/>
          <w:spacing w:val="0"/>
        </w:rPr>
        <w:t xml:space="preserve"> Universal catalog containers dynamically mapping to disparate inventory types.</w:t>
      </w:r>
    </w:p>
    <w:p>
      <w:pPr>
        <w:ind w:left="720" w:first-line="-720"/>
      </w:pPr>
      <w:r>
        <w:rPr>
          <w:rFonts w:ascii="Helvetica" w:hAnsi="Helvetica" w:cs="Helvetica"/>
          <w:sz w:val="24"/>
          <w:sz-cs w:val="24"/>
          <w:b/>
        </w:rPr>
        <w:t xml:space="preserve"/>
        <w:tab/>
        <w:t xml:space="preserve">•</w:t>
        <w:tab/>
        <w:t xml:space="preserve"/>
      </w:r>
      <w:r>
        <w:rPr>
          <w:rFonts w:ascii="Helvetica" w:hAnsi="Helvetica" w:cs="Helvetica"/>
          <w:sz w:val="24"/>
          <w:sz-cs w:val="24"/>
          <w:b/>
          <w:spacing w:val="0"/>
        </w:rPr>
        <w:t xml:space="preserve">Universal Discovery:</w:t>
      </w:r>
      <w:r>
        <w:rPr>
          <w:rFonts w:ascii="Helvetica" w:hAnsi="Helvetica" w:cs="Helvetica"/>
          <w:sz w:val="24"/>
          <w:sz-cs w:val="24"/>
          <w:spacing w:val="0"/>
        </w:rPr>
        <w:t xml:space="preserve"> Hyperlocal radius logic resolving any registered storefront regardless of business nature.</w:t>
      </w:r>
    </w:p>
    <w:p>
      <w:pPr>
        <w:ind w:left="720" w:first-line="-720"/>
      </w:pPr>
      <w:r>
        <w:rPr>
          <w:rFonts w:ascii="Helvetica" w:hAnsi="Helvetica" w:cs="Helvetica"/>
          <w:sz w:val="24"/>
          <w:sz-cs w:val="24"/>
          <w:b/>
        </w:rPr>
        <w:t xml:space="preserve"/>
        <w:tab/>
        <w:t xml:space="preserve">•</w:t>
        <w:tab/>
        <w:t xml:space="preserve"/>
      </w:r>
      <w:r>
        <w:rPr>
          <w:rFonts w:ascii="Helvetica" w:hAnsi="Helvetica" w:cs="Helvetica"/>
          <w:sz w:val="24"/>
          <w:sz-cs w:val="24"/>
          <w:b/>
          <w:spacing w:val="0"/>
        </w:rPr>
        <w:t xml:space="preserve">Dynamic Framework:</w:t>
      </w:r>
      <w:r>
        <w:rPr>
          <w:rFonts w:ascii="Helvetica" w:hAnsi="Helvetica" w:cs="Helvetica"/>
          <w:sz w:val="24"/>
          <w:sz-cs w:val="24"/>
          <w:spacing w:val="0"/>
        </w:rPr>
        <w:t xml:space="preserve"> A modular backend allowing fast attachment of new market niches without changing core code.</w:t>
      </w:r>
    </w:p>
    <w:p>
      <w:pPr>
        <w:spacing w:after="298"/>
      </w:pPr>
      <w:r>
        <w:rPr>
          <w:rFonts w:ascii="Helvetica" w:hAnsi="Helvetica" w:cs="Helvetica"/>
          <w:sz w:val="36"/>
          <w:sz-cs w:val="36"/>
          <w:b/>
          <w:spacing w:val="0"/>
          <w:color w:val="1B3DB7"/>
        </w:rPr>
        <w:t xml:space="preserve">3. Strategic Framework &amp; Current Status</w:t>
      </w:r>
    </w:p>
    <w:p>
      <w:pPr/>
      <w:r>
        <w:rPr>
          <w:rFonts w:ascii="Helvetica" w:hAnsi="Helvetica" w:cs="Helvetica"/>
          <w:sz w:val="24"/>
          <w:sz-cs w:val="24"/>
          <w:b/>
          <w:spacing w:val="0"/>
        </w:rPr>
        <w:t xml:space="preserve">Architecture Block</w:t>
      </w:r>
    </w:p>
    <w:p>
      <w:pPr/>
      <w:r>
        <w:rPr>
          <w:rFonts w:ascii="Helvetica" w:hAnsi="Helvetica" w:cs="Helvetica"/>
          <w:sz w:val="24"/>
          <w:sz-cs w:val="24"/>
          <w:b/>
          <w:spacing w:val="0"/>
        </w:rPr>
        <w:t xml:space="preserve">Module Capabilities</w:t>
      </w:r>
    </w:p>
    <w:p>
      <w:pPr/>
      <w:r>
        <w:rPr>
          <w:rFonts w:ascii="Helvetica" w:hAnsi="Helvetica" w:cs="Helvetica"/>
          <w:sz w:val="24"/>
          <w:sz-cs w:val="24"/>
          <w:b/>
          <w:spacing w:val="0"/>
        </w:rPr>
        <w:t xml:space="preserve">Status</w:t>
      </w:r>
    </w:p>
    <w:p>
      <w:pPr/>
      <w:r>
        <w:rPr>
          <w:rFonts w:ascii="Helvetica" w:hAnsi="Helvetica" w:cs="Helvetica"/>
          <w:sz w:val="24"/>
          <w:sz-cs w:val="24"/>
          <w:spacing w:val="0"/>
        </w:rPr>
        <w:t xml:space="preserve">Geo-Routing</w:t>
      </w:r>
    </w:p>
    <w:p>
      <w:pPr/>
      <w:r>
        <w:rPr>
          <w:rFonts w:ascii="Helvetica" w:hAnsi="Helvetica" w:cs="Helvetica"/>
          <w:sz w:val="24"/>
          <w:sz-cs w:val="24"/>
          <w:spacing w:val="0"/>
        </w:rPr>
        <w:t xml:space="preserve">Universal Grid Radius (5-10km)</w:t>
      </w:r>
    </w:p>
    <w:p>
      <w:pPr/>
      <w:r>
        <w:rPr>
          <w:rFonts w:ascii="Helvetica" w:hAnsi="Helvetica" w:cs="Helvetica"/>
          <w:sz w:val="24"/>
          <w:sz-cs w:val="24"/>
          <w:b/>
          <w:spacing w:val="0"/>
          <w:color w:val="0F7001"/>
        </w:rPr>
        <w:t xml:space="preserve">BUILT</w:t>
      </w:r>
    </w:p>
    <w:p>
      <w:pPr/>
      <w:r>
        <w:rPr>
          <w:rFonts w:ascii="Helvetica" w:hAnsi="Helvetica" w:cs="Helvetica"/>
          <w:sz w:val="24"/>
          <w:sz-cs w:val="24"/>
          <w:spacing w:val="0"/>
        </w:rPr>
        <w:t xml:space="preserve">Core Inventory</w:t>
      </w:r>
    </w:p>
    <w:p>
      <w:pPr/>
      <w:r>
        <w:rPr>
          <w:rFonts w:ascii="Helvetica" w:hAnsi="Helvetica" w:cs="Helvetica"/>
          <w:sz w:val="24"/>
          <w:sz-cs w:val="24"/>
          <w:spacing w:val="0"/>
        </w:rPr>
        <w:t xml:space="preserve">Fluid Store Categories &amp; Toggles</w:t>
      </w:r>
    </w:p>
    <w:p>
      <w:pPr/>
      <w:r>
        <w:rPr>
          <w:rFonts w:ascii="Helvetica" w:hAnsi="Helvetica" w:cs="Helvetica"/>
          <w:sz w:val="24"/>
          <w:sz-cs w:val="24"/>
          <w:b/>
          <w:spacing w:val="0"/>
          <w:color w:val="0F7001"/>
        </w:rPr>
        <w:t xml:space="preserve">BUILT</w:t>
      </w:r>
    </w:p>
    <w:p>
      <w:pPr/>
      <w:r>
        <w:rPr>
          <w:rFonts w:ascii="Helvetica" w:hAnsi="Helvetica" w:cs="Helvetica"/>
          <w:sz w:val="24"/>
          <w:sz-cs w:val="24"/>
          <w:spacing w:val="0"/>
        </w:rPr>
        <w:t xml:space="preserve">Unified Auth</w:t>
      </w:r>
    </w:p>
    <w:p>
      <w:pPr/>
      <w:r>
        <w:rPr>
          <w:rFonts w:ascii="Helvetica" w:hAnsi="Helvetica" w:cs="Helvetica"/>
          <w:sz w:val="24"/>
          <w:sz-cs w:val="24"/>
          <w:spacing w:val="0"/>
        </w:rPr>
        <w:t xml:space="preserve">Smart Instant-ID Mapping</w:t>
      </w:r>
    </w:p>
    <w:p>
      <w:pPr/>
      <w:r>
        <w:rPr>
          <w:rFonts w:ascii="Helvetica" w:hAnsi="Helvetica" w:cs="Helvetica"/>
          <w:sz w:val="24"/>
          <w:sz-cs w:val="24"/>
          <w:b/>
          <w:spacing w:val="0"/>
          <w:color w:val="0F7001"/>
        </w:rPr>
        <w:t xml:space="preserve">BUILT</w:t>
      </w:r>
    </w:p>
    <w:p>
      <w:pPr/>
      <w:r>
        <w:rPr>
          <w:rFonts w:ascii="Helvetica" w:hAnsi="Helvetica" w:cs="Helvetica"/>
          <w:sz w:val="24"/>
          <w:sz-cs w:val="24"/>
          <w:spacing w:val="0"/>
        </w:rPr>
        <w:t xml:space="preserve">Client Nodes</w:t>
      </w:r>
    </w:p>
    <w:p>
      <w:pPr/>
      <w:r>
        <w:rPr>
          <w:rFonts w:ascii="Helvetica" w:hAnsi="Helvetica" w:cs="Helvetica"/>
          <w:sz w:val="24"/>
          <w:sz-cs w:val="24"/>
          <w:spacing w:val="0"/>
        </w:rPr>
        <w:t xml:space="preserve">Universal Flutter Engine (Android/iOS)</w:t>
      </w:r>
    </w:p>
    <w:p>
      <w:pPr/>
      <w:r>
        <w:rPr>
          <w:rFonts w:ascii="Helvetica" w:hAnsi="Helvetica" w:cs="Helvetica"/>
          <w:sz w:val="24"/>
          <w:sz-cs w:val="24"/>
          <w:b/>
          <w:spacing w:val="0"/>
          <w:color w:val="0F7001"/>
        </w:rPr>
        <w:t xml:space="preserve">BUILT</w:t>
      </w:r>
    </w:p>
    <w:p>
      <w:pPr/>
      <w:r>
        <w:rPr>
          <w:rFonts w:ascii="Helvetica" w:hAnsi="Helvetica" w:cs="Helvetica"/>
          <w:sz w:val="24"/>
          <w:sz-cs w:val="24"/>
          <w:spacing w:val="0"/>
        </w:rPr>
        <w:t xml:space="preserve">Agnostic Ingest</w:t>
      </w:r>
    </w:p>
    <w:p>
      <w:pPr/>
      <w:r>
        <w:rPr>
          <w:rFonts w:ascii="Helvetica" w:hAnsi="Helvetica" w:cs="Helvetica"/>
          <w:sz w:val="24"/>
          <w:sz-cs w:val="24"/>
          <w:spacing w:val="0"/>
        </w:rPr>
        <w:t xml:space="preserve">Bulk Onboarding Templates Engine</w:t>
      </w:r>
    </w:p>
    <w:p>
      <w:pPr/>
      <w:r>
        <w:rPr>
          <w:rFonts w:ascii="Helvetica" w:hAnsi="Helvetica" w:cs="Helvetica"/>
          <w:sz w:val="24"/>
          <w:sz-cs w:val="24"/>
          <w:b/>
          <w:spacing w:val="0"/>
        </w:rPr>
        <w:t xml:space="preserve">PENDING</w:t>
      </w:r>
      <w:r>
        <w:rPr>
          <w:rFonts w:ascii="Helvetica" w:hAnsi="Helvetica" w:cs="Helvetica"/>
          <w:sz w:val="24"/>
          <w:sz-cs w:val="24"/>
          <w:spacing w:val="0"/>
        </w:rPr>
        <w:t xml:space="preserve"/>
      </w:r>
    </w:p>
    <w:p>
      <w:pPr/>
      <w:r>
        <w:rPr>
          <w:rFonts w:ascii="Helvetica" w:hAnsi="Helvetica" w:cs="Helvetica"/>
          <w:sz w:val="24"/>
          <w:sz-cs w:val="24"/>
          <w:spacing w:val="0"/>
        </w:rPr>
        <w:t xml:space="preserve">Retention Ops</w:t>
      </w:r>
    </w:p>
    <w:p>
      <w:pPr/>
      <w:r>
        <w:rPr>
          <w:rFonts w:ascii="Helvetica" w:hAnsi="Helvetica" w:cs="Helvetica"/>
          <w:sz w:val="24"/>
          <w:sz-cs w:val="24"/>
          <w:spacing w:val="0"/>
        </w:rPr>
        <w:t xml:space="preserve">Cross-Category Promo Rule Engine</w:t>
      </w:r>
    </w:p>
    <w:p>
      <w:pPr/>
      <w:r>
        <w:rPr>
          <w:rFonts w:ascii="Helvetica" w:hAnsi="Helvetica" w:cs="Helvetica"/>
          <w:sz w:val="24"/>
          <w:sz-cs w:val="24"/>
          <w:b/>
          <w:spacing w:val="0"/>
        </w:rPr>
        <w:t xml:space="preserve">UPCOMING</w:t>
      </w:r>
      <w:r>
        <w:rPr>
          <w:rFonts w:ascii="Helvetica" w:hAnsi="Helvetica" w:cs="Helvetica"/>
          <w:sz w:val="24"/>
          <w:sz-cs w:val="24"/>
          <w:spacing w:val="0"/>
        </w:rPr>
        <w:t xml:space="preserve"/>
      </w:r>
    </w:p>
    <w:p>
      <w:pPr>
        <w:spacing w:after="298"/>
      </w:pPr>
      <w:r>
        <w:rPr>
          <w:rFonts w:ascii="Helvetica" w:hAnsi="Helvetica" w:cs="Helvetica"/>
          <w:sz w:val="36"/>
          <w:sz-cs w:val="36"/>
          <w:b/>
          <w:spacing w:val="0"/>
          <w:color w:val="1B3DB7"/>
        </w:rPr>
        <w:t xml:space="preserve">4. The Multi-Vertical Onramp Strategy</w:t>
      </w:r>
    </w:p>
    <w:p>
      <w:pPr>
        <w:spacing w:after="240"/>
      </w:pPr>
      <w:r>
        <w:rPr>
          <w:rFonts w:ascii="Helvetica" w:hAnsi="Helvetica" w:cs="Helvetica"/>
          <w:sz w:val="24"/>
          <w:sz-cs w:val="24"/>
          <w:spacing w:val="0"/>
        </w:rPr>
        <w:t xml:space="preserve">Our immediate 4-week injection cycle explicitly activates the primary scale drivers:</w:t>
      </w:r>
    </w:p>
    <w:p>
      <w:pPr>
        <w:ind w:left="720" w:first-line="-720"/>
      </w:pPr>
      <w:r>
        <w:rPr>
          <w:rFonts w:ascii="Helvetica" w:hAnsi="Helvetica" w:cs="Helvetica"/>
          <w:sz w:val="24"/>
          <w:sz-cs w:val="24"/>
          <w:b/>
        </w:rPr>
        <w:t xml:space="preserve"/>
        <w:tab/>
        <w:t xml:space="preserve">•</w:t>
        <w:tab/>
        <w:t xml:space="preserve"/>
      </w:r>
      <w:r>
        <w:rPr>
          <w:rFonts w:ascii="Helvetica" w:hAnsi="Helvetica" w:cs="Helvetica"/>
          <w:sz w:val="24"/>
          <w:sz-cs w:val="24"/>
          <w:b/>
          <w:spacing w:val="0"/>
        </w:rPr>
        <w:t xml:space="preserve">Vertical 1 (Food):</w:t>
      </w:r>
      <w:r>
        <w:rPr>
          <w:rFonts w:ascii="Helvetica" w:hAnsi="Helvetica" w:cs="Helvetica"/>
          <w:sz w:val="24"/>
          <w:sz-cs w:val="24"/>
          <w:spacing w:val="0"/>
        </w:rPr>
        <w:t xml:space="preserve"> Dynamic modifiers schema.</w:t>
      </w:r>
    </w:p>
    <w:p>
      <w:pPr>
        <w:ind w:left="720" w:first-line="-720"/>
      </w:pPr>
      <w:r>
        <w:rPr>
          <w:rFonts w:ascii="Helvetica" w:hAnsi="Helvetica" w:cs="Helvetica"/>
          <w:sz w:val="24"/>
          <w:sz-cs w:val="24"/>
          <w:b/>
        </w:rPr>
        <w:t xml:space="preserve"/>
        <w:tab/>
        <w:t xml:space="preserve">•</w:t>
        <w:tab/>
        <w:t xml:space="preserve"/>
      </w:r>
      <w:r>
        <w:rPr>
          <w:rFonts w:ascii="Helvetica" w:hAnsi="Helvetica" w:cs="Helvetica"/>
          <w:sz w:val="24"/>
          <w:sz-cs w:val="24"/>
          <w:b/>
          <w:spacing w:val="0"/>
        </w:rPr>
        <w:t xml:space="preserve">Vertical 2 (Grocery):</w:t>
      </w:r>
      <w:r>
        <w:rPr>
          <w:rFonts w:ascii="Helvetica" w:hAnsi="Helvetica" w:cs="Helvetica"/>
          <w:sz w:val="24"/>
          <w:sz-cs w:val="24"/>
          <w:spacing w:val="0"/>
        </w:rPr>
        <w:t xml:space="preserve"> Unified weight/expiry management container.</w:t>
      </w:r>
    </w:p>
    <w:p>
      <w:pPr>
        <w:ind w:left="720" w:first-line="-720"/>
      </w:pPr>
      <w:r>
        <w:rPr>
          <w:rFonts w:ascii="Helvetica" w:hAnsi="Helvetica" w:cs="Helvetica"/>
          <w:sz w:val="24"/>
          <w:sz-cs w:val="24"/>
          <w:b/>
        </w:rPr>
        <w:t xml:space="preserve"/>
        <w:tab/>
        <w:t xml:space="preserve">•</w:t>
        <w:tab/>
        <w:t xml:space="preserve"/>
      </w:r>
      <w:r>
        <w:rPr>
          <w:rFonts w:ascii="Helvetica" w:hAnsi="Helvetica" w:cs="Helvetica"/>
          <w:sz w:val="24"/>
          <w:sz-cs w:val="24"/>
          <w:b/>
          <w:spacing w:val="0"/>
        </w:rPr>
        <w:t xml:space="preserve">Vertical 3 (Govt Sector):</w:t>
      </w:r>
      <w:r>
        <w:rPr>
          <w:rFonts w:ascii="Helvetica" w:hAnsi="Helvetica" w:cs="Helvetica"/>
          <w:sz w:val="24"/>
          <w:sz-cs w:val="24"/>
          <w:spacing w:val="0"/>
        </w:rPr>
        <w:t xml:space="preserve"> Formal documentation mapping and services lookup framework.</w:t>
      </w:r>
    </w:p>
    <w:p>
      <w:pPr/>
      <w:r>
        <w:rPr>
          <w:rFonts w:ascii="Helvetica" w:hAnsi="Helvetica" w:cs="Helvetica"/>
          <w:sz w:val="24"/>
          <w:sz-cs w:val="24"/>
          <w:spacing w:val="0"/>
        </w:rPr>
        <w:t xml:space="preserve">These modules are constructed linearly so future categories like "Apparel" inherit the identical baseline routing automatically.</w:t>
      </w:r>
      <w:r>
        <w:rPr>
          <w:rFonts w:ascii="Helvetica" w:hAnsi="Helvetica" w:cs="Helvetica"/>
          <w:sz w:val="24"/>
          <w:sz-cs w:val="24"/>
          <w:spacing w:val="0"/>
        </w:rPr>
        <w:t xml:space="preserve"/>
      </w:r>
    </w:p>
    <w:p>
      <w:pPr>
        <w:spacing w:after="240"/>
      </w:pPr>
      <w:r>
        <w:rPr>
          <w:rFonts w:ascii="Helvetica" w:hAnsi="Helvetica" w:cs="Helvetica"/>
          <w:sz w:val="24"/>
          <w:sz-cs w:val="24"/>
          <w:spacing w:val="0"/>
        </w:rPr>
        <w:t xml:space="preserve"/>
      </w:r>
    </w:p>
    <w:p>
      <w:pPr>
        <w:spacing w:after="298"/>
      </w:pPr>
      <w:r>
        <w:rPr>
          <w:rFonts w:ascii="Helvetica" w:hAnsi="Helvetica" w:cs="Helvetica"/>
          <w:sz w:val="36"/>
          <w:sz-cs w:val="36"/>
          <w:b/>
          <w:spacing w:val="0"/>
          <w:color w:val="1B3DB7"/>
        </w:rPr>
        <w:t xml:space="preserve">5. System Philosophy</w:t>
      </w:r>
    </w:p>
    <w:p>
      <w:pPr>
        <w:ind w:left="720" w:first-line="-720"/>
      </w:pPr>
      <w:r>
        <w:rPr>
          <w:rFonts w:ascii="Helvetica" w:hAnsi="Helvetica" w:cs="Helvetica"/>
          <w:sz w:val="24"/>
          <w:sz-cs w:val="24"/>
          <w:b/>
        </w:rPr>
        <w:t xml:space="preserve"/>
        <w:tab/>
        <w:t xml:space="preserve">•</w:t>
        <w:tab/>
        <w:t xml:space="preserve"/>
      </w:r>
      <w:r>
        <w:rPr>
          <w:rFonts w:ascii="Helvetica" w:hAnsi="Helvetica" w:cs="Helvetica"/>
          <w:sz w:val="24"/>
          <w:sz-cs w:val="24"/>
          <w:b/>
          <w:spacing w:val="0"/>
        </w:rPr>
        <w:t xml:space="preserve">Scalability:</w:t>
      </w:r>
      <w:r>
        <w:rPr>
          <w:rFonts w:ascii="Helvetica" w:hAnsi="Helvetica" w:cs="Helvetica"/>
          <w:sz w:val="24"/>
          <w:sz-cs w:val="24"/>
          <w:spacing w:val="0"/>
        </w:rPr>
        <w:t xml:space="preserve"> Move from 2 industries to unlimited industries purely via configuration, not coding.</w:t>
      </w:r>
    </w:p>
    <w:p>
      <w:pPr>
        <w:ind w:left="720" w:first-line="-720"/>
      </w:pPr>
      <w:r>
        <w:rPr>
          <w:rFonts w:ascii="Helvetica" w:hAnsi="Helvetica" w:cs="Helvetica"/>
          <w:sz w:val="24"/>
          <w:sz-cs w:val="24"/>
          <w:b/>
        </w:rPr>
        <w:t xml:space="preserve"/>
        <w:tab/>
        <w:t xml:space="preserve">•</w:t>
        <w:tab/>
        <w:t xml:space="preserve"/>
      </w:r>
      <w:r>
        <w:rPr>
          <w:rFonts w:ascii="Helvetica" w:hAnsi="Helvetica" w:cs="Helvetica"/>
          <w:sz w:val="24"/>
          <w:sz-cs w:val="24"/>
          <w:b/>
          <w:spacing w:val="0"/>
        </w:rPr>
        <w:t xml:space="preserve">Unified Tech:</w:t>
      </w:r>
      <w:r>
        <w:rPr>
          <w:rFonts w:ascii="Helvetica" w:hAnsi="Helvetica" w:cs="Helvetica"/>
          <w:sz w:val="24"/>
          <w:sz-cs w:val="24"/>
          <w:spacing w:val="0"/>
        </w:rPr>
        <w:t xml:space="preserve"> One deployment pool for infinite localized store verticals.</w:t>
      </w:r>
    </w:p>
    <w:sectPr/>
  </w:body>
</w:document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customXml" Target="../docProps/meta.xml"/><Relationship Id="rId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Default Theme">
  <a:themeElements>
    <a:clrScheme name="Default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Default">
      <a:majorFont>
        <a:latin typeface="Times New Roman"/>
        <a:ea typeface=""/>
        <a:cs typeface=""/>
      </a:majorFont>
      <a:minorFont>
        <a:latin typeface="Times New Roman"/>
        <a:ea typeface=""/>
        <a:cs typeface=""/>
      </a:minorFont>
    </a:fontScheme>
    <a:fmtScheme name="Default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/>
</file>

<file path=docProps/meta.xml><?xml version="1.0" encoding="utf-8"?>
<meta xmlns="http://schemas.apple.com/cocoa/2006/metadata">
  <generator>CocoaOOXMLWriter/2575.7</generator>
</meta>
</file>