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A22E" w14:textId="2B086558" w:rsidR="004F1B5F" w:rsidRDefault="004F1B5F"/>
    <w:p w14:paraId="7C24B87B" w14:textId="27C64CE2" w:rsidR="004F1B5F" w:rsidRDefault="004F1B5F"/>
    <w:p w14:paraId="6880FC44" w14:textId="4007A007" w:rsidR="00B12B9F" w:rsidRPr="007239AC" w:rsidRDefault="007239AC" w:rsidP="00B12B9F">
      <w:pPr>
        <w:rPr>
          <w:b/>
          <w:bCs/>
        </w:rPr>
      </w:pPr>
      <w:r>
        <w:rPr>
          <w:b/>
          <w:bCs/>
        </w:rPr>
        <w:t>Method for comparing PIP award rates between providers</w:t>
      </w:r>
    </w:p>
    <w:p w14:paraId="69020A03" w14:textId="173C371C" w:rsidR="00B12B9F" w:rsidRDefault="007239AC" w:rsidP="00B12B9F">
      <w:r>
        <w:t>I have used the data from DWP on PIP award rates by local authority to estimate the difference in award rates between areas covered by the two providers: Capita and ATOS.</w:t>
      </w:r>
    </w:p>
    <w:p w14:paraId="7CAF7F8C" w14:textId="6125F326" w:rsidR="007B1905" w:rsidRDefault="007B1905" w:rsidP="00B12B9F">
      <w:r>
        <w:t>I have done the following</w:t>
      </w:r>
    </w:p>
    <w:p w14:paraId="7D8039DD" w14:textId="3C78271B" w:rsidR="004F1B5F" w:rsidRDefault="00F13FA3" w:rsidP="004F1B5F">
      <w:pPr>
        <w:pStyle w:val="ListParagraph"/>
        <w:numPr>
          <w:ilvl w:val="0"/>
          <w:numId w:val="1"/>
        </w:numPr>
      </w:pPr>
      <w:r>
        <w:t xml:space="preserve">Use this map to create a dataset that identifies all postcodes where Capita is provider.  </w:t>
      </w:r>
      <w:hyperlink r:id="rId5" w:history="1">
        <w:r w:rsidRPr="008E32A8">
          <w:rPr>
            <w:rStyle w:val="Hyperlink"/>
          </w:rPr>
          <w:t>https://assets.publishing.service.gov.uk/government/uploads/system/uploads/attachment_data/file/610293/personal-independence-payment-postcode-map.pdf</w:t>
        </w:r>
      </w:hyperlink>
    </w:p>
    <w:p w14:paraId="3A76CCBD" w14:textId="417890A8" w:rsidR="00F13FA3" w:rsidRDefault="00F13FA3" w:rsidP="004F1B5F">
      <w:pPr>
        <w:pStyle w:val="ListParagraph"/>
        <w:numPr>
          <w:ilvl w:val="0"/>
          <w:numId w:val="1"/>
        </w:numPr>
      </w:pPr>
      <w:r>
        <w:t xml:space="preserve">Use a postcode lookup </w:t>
      </w:r>
      <w:r w:rsidR="00993B92">
        <w:t xml:space="preserve">and above dataset </w:t>
      </w:r>
      <w:r>
        <w:t>to identify which areas are covered by Capita and which by ATOS</w:t>
      </w:r>
    </w:p>
    <w:p w14:paraId="07C09083" w14:textId="57471FAE" w:rsidR="00F13FA3" w:rsidRDefault="00F13FA3" w:rsidP="00F13FA3">
      <w:pPr>
        <w:pStyle w:val="ListParagraph"/>
      </w:pPr>
      <w:hyperlink r:id="rId6" w:history="1">
        <w:r w:rsidRPr="008E32A8">
          <w:rPr>
            <w:rStyle w:val="Hyperlink"/>
          </w:rPr>
          <w:t>https://geoportal.statistics.gov.uk/datasets/ons::national-statistics-postcode-lookup-november-2019/about</w:t>
        </w:r>
      </w:hyperlink>
    </w:p>
    <w:p w14:paraId="5E973FB5" w14:textId="77777777" w:rsidR="00B706F6" w:rsidRDefault="00B706F6" w:rsidP="00F13FA3">
      <w:pPr>
        <w:pStyle w:val="ListParagraph"/>
      </w:pPr>
    </w:p>
    <w:p w14:paraId="5DEACADA" w14:textId="3A6AD34B" w:rsidR="00F13FA3" w:rsidRDefault="00F13FA3" w:rsidP="00F13FA3">
      <w:pPr>
        <w:pStyle w:val="ListParagraph"/>
        <w:numPr>
          <w:ilvl w:val="0"/>
          <w:numId w:val="1"/>
        </w:numPr>
      </w:pPr>
      <w:r>
        <w:t>Import data from Stats</w:t>
      </w:r>
      <w:r w:rsidR="00B12B9F">
        <w:t>-</w:t>
      </w:r>
      <w:proofErr w:type="spellStart"/>
      <w:r>
        <w:t>xplore</w:t>
      </w:r>
      <w:proofErr w:type="spellEnd"/>
      <w:r>
        <w:t xml:space="preserve"> on </w:t>
      </w:r>
    </w:p>
    <w:p w14:paraId="75708683" w14:textId="626724EC" w:rsidR="00F13FA3" w:rsidRDefault="00F13FA3" w:rsidP="00F13FA3">
      <w:pPr>
        <w:pStyle w:val="ListParagraph"/>
        <w:numPr>
          <w:ilvl w:val="0"/>
          <w:numId w:val="2"/>
        </w:numPr>
      </w:pPr>
      <w:r>
        <w:t>Award rates by local authority</w:t>
      </w:r>
      <w:r w:rsidR="00993B92">
        <w:t xml:space="preserve"> and reassessment</w:t>
      </w:r>
    </w:p>
    <w:p w14:paraId="6B47C2F3" w14:textId="2A006F17" w:rsidR="00F13FA3" w:rsidRDefault="00F13FA3" w:rsidP="00F13FA3">
      <w:pPr>
        <w:pStyle w:val="ListParagraph"/>
        <w:numPr>
          <w:ilvl w:val="0"/>
          <w:numId w:val="2"/>
        </w:numPr>
      </w:pPr>
      <w:r>
        <w:t xml:space="preserve">Proportion of applicants with different disabilities (21 categories) </w:t>
      </w:r>
      <w:r w:rsidR="00993B92">
        <w:t xml:space="preserve">for reassessment cases and </w:t>
      </w:r>
      <w:proofErr w:type="spellStart"/>
      <w:r w:rsidR="00993B92">
        <w:t>non reassessment</w:t>
      </w:r>
      <w:proofErr w:type="spellEnd"/>
      <w:r w:rsidR="00993B92">
        <w:t xml:space="preserve"> cases</w:t>
      </w:r>
    </w:p>
    <w:p w14:paraId="6DB29AC5" w14:textId="1B322C0C" w:rsidR="00993B92" w:rsidRDefault="00993B92" w:rsidP="00993B92">
      <w:pPr>
        <w:pStyle w:val="ListParagraph"/>
        <w:numPr>
          <w:ilvl w:val="0"/>
          <w:numId w:val="1"/>
        </w:numPr>
      </w:pPr>
      <w:r>
        <w:t>Merge data together</w:t>
      </w:r>
    </w:p>
    <w:p w14:paraId="6ED0820D" w14:textId="45F81AE9" w:rsidR="00993B92" w:rsidRDefault="00993B92" w:rsidP="00993B92">
      <w:pPr>
        <w:pStyle w:val="ListParagraph"/>
        <w:numPr>
          <w:ilvl w:val="0"/>
          <w:numId w:val="1"/>
        </w:numPr>
      </w:pPr>
      <w:r>
        <w:t xml:space="preserve">Run the following regression </w:t>
      </w:r>
      <w:r w:rsidR="007B1905">
        <w:t>separately for DLA reassessment cases, new cases, all cases together.</w:t>
      </w:r>
    </w:p>
    <w:p w14:paraId="7CAE8B15" w14:textId="78890041" w:rsidR="00993B92" w:rsidRPr="00993B92" w:rsidRDefault="00993B92" w:rsidP="00993B9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Award_rate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Disability_prevalences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Capita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</m:oMath>
      </m:oMathPara>
    </w:p>
    <w:p w14:paraId="1A0551B7" w14:textId="591C926D" w:rsidR="00993B92" w:rsidRDefault="00993B92" w:rsidP="00993B92">
      <w:pPr>
        <w:pStyle w:val="ListParagraph"/>
      </w:pPr>
    </w:p>
    <w:p w14:paraId="382A3B3C" w14:textId="4952445D" w:rsidR="00993B92" w:rsidRDefault="00993B92" w:rsidP="00993B92">
      <w:pPr>
        <w:pStyle w:val="ListParagraph"/>
      </w:pPr>
      <w:r>
        <w:t xml:space="preserve">Where </w:t>
      </w:r>
      <w:proofErr w:type="spellStart"/>
      <w:r>
        <w:t>Award_rate</w:t>
      </w:r>
      <w:r>
        <w:softHyphen/>
      </w:r>
      <w:r>
        <w:rPr>
          <w:vertAlign w:val="super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  <w:t>LA</w:t>
      </w:r>
      <w:proofErr w:type="spellEnd"/>
      <w:r>
        <w:rPr>
          <w:vertAlign w:val="subscript"/>
        </w:rPr>
        <w:softHyphen/>
      </w:r>
      <w:r>
        <w:t xml:space="preserve"> is the proportion of total cases which result in awarded Personal independence payments</w:t>
      </w:r>
    </w:p>
    <w:p w14:paraId="74157AA0" w14:textId="3C3BDD45" w:rsidR="00993B92" w:rsidRDefault="00993B92" w:rsidP="00993B92">
      <w:pPr>
        <w:pStyle w:val="ListParagraph"/>
      </w:pPr>
      <w:proofErr w:type="spellStart"/>
      <w:r>
        <w:t>Disability_prevalences</w:t>
      </w:r>
      <w:r>
        <w:softHyphen/>
      </w:r>
      <w:r>
        <w:rPr>
          <w:vertAlign w:val="subscript"/>
        </w:rPr>
        <w:t>LA</w:t>
      </w:r>
      <w:proofErr w:type="spellEnd"/>
      <w:r>
        <w:rPr>
          <w:vertAlign w:val="subscript"/>
        </w:rPr>
        <w:softHyphen/>
      </w:r>
      <w:r>
        <w:t xml:space="preserve"> is the proportion of total cases in local authority reporting a given disability. 18 disability categories are included with “Unknown or missing” left out of the regression</w:t>
      </w:r>
      <w:r w:rsidR="00B12B9F">
        <w:t xml:space="preserve"> to avoid multicollinearity</w:t>
      </w:r>
      <w:r>
        <w:t xml:space="preserve">. This </w:t>
      </w:r>
      <w:r w:rsidR="007239AC">
        <w:t>controls for</w:t>
      </w:r>
      <w:r>
        <w:t xml:space="preserve"> the fact that </w:t>
      </w:r>
      <w:r w:rsidR="007B1905">
        <w:t xml:space="preserve">people with </w:t>
      </w:r>
      <w:r>
        <w:t xml:space="preserve">certain disabilities are more likely to </w:t>
      </w:r>
      <w:r w:rsidR="007B1905">
        <w:t xml:space="preserve">get </w:t>
      </w:r>
      <w:r>
        <w:t>an award</w:t>
      </w:r>
      <w:r w:rsidR="007B1905">
        <w:t xml:space="preserve"> than people with other disabilities. </w:t>
      </w:r>
    </w:p>
    <w:p w14:paraId="25BEB7CC" w14:textId="18B62F1A" w:rsidR="00993B92" w:rsidRDefault="00993B92" w:rsidP="00993B92">
      <w:pPr>
        <w:pStyle w:val="ListParagraph"/>
      </w:pPr>
      <w:proofErr w:type="spellStart"/>
      <w:r>
        <w:t>Capita</w:t>
      </w:r>
      <w:r>
        <w:softHyphen/>
      </w:r>
      <w:r>
        <w:rPr>
          <w:vertAlign w:val="subscript"/>
        </w:rPr>
        <w:t>LA</w:t>
      </w:r>
      <w:proofErr w:type="spellEnd"/>
      <w:r>
        <w:rPr>
          <w:vertAlign w:val="subscript"/>
        </w:rPr>
        <w:softHyphen/>
      </w:r>
      <w:r>
        <w:t xml:space="preserve"> is a dummy variable for whether the area is covered by Capita</w:t>
      </w:r>
      <w:r w:rsidR="007239AC">
        <w:t xml:space="preserve">. </w:t>
      </w:r>
      <m:oMath>
        <m:r>
          <w:rPr>
            <w:rFonts w:ascii="Cambria Math" w:hAnsi="Cambria Math"/>
          </w:rPr>
          <m:t>δ</m:t>
        </m:r>
      </m:oMath>
      <w:r w:rsidR="007239AC">
        <w:rPr>
          <w:rFonts w:eastAsiaTheme="minorEastAsia"/>
        </w:rPr>
        <w:t xml:space="preserve"> </w:t>
      </w:r>
      <w:r w:rsidR="007239AC">
        <w:t>can be interpreted as the percentage point difference between</w:t>
      </w:r>
      <w:r w:rsidR="007B1905">
        <w:t xml:space="preserve"> Capita award rates and ATOS award rates. </w:t>
      </w:r>
    </w:p>
    <w:p w14:paraId="2039BEA8" w14:textId="6253EE13" w:rsidR="007B1905" w:rsidRDefault="007B1905" w:rsidP="00993B92">
      <w:pPr>
        <w:pStyle w:val="ListParagraph"/>
      </w:pPr>
    </w:p>
    <w:p w14:paraId="302B820B" w14:textId="77777777" w:rsidR="007B1905" w:rsidRDefault="007B1905" w:rsidP="00993B92">
      <w:pPr>
        <w:pStyle w:val="ListParagraph"/>
      </w:pPr>
      <w:r>
        <w:t xml:space="preserve">The results are in the table below. The main coefficient is on </w:t>
      </w:r>
      <w:proofErr w:type="spellStart"/>
      <w:r>
        <w:t>main_providerCapita</w:t>
      </w:r>
      <w:proofErr w:type="spellEnd"/>
      <w:r>
        <w:t xml:space="preserve"> in the Disability controls model. </w:t>
      </w:r>
    </w:p>
    <w:p w14:paraId="0329728B" w14:textId="77777777" w:rsidR="007B1905" w:rsidRDefault="007B1905" w:rsidP="00993B92">
      <w:pPr>
        <w:pStyle w:val="ListParagraph"/>
      </w:pPr>
    </w:p>
    <w:p w14:paraId="4DC07534" w14:textId="77777777" w:rsidR="00BF60E7" w:rsidRDefault="00BF60E7" w:rsidP="00BF60E7">
      <w:pPr>
        <w:pStyle w:val="ListParagraph"/>
        <w:rPr>
          <w:b/>
          <w:bCs/>
        </w:rPr>
      </w:pPr>
      <w:r>
        <w:rPr>
          <w:b/>
          <w:bCs/>
        </w:rPr>
        <w:t xml:space="preserve">R code: </w:t>
      </w:r>
    </w:p>
    <w:p w14:paraId="6B5D2341" w14:textId="77777777" w:rsidR="00BF60E7" w:rsidRPr="0011167A" w:rsidRDefault="00BF60E7" w:rsidP="00BF60E7">
      <w:pPr>
        <w:pStyle w:val="ListParagraph"/>
        <w:rPr>
          <w:b/>
          <w:bCs/>
        </w:rPr>
      </w:pPr>
    </w:p>
    <w:p w14:paraId="6F1E6CDF" w14:textId="77777777" w:rsidR="00BF60E7" w:rsidRDefault="00BF60E7" w:rsidP="00BF60E7">
      <w:pPr>
        <w:pStyle w:val="ListParagraph"/>
      </w:pPr>
      <w:r>
        <w:t xml:space="preserve">The R code for the analysis is available here. Everything is in the </w:t>
      </w:r>
      <w:proofErr w:type="spellStart"/>
      <w:r>
        <w:t>github</w:t>
      </w:r>
      <w:proofErr w:type="spellEnd"/>
      <w:r>
        <w:t xml:space="preserve"> that’s needed to run the code is in the </w:t>
      </w:r>
      <w:proofErr w:type="spellStart"/>
      <w:r>
        <w:t>github</w:t>
      </w:r>
      <w:proofErr w:type="spellEnd"/>
      <w:r>
        <w:t xml:space="preserve"> except: </w:t>
      </w:r>
    </w:p>
    <w:p w14:paraId="7D439561" w14:textId="77777777" w:rsidR="00BF60E7" w:rsidRDefault="00BF60E7" w:rsidP="00BF60E7">
      <w:pPr>
        <w:pStyle w:val="ListParagraph"/>
        <w:numPr>
          <w:ilvl w:val="0"/>
          <w:numId w:val="3"/>
        </w:numPr>
      </w:pPr>
      <w:r>
        <w:t xml:space="preserve">The postcode lookup. This is a big file so you will need to download separately: </w:t>
      </w:r>
      <w:hyperlink r:id="rId7" w:history="1">
        <w:r w:rsidRPr="008E32A8">
          <w:rPr>
            <w:rStyle w:val="Hyperlink"/>
          </w:rPr>
          <w:t>https://geoportal.statistics.gov.uk/datasets/ad7fd1d95f06431aaaceecdce4985c7e</w:t>
        </w:r>
      </w:hyperlink>
    </w:p>
    <w:p w14:paraId="24C69982" w14:textId="77777777" w:rsidR="00BF60E7" w:rsidRDefault="00BF60E7" w:rsidP="00BF60E7">
      <w:pPr>
        <w:pStyle w:val="ListParagraph"/>
        <w:numPr>
          <w:ilvl w:val="0"/>
          <w:numId w:val="3"/>
        </w:numPr>
      </w:pPr>
      <w:r>
        <w:t xml:space="preserve">You will need to get your own Stat Xplore API key which you can get here: </w:t>
      </w:r>
    </w:p>
    <w:p w14:paraId="71FBE006" w14:textId="77777777" w:rsidR="00BF60E7" w:rsidRDefault="00BF60E7" w:rsidP="00BF60E7">
      <w:pPr>
        <w:pStyle w:val="ListParagraph"/>
        <w:ind w:left="1080"/>
      </w:pPr>
      <w:hyperlink r:id="rId8" w:history="1">
        <w:r w:rsidRPr="008E32A8">
          <w:rPr>
            <w:rStyle w:val="Hyperlink"/>
          </w:rPr>
          <w:t>https://stat-xplore.dwp.gov.uk/webapi/online-help/Open-Data-API.html</w:t>
        </w:r>
      </w:hyperlink>
    </w:p>
    <w:p w14:paraId="1152C3D4" w14:textId="77777777" w:rsidR="007B1905" w:rsidRDefault="007B1905" w:rsidP="00993B92">
      <w:pPr>
        <w:pStyle w:val="ListParagraph"/>
      </w:pPr>
    </w:p>
    <w:p w14:paraId="43BED551" w14:textId="77777777" w:rsidR="007B1905" w:rsidRDefault="007B1905" w:rsidP="00993B92">
      <w:pPr>
        <w:pStyle w:val="ListParagraph"/>
      </w:pPr>
    </w:p>
    <w:p w14:paraId="29C631BF" w14:textId="77777777" w:rsidR="007B1905" w:rsidRDefault="007B1905" w:rsidP="00993B92">
      <w:pPr>
        <w:pStyle w:val="ListParagraph"/>
      </w:pPr>
    </w:p>
    <w:p w14:paraId="48E12DD6" w14:textId="133A60A6" w:rsidR="007B1905" w:rsidRPr="007B1905" w:rsidRDefault="007B1905" w:rsidP="00993B92">
      <w:pPr>
        <w:pStyle w:val="ListParagraph"/>
        <w:rPr>
          <w:b/>
          <w:bCs/>
        </w:rPr>
      </w:pPr>
      <w:r w:rsidRPr="007B1905">
        <w:rPr>
          <w:b/>
          <w:bCs/>
        </w:rPr>
        <w:t xml:space="preserve">Full regression table for reassessment cases: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2567"/>
        <w:gridCol w:w="2176"/>
        <w:gridCol w:w="3117"/>
      </w:tblGrid>
      <w:tr w:rsidR="007B1905" w14:paraId="73AD99EA" w14:textId="77777777" w:rsidTr="00467185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AD36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</w:p>
          <w:p w14:paraId="79425CEF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</w:p>
          <w:p w14:paraId="4AA81E01" w14:textId="1BD5EF19" w:rsidR="007B1905" w:rsidRDefault="007B1905" w:rsidP="00467185">
            <w:pPr>
              <w:spacing w:before="120" w:after="120"/>
              <w:ind w:left="120" w:right="120"/>
              <w:jc w:val="center"/>
            </w:pPr>
          </w:p>
        </w:tc>
        <w:tc>
          <w:tcPr>
            <w:tcW w:w="256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F1BE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No Disability Controls</w:t>
            </w:r>
          </w:p>
        </w:tc>
        <w:tc>
          <w:tcPr>
            <w:tcW w:w="2176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DD6A5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Disability controls</w:t>
            </w:r>
          </w:p>
        </w:tc>
        <w:tc>
          <w:tcPr>
            <w:tcW w:w="311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62DD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Disability Controls and IMD</w:t>
            </w:r>
          </w:p>
        </w:tc>
      </w:tr>
      <w:tr w:rsidR="007B1905" w14:paraId="4E3F8B6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99D8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256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8ECC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0.71 ***</w:t>
            </w:r>
          </w:p>
        </w:tc>
        <w:tc>
          <w:tcPr>
            <w:tcW w:w="217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6B0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-0.31 ** </w:t>
            </w:r>
          </w:p>
        </w:tc>
        <w:tc>
          <w:tcPr>
            <w:tcW w:w="3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CCF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-0.23 *  </w:t>
            </w:r>
          </w:p>
        </w:tc>
      </w:tr>
      <w:tr w:rsidR="007B1905" w14:paraId="07CB3AFF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EC0A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39B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D61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D0D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(0.11)   </w:t>
            </w:r>
          </w:p>
        </w:tc>
      </w:tr>
      <w:tr w:rsidR="007B1905" w14:paraId="0F75405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448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main_providerCapita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081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-0.01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FEB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-0.04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F66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-0.03 ***</w:t>
            </w:r>
          </w:p>
        </w:tc>
      </w:tr>
      <w:tr w:rsidR="007B1905" w14:paraId="102336F8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F870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A85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1E2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3287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</w:tr>
      <w:tr w:rsidR="007B1905" w14:paraId="4236DA7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793F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cardio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45B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789E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2.19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FF2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1.08 *  </w:t>
            </w:r>
          </w:p>
        </w:tc>
      </w:tr>
      <w:tr w:rsidR="007B1905" w14:paraId="08E1983B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912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74B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6DC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D78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(0.46)   </w:t>
            </w:r>
          </w:p>
        </w:tc>
      </w:tr>
      <w:tr w:rsidR="007B1905" w14:paraId="3DA81DF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C89A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autoimmune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1AC7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0A8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-0.01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E19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0.48    </w:t>
            </w:r>
          </w:p>
        </w:tc>
      </w:tr>
      <w:tr w:rsidR="007B1905" w14:paraId="5536F67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5F99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6CB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67C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(0.80)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097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(0.80)   </w:t>
            </w:r>
          </w:p>
        </w:tc>
      </w:tr>
      <w:tr w:rsidR="007B1905" w14:paraId="1F7D7EA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2413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liver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B58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167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1.61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FBB3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1.51    </w:t>
            </w:r>
          </w:p>
        </w:tc>
      </w:tr>
      <w:tr w:rsidR="007B1905" w14:paraId="28F59C9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82F3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5E6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82D4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(1.20)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C0A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(1.15)   </w:t>
            </w:r>
          </w:p>
        </w:tc>
      </w:tr>
      <w:tr w:rsidR="007B1905" w14:paraId="4B07C1A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39EB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endo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EE50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24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1.65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FCC2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0.82    </w:t>
            </w:r>
          </w:p>
        </w:tc>
      </w:tr>
      <w:tr w:rsidR="007B1905" w14:paraId="6C52054B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A9BE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8867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C202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7C7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(0.44)   </w:t>
            </w:r>
          </w:p>
        </w:tc>
      </w:tr>
      <w:tr w:rsidR="007B1905" w14:paraId="067A51A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1ECF5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gastro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3D4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6E70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1.02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513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-0.32    </w:t>
            </w:r>
          </w:p>
        </w:tc>
      </w:tr>
      <w:tr w:rsidR="007B1905" w14:paraId="463AA25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AF64B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5C6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1E93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(0.80)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CA31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(0.79)   </w:t>
            </w:r>
          </w:p>
        </w:tc>
      </w:tr>
      <w:tr w:rsidR="007B1905" w14:paraId="35A8A3D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1F742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genit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862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649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-0.57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568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0.52    </w:t>
            </w:r>
          </w:p>
        </w:tc>
      </w:tr>
      <w:tr w:rsidR="007B1905" w14:paraId="7D18DA0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A7F5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2199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FA3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8F98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(0.87)   </w:t>
            </w:r>
          </w:p>
        </w:tc>
      </w:tr>
      <w:tr w:rsidR="007B1905" w14:paraId="4AA37E0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1044D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haem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DC0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10F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0.25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7B91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0.79    </w:t>
            </w:r>
          </w:p>
        </w:tc>
      </w:tr>
      <w:tr w:rsidR="007B1905" w14:paraId="675716B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4C2C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235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9245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(0.97)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A4E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(0.91)   </w:t>
            </w:r>
          </w:p>
        </w:tc>
      </w:tr>
      <w:tr w:rsidR="007B1905" w14:paraId="7FC277F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E9045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hearing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1663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BC3F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0.71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C9F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0.69    </w:t>
            </w:r>
          </w:p>
        </w:tc>
      </w:tr>
      <w:tr w:rsidR="007B1905" w14:paraId="674B163F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064BD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5A12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C7C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149D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(0.39)   </w:t>
            </w:r>
          </w:p>
        </w:tc>
      </w:tr>
      <w:tr w:rsidR="007B1905" w14:paraId="4D6D751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157DC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infect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7F1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86D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1.72 *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403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1.43 *  </w:t>
            </w:r>
          </w:p>
        </w:tc>
      </w:tr>
      <w:tr w:rsidR="007B1905" w14:paraId="559B76E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AC5F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C17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670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14C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(0.69)   </w:t>
            </w:r>
          </w:p>
        </w:tc>
      </w:tr>
      <w:tr w:rsidR="007B1905" w14:paraId="6C7C356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2B59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malignant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CE5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CFE1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2.91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25A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2.23 ***</w:t>
            </w:r>
          </w:p>
        </w:tc>
      </w:tr>
      <w:tr w:rsidR="007B1905" w14:paraId="47BABF4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A44D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04B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5221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B45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(0.44)   </w:t>
            </w:r>
          </w:p>
        </w:tc>
      </w:tr>
      <w:tr w:rsidR="007B1905" w14:paraId="7F219F4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D38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metabolic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FBC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442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-0.13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B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0.99    </w:t>
            </w:r>
          </w:p>
        </w:tc>
      </w:tr>
      <w:tr w:rsidR="007B1905" w14:paraId="09D24BCC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84F8B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5EF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F60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(1.16)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A3AE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(1.13)   </w:t>
            </w:r>
          </w:p>
        </w:tc>
      </w:tr>
      <w:tr w:rsidR="007B1905" w14:paraId="13F1D1FC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7419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musc_gen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DC9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64B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1.03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C15E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1.00 ***</w:t>
            </w:r>
          </w:p>
        </w:tc>
      </w:tr>
      <w:tr w:rsidR="007B1905" w14:paraId="13106968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5C75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B8E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BCA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F3B3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</w:tr>
      <w:tr w:rsidR="007B1905" w14:paraId="04B6BC6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70E0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musc_reg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472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852F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1.28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C9D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1.39 ***</w:t>
            </w:r>
          </w:p>
        </w:tc>
      </w:tr>
      <w:tr w:rsidR="007B1905" w14:paraId="5D8F463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F608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C897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27E1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D6F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(0.17)   </w:t>
            </w:r>
          </w:p>
        </w:tc>
      </w:tr>
      <w:tr w:rsidR="007B1905" w14:paraId="21CE84BC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5F503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neuro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5B0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7E8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1.13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D59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0.97 ***</w:t>
            </w:r>
          </w:p>
        </w:tc>
      </w:tr>
      <w:tr w:rsidR="007B1905" w14:paraId="6070ADB9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E995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9EF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5F8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(0.12)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397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</w:tr>
      <w:tr w:rsidR="007B1905" w14:paraId="5311494F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793B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psych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C34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80B0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1.09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CDB9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0.97 ***</w:t>
            </w:r>
          </w:p>
        </w:tc>
      </w:tr>
      <w:tr w:rsidR="007B1905" w14:paraId="2B608A5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63589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C0C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783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174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</w:tr>
      <w:tr w:rsidR="007B1905" w14:paraId="1BCE691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DDC3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resp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62B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27B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0.81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E03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1.55 ***</w:t>
            </w:r>
          </w:p>
        </w:tc>
      </w:tr>
      <w:tr w:rsidR="007B1905" w14:paraId="47899DD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3E70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2E4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DEAC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(0.24)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E37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(0.26)   </w:t>
            </w:r>
          </w:p>
        </w:tc>
      </w:tr>
      <w:tr w:rsidR="007B1905" w14:paraId="583B47D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97D54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visual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9BDC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795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0.79 *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52C9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1.31 ***</w:t>
            </w:r>
          </w:p>
        </w:tc>
      </w:tr>
      <w:tr w:rsidR="007B1905" w14:paraId="232695D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A711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3E9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499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(0.35)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3A6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(0.35)   </w:t>
            </w:r>
          </w:p>
        </w:tc>
      </w:tr>
      <w:tr w:rsidR="007B1905" w14:paraId="042509B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9F85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skin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643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927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1.64 *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404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2.00 ** </w:t>
            </w:r>
          </w:p>
        </w:tc>
      </w:tr>
      <w:tr w:rsidR="007B1905" w14:paraId="4231C20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15E43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E21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7D9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357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(0.73)   </w:t>
            </w:r>
          </w:p>
        </w:tc>
      </w:tr>
      <w:tr w:rsidR="007B1905" w14:paraId="427BBD8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D09D8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IMD_score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F56A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D41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D35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-0.00 ***</w:t>
            </w:r>
          </w:p>
        </w:tc>
      </w:tr>
      <w:tr w:rsidR="007B1905" w14:paraId="6F4B0B6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4ACB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1F6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254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311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499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</w:tr>
      <w:tr w:rsidR="007B1905" w14:paraId="43D7024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46F1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N</w:t>
            </w:r>
          </w:p>
        </w:tc>
        <w:tc>
          <w:tcPr>
            <w:tcW w:w="256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463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344       </w:t>
            </w:r>
          </w:p>
        </w:tc>
        <w:tc>
          <w:tcPr>
            <w:tcW w:w="217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B4C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344       </w:t>
            </w:r>
          </w:p>
        </w:tc>
        <w:tc>
          <w:tcPr>
            <w:tcW w:w="3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E9E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306       </w:t>
            </w:r>
          </w:p>
        </w:tc>
      </w:tr>
      <w:tr w:rsidR="007B1905" w14:paraId="7D797F10" w14:textId="77777777" w:rsidTr="00467185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37B5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R2</w:t>
            </w:r>
          </w:p>
        </w:tc>
        <w:tc>
          <w:tcPr>
            <w:tcW w:w="256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F36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0.01    </w:t>
            </w:r>
          </w:p>
        </w:tc>
        <w:tc>
          <w:tcPr>
            <w:tcW w:w="2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3EF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0.58    </w:t>
            </w:r>
          </w:p>
        </w:tc>
        <w:tc>
          <w:tcPr>
            <w:tcW w:w="311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2321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0.58    </w:t>
            </w:r>
          </w:p>
        </w:tc>
      </w:tr>
      <w:tr w:rsidR="007B1905" w14:paraId="304A77B4" w14:textId="77777777" w:rsidTr="00467185">
        <w:trPr>
          <w:cantSplit/>
          <w:jc w:val="center"/>
        </w:trPr>
        <w:tc>
          <w:tcPr>
            <w:tcW w:w="12036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4AB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* p &lt; 0.01;  * p &lt; 0.05.</w:t>
            </w:r>
          </w:p>
        </w:tc>
      </w:tr>
    </w:tbl>
    <w:p w14:paraId="6A7F52AD" w14:textId="31939496" w:rsidR="007B1905" w:rsidRDefault="007B1905" w:rsidP="007B1905"/>
    <w:p w14:paraId="43A8D995" w14:textId="3FAFFD93" w:rsidR="007B1905" w:rsidRDefault="007B1905" w:rsidP="00993B92">
      <w:pPr>
        <w:pStyle w:val="ListParagraph"/>
      </w:pPr>
    </w:p>
    <w:p w14:paraId="0EB9CB31" w14:textId="77777777" w:rsidR="007B1905" w:rsidRDefault="007B1905" w:rsidP="00993B92">
      <w:pPr>
        <w:pStyle w:val="ListParagraph"/>
        <w:rPr>
          <w:b/>
          <w:bCs/>
        </w:rPr>
      </w:pPr>
    </w:p>
    <w:p w14:paraId="1B5F075C" w14:textId="77777777" w:rsidR="007B1905" w:rsidRDefault="007B1905" w:rsidP="00993B92">
      <w:pPr>
        <w:pStyle w:val="ListParagraph"/>
        <w:rPr>
          <w:b/>
          <w:bCs/>
        </w:rPr>
      </w:pPr>
    </w:p>
    <w:p w14:paraId="4017DE93" w14:textId="77777777" w:rsidR="007B1905" w:rsidRDefault="007B1905" w:rsidP="00993B92">
      <w:pPr>
        <w:pStyle w:val="ListParagraph"/>
        <w:rPr>
          <w:b/>
          <w:bCs/>
        </w:rPr>
      </w:pPr>
    </w:p>
    <w:p w14:paraId="356402DF" w14:textId="77777777" w:rsidR="007B1905" w:rsidRDefault="007B1905" w:rsidP="00993B92">
      <w:pPr>
        <w:pStyle w:val="ListParagraph"/>
        <w:rPr>
          <w:b/>
          <w:bCs/>
        </w:rPr>
      </w:pPr>
    </w:p>
    <w:p w14:paraId="5D9FBF13" w14:textId="616409AE" w:rsidR="007B1905" w:rsidRPr="007B1905" w:rsidRDefault="007B1905" w:rsidP="00993B92">
      <w:pPr>
        <w:pStyle w:val="ListParagraph"/>
        <w:rPr>
          <w:b/>
          <w:bCs/>
        </w:rPr>
      </w:pPr>
      <w:r>
        <w:rPr>
          <w:b/>
          <w:bCs/>
        </w:rPr>
        <w:t>Full r</w:t>
      </w:r>
      <w:r w:rsidRPr="007B1905">
        <w:rPr>
          <w:b/>
          <w:bCs/>
        </w:rPr>
        <w:t>egression table for new cases:</w:t>
      </w:r>
    </w:p>
    <w:p w14:paraId="3BE07BD8" w14:textId="2DFBF09A" w:rsidR="007B1905" w:rsidRDefault="007B1905" w:rsidP="00993B92">
      <w:pPr>
        <w:pStyle w:val="ListParagraph"/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2567"/>
        <w:gridCol w:w="2176"/>
        <w:gridCol w:w="3117"/>
      </w:tblGrid>
      <w:tr w:rsidR="007B1905" w14:paraId="1377C1FD" w14:textId="77777777" w:rsidTr="00467185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EC757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</w:p>
        </w:tc>
        <w:tc>
          <w:tcPr>
            <w:tcW w:w="256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25148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No Disability Controls</w:t>
            </w:r>
          </w:p>
        </w:tc>
        <w:tc>
          <w:tcPr>
            <w:tcW w:w="2176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40F3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Disability controls</w:t>
            </w:r>
          </w:p>
        </w:tc>
        <w:tc>
          <w:tcPr>
            <w:tcW w:w="311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9859D" w14:textId="77777777" w:rsidR="007B1905" w:rsidRDefault="007B1905" w:rsidP="00467185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Disability Controls and IMD</w:t>
            </w:r>
          </w:p>
        </w:tc>
      </w:tr>
      <w:tr w:rsidR="007B1905" w14:paraId="5DEE5243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9B43D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256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843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0.45 ***</w:t>
            </w:r>
          </w:p>
        </w:tc>
        <w:tc>
          <w:tcPr>
            <w:tcW w:w="217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109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-0.04    </w:t>
            </w:r>
          </w:p>
        </w:tc>
        <w:tc>
          <w:tcPr>
            <w:tcW w:w="3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286E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0.05    </w:t>
            </w:r>
          </w:p>
        </w:tc>
      </w:tr>
      <w:tr w:rsidR="007B1905" w14:paraId="1FB2A009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C855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1F4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A0D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E94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(0.06)   </w:t>
            </w:r>
          </w:p>
        </w:tc>
      </w:tr>
      <w:tr w:rsidR="007B1905" w14:paraId="7F7C730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33F1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main_providerCapita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F60A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-0.02 ***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675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-0.03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66C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-0.03 ***</w:t>
            </w:r>
          </w:p>
        </w:tc>
      </w:tr>
      <w:tr w:rsidR="007B1905" w14:paraId="652FA3B9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6BCD8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A5E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626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111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</w:tr>
      <w:tr w:rsidR="007B1905" w14:paraId="7C2A47D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D548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cardio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2CA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C17E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1.13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8C3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0.46    </w:t>
            </w:r>
          </w:p>
        </w:tc>
      </w:tr>
      <w:tr w:rsidR="007B1905" w14:paraId="401455B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0614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1A9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C6E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(0.34)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7B8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(0.32)   </w:t>
            </w:r>
          </w:p>
        </w:tc>
      </w:tr>
      <w:tr w:rsidR="007B1905" w14:paraId="3AD714C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04E1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autoimmune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A280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14F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3.39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77C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1.29    </w:t>
            </w:r>
          </w:p>
        </w:tc>
      </w:tr>
      <w:tr w:rsidR="007B1905" w14:paraId="1E6E118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46643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407F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1AC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(0.95)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6072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(0.82)   </w:t>
            </w:r>
          </w:p>
        </w:tc>
      </w:tr>
      <w:tr w:rsidR="007B1905" w14:paraId="35CA846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58A0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liver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FF5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77BC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1.21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ADA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0.74    </w:t>
            </w:r>
          </w:p>
        </w:tc>
      </w:tr>
      <w:tr w:rsidR="007B1905" w14:paraId="3F6FE90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A3AF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24DD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1D03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(1.03)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431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(0.91)   </w:t>
            </w:r>
          </w:p>
        </w:tc>
      </w:tr>
      <w:tr w:rsidR="007B1905" w14:paraId="3311FA8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685C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endo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769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BC77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-0.54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B0F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-0.40    </w:t>
            </w:r>
          </w:p>
        </w:tc>
      </w:tr>
      <w:tr w:rsidR="007B1905" w14:paraId="32B74D09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4DE1D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ECE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491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(0.56)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A64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(0.49)   </w:t>
            </w:r>
          </w:p>
        </w:tc>
      </w:tr>
      <w:tr w:rsidR="007B1905" w14:paraId="021ACD69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3182E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gastro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3623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D3F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0.15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BA23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0.11    </w:t>
            </w:r>
          </w:p>
        </w:tc>
      </w:tr>
      <w:tr w:rsidR="007B1905" w14:paraId="14EE0453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6D5D0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6DE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5D92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(0.52)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D41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(0.45)   </w:t>
            </w:r>
          </w:p>
        </w:tc>
      </w:tr>
      <w:tr w:rsidR="007B1905" w14:paraId="1EDD0DC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A904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genit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8AF2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6DE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-0.99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A8C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-0.43    </w:t>
            </w:r>
          </w:p>
        </w:tc>
      </w:tr>
      <w:tr w:rsidR="007B1905" w14:paraId="52D4449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335A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CAC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02C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B39C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(0.63)   </w:t>
            </w:r>
          </w:p>
        </w:tc>
      </w:tr>
      <w:tr w:rsidR="007B1905" w14:paraId="6A39462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F84C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haem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D523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540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1.97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C1D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2.39 *  </w:t>
            </w:r>
          </w:p>
        </w:tc>
      </w:tr>
      <w:tr w:rsidR="007B1905" w14:paraId="10BCB030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429B8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477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089D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(1.31)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4A14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(1.11)   </w:t>
            </w:r>
          </w:p>
        </w:tc>
      </w:tr>
      <w:tr w:rsidR="007B1905" w14:paraId="30B2E60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FD151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hearing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ECE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9FD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-0.55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2A7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-0.78    </w:t>
            </w:r>
          </w:p>
        </w:tc>
      </w:tr>
      <w:tr w:rsidR="007B1905" w14:paraId="158BE43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F5E21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EBA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6E4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054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(0.81)   </w:t>
            </w:r>
          </w:p>
        </w:tc>
      </w:tr>
      <w:tr w:rsidR="007B1905" w14:paraId="2E80623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EC64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infect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81D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A97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0.96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1E37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1.61    </w:t>
            </w:r>
          </w:p>
        </w:tc>
      </w:tr>
      <w:tr w:rsidR="007B1905" w14:paraId="10F449B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58A5E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E13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9CC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(1.48)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2EB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(1.24)   </w:t>
            </w:r>
          </w:p>
        </w:tc>
      </w:tr>
      <w:tr w:rsidR="007B1905" w14:paraId="19866B3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DBDA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malignant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F7C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7BFB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0.73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1FC3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0.64 ***</w:t>
            </w:r>
          </w:p>
        </w:tc>
      </w:tr>
      <w:tr w:rsidR="007B1905" w14:paraId="5C144C75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88D3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E5D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2A4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(0.12)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340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(0.10)   </w:t>
            </w:r>
          </w:p>
        </w:tc>
      </w:tr>
      <w:tr w:rsidR="007B1905" w14:paraId="0A5FFF5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02C4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metabolic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E002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9F84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-2.90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E6F4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-1.30    </w:t>
            </w:r>
          </w:p>
        </w:tc>
      </w:tr>
      <w:tr w:rsidR="007B1905" w14:paraId="763FE5D7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77F5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0A7F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0D1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(1.97)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AEFD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(1.68)   </w:t>
            </w:r>
          </w:p>
        </w:tc>
      </w:tr>
      <w:tr w:rsidR="007B1905" w14:paraId="3C84645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1680A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musc_gen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EFB9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468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0.85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827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0.65 ***</w:t>
            </w:r>
          </w:p>
        </w:tc>
      </w:tr>
      <w:tr w:rsidR="007B1905" w14:paraId="77FBDFC3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B478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442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368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BE65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(0.09)   </w:t>
            </w:r>
          </w:p>
        </w:tc>
      </w:tr>
      <w:tr w:rsidR="007B1905" w14:paraId="113588BB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2917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musc_reg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9048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E9E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0.57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904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0.76 ***</w:t>
            </w:r>
          </w:p>
        </w:tc>
      </w:tr>
      <w:tr w:rsidR="007B1905" w14:paraId="25CFE55E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2E99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740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1A1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(0.14)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0E56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(0.13)   </w:t>
            </w:r>
          </w:p>
        </w:tc>
      </w:tr>
      <w:tr w:rsidR="007B1905" w14:paraId="4C83909E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EFEBF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neuro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B6A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47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0.67 **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5BE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0.43 *  </w:t>
            </w:r>
          </w:p>
        </w:tc>
      </w:tr>
      <w:tr w:rsidR="007B1905" w14:paraId="58A6A2F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DAFB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CA5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0434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(0.23)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C1E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(0.20)   </w:t>
            </w:r>
          </w:p>
        </w:tc>
      </w:tr>
      <w:tr w:rsidR="007B1905" w14:paraId="3633953B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15CE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psych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24E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6E9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0.72 ***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7BA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0.56 ***</w:t>
            </w:r>
          </w:p>
        </w:tc>
      </w:tr>
      <w:tr w:rsidR="007B1905" w14:paraId="6FC8E43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0DC29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080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ED8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(0.11)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9218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(0.10)   </w:t>
            </w:r>
          </w:p>
        </w:tc>
      </w:tr>
      <w:tr w:rsidR="007B1905" w14:paraId="2CE669D1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791C2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resp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847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E0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0.14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CBCD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0.97 ***</w:t>
            </w:r>
          </w:p>
        </w:tc>
      </w:tr>
      <w:tr w:rsidR="007B1905" w14:paraId="373DFC9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63040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5B90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7263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(0.27)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F76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(0.25)   </w:t>
            </w:r>
          </w:p>
        </w:tc>
      </w:tr>
      <w:tr w:rsidR="007B1905" w14:paraId="32A37E0D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F3D10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visual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685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20D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-1.08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5B6E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-0.54    </w:t>
            </w:r>
          </w:p>
        </w:tc>
      </w:tr>
      <w:tr w:rsidR="007B1905" w14:paraId="1B9AE64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290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E6FF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EFF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(0.78)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986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(0.65)   </w:t>
            </w:r>
          </w:p>
        </w:tc>
      </w:tr>
      <w:tr w:rsidR="007B1905" w14:paraId="2C8B8B24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7B53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skin</w:t>
            </w: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D09A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A9FA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0.97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B9F5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-0.54    </w:t>
            </w:r>
          </w:p>
        </w:tc>
      </w:tr>
      <w:tr w:rsidR="007B1905" w14:paraId="2D177E76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BE12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971C8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EFD2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(0.96)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337FB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(0.83)   </w:t>
            </w:r>
          </w:p>
        </w:tc>
      </w:tr>
      <w:tr w:rsidR="007B1905" w14:paraId="3A76B912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4C61" w14:textId="77777777" w:rsidR="007B1905" w:rsidRDefault="007B1905" w:rsidP="00467185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IMD_score</w:t>
            </w:r>
            <w:proofErr w:type="spellEnd"/>
          </w:p>
        </w:tc>
        <w:tc>
          <w:tcPr>
            <w:tcW w:w="2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2B6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77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3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756B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>-0.00 ***</w:t>
            </w:r>
          </w:p>
        </w:tc>
      </w:tr>
      <w:tr w:rsidR="007B1905" w14:paraId="4462565A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B47D" w14:textId="77777777" w:rsidR="007B1905" w:rsidRDefault="007B1905" w:rsidP="00467185">
            <w:pPr>
              <w:spacing w:before="120" w:after="120"/>
              <w:ind w:left="120" w:right="120"/>
            </w:pPr>
          </w:p>
        </w:tc>
        <w:tc>
          <w:tcPr>
            <w:tcW w:w="256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0E27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217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D9F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       </w:t>
            </w:r>
          </w:p>
        </w:tc>
        <w:tc>
          <w:tcPr>
            <w:tcW w:w="311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A75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(0.00)   </w:t>
            </w:r>
          </w:p>
        </w:tc>
      </w:tr>
      <w:tr w:rsidR="007B1905" w14:paraId="1D85D6EF" w14:textId="77777777" w:rsidTr="00467185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A40C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N</w:t>
            </w:r>
          </w:p>
        </w:tc>
        <w:tc>
          <w:tcPr>
            <w:tcW w:w="256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22AC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344       </w:t>
            </w:r>
          </w:p>
        </w:tc>
        <w:tc>
          <w:tcPr>
            <w:tcW w:w="217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F0D0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344       </w:t>
            </w:r>
          </w:p>
        </w:tc>
        <w:tc>
          <w:tcPr>
            <w:tcW w:w="3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043F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306       </w:t>
            </w:r>
          </w:p>
        </w:tc>
      </w:tr>
      <w:tr w:rsidR="007B1905" w14:paraId="1933A7A2" w14:textId="77777777" w:rsidTr="00467185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448D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>R2</w:t>
            </w:r>
          </w:p>
        </w:tc>
        <w:tc>
          <w:tcPr>
            <w:tcW w:w="256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91C3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0.07    </w:t>
            </w:r>
          </w:p>
        </w:tc>
        <w:tc>
          <w:tcPr>
            <w:tcW w:w="2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DD0D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0.49    </w:t>
            </w:r>
          </w:p>
        </w:tc>
        <w:tc>
          <w:tcPr>
            <w:tcW w:w="311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1531" w14:textId="77777777" w:rsidR="007B1905" w:rsidRDefault="007B1905" w:rsidP="00467185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0.55    </w:t>
            </w:r>
          </w:p>
        </w:tc>
      </w:tr>
      <w:tr w:rsidR="007B1905" w14:paraId="7C82AD66" w14:textId="77777777" w:rsidTr="00467185">
        <w:trPr>
          <w:cantSplit/>
          <w:jc w:val="center"/>
        </w:trPr>
        <w:tc>
          <w:tcPr>
            <w:tcW w:w="12036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2B97C" w14:textId="77777777" w:rsidR="007B1905" w:rsidRDefault="007B1905" w:rsidP="00467185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</w:rPr>
              <w:t xml:space="preserve"> *** p &lt; 0.001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* p &lt; 0.01;  * p &lt; 0.05.</w:t>
            </w:r>
          </w:p>
        </w:tc>
      </w:tr>
    </w:tbl>
    <w:p w14:paraId="354A0356" w14:textId="7793670C" w:rsidR="007B1905" w:rsidRDefault="007B1905" w:rsidP="00993B92">
      <w:pPr>
        <w:pStyle w:val="ListParagraph"/>
      </w:pPr>
    </w:p>
    <w:p w14:paraId="6CE53C5B" w14:textId="314958C9" w:rsidR="0011167A" w:rsidRDefault="0011167A" w:rsidP="00993B92">
      <w:pPr>
        <w:pStyle w:val="ListParagraph"/>
      </w:pPr>
    </w:p>
    <w:p w14:paraId="65DFD5E2" w14:textId="571D2826" w:rsidR="0011167A" w:rsidRDefault="0011167A" w:rsidP="00993B92">
      <w:pPr>
        <w:pStyle w:val="ListParagraph"/>
      </w:pPr>
    </w:p>
    <w:p w14:paraId="149A2CF9" w14:textId="79BC06E6" w:rsidR="0011167A" w:rsidRDefault="0011167A" w:rsidP="00993B92">
      <w:pPr>
        <w:pStyle w:val="ListParagraph"/>
      </w:pPr>
    </w:p>
    <w:p w14:paraId="3D619978" w14:textId="64496A6E" w:rsidR="0011167A" w:rsidRDefault="0011167A" w:rsidP="00993B92">
      <w:pPr>
        <w:pStyle w:val="ListParagraph"/>
      </w:pPr>
    </w:p>
    <w:p w14:paraId="6F84F5FE" w14:textId="5ADE1106" w:rsidR="0011167A" w:rsidRDefault="0011167A" w:rsidP="00993B92">
      <w:pPr>
        <w:pStyle w:val="ListParagraph"/>
      </w:pPr>
    </w:p>
    <w:p w14:paraId="144007D9" w14:textId="7779BC30" w:rsidR="0011167A" w:rsidRDefault="0011167A" w:rsidP="00993B92">
      <w:pPr>
        <w:pStyle w:val="ListParagraph"/>
      </w:pPr>
    </w:p>
    <w:p w14:paraId="14356BA9" w14:textId="606FED5D" w:rsidR="0011167A" w:rsidRDefault="0011167A" w:rsidP="00993B92">
      <w:pPr>
        <w:pStyle w:val="ListParagraph"/>
      </w:pPr>
    </w:p>
    <w:p w14:paraId="40F1E0C0" w14:textId="1A480908" w:rsidR="0011167A" w:rsidRDefault="0011167A" w:rsidP="00993B92">
      <w:pPr>
        <w:pStyle w:val="ListParagraph"/>
      </w:pPr>
    </w:p>
    <w:p w14:paraId="588F453B" w14:textId="0B5FD3A9" w:rsidR="0011167A" w:rsidRDefault="0011167A" w:rsidP="00993B92">
      <w:pPr>
        <w:pStyle w:val="ListParagraph"/>
      </w:pPr>
    </w:p>
    <w:p w14:paraId="4033B461" w14:textId="52AB05E3" w:rsidR="0011167A" w:rsidRDefault="0011167A" w:rsidP="00993B92">
      <w:pPr>
        <w:pStyle w:val="ListParagraph"/>
        <w:rPr>
          <w:b/>
          <w:bCs/>
        </w:rPr>
      </w:pPr>
      <w:r>
        <w:rPr>
          <w:b/>
          <w:bCs/>
        </w:rPr>
        <w:t xml:space="preserve">R code: </w:t>
      </w:r>
    </w:p>
    <w:p w14:paraId="060DAC3C" w14:textId="77777777" w:rsidR="0011167A" w:rsidRPr="0011167A" w:rsidRDefault="0011167A" w:rsidP="00993B92">
      <w:pPr>
        <w:pStyle w:val="ListParagraph"/>
        <w:rPr>
          <w:b/>
          <w:bCs/>
        </w:rPr>
      </w:pPr>
    </w:p>
    <w:p w14:paraId="7647AB18" w14:textId="0B76238E" w:rsidR="0011167A" w:rsidRDefault="0011167A" w:rsidP="00993B92">
      <w:pPr>
        <w:pStyle w:val="ListParagraph"/>
      </w:pPr>
      <w:r>
        <w:t>The R code for the analysis</w:t>
      </w:r>
      <w:r w:rsidR="00457282">
        <w:t xml:space="preserve"> is available here. Everything is in the </w:t>
      </w:r>
      <w:proofErr w:type="spellStart"/>
      <w:r w:rsidR="00457282">
        <w:t>github</w:t>
      </w:r>
      <w:proofErr w:type="spellEnd"/>
      <w:r w:rsidR="00457282">
        <w:t xml:space="preserve"> that’s needed to run the code </w:t>
      </w:r>
      <w:r w:rsidR="006C7225">
        <w:t xml:space="preserve">is in the </w:t>
      </w:r>
      <w:proofErr w:type="spellStart"/>
      <w:r w:rsidR="006C7225">
        <w:t>github</w:t>
      </w:r>
      <w:proofErr w:type="spellEnd"/>
      <w:r w:rsidR="006C7225">
        <w:t xml:space="preserve"> except: </w:t>
      </w:r>
    </w:p>
    <w:p w14:paraId="4E3EB91B" w14:textId="1C9EB94D" w:rsidR="006C7225" w:rsidRDefault="006C7225" w:rsidP="006C7225">
      <w:pPr>
        <w:pStyle w:val="ListParagraph"/>
        <w:numPr>
          <w:ilvl w:val="0"/>
          <w:numId w:val="3"/>
        </w:numPr>
      </w:pPr>
      <w:r>
        <w:t>The postcode lookup. This is a big file so you will need to download separately:</w:t>
      </w:r>
      <w:r w:rsidR="00564C15">
        <w:t xml:space="preserve"> </w:t>
      </w:r>
      <w:hyperlink r:id="rId9" w:history="1">
        <w:r w:rsidR="00564C15" w:rsidRPr="008E32A8">
          <w:rPr>
            <w:rStyle w:val="Hyperlink"/>
          </w:rPr>
          <w:t>https://geoportal.statistics.gov.uk/datasets/ad7fd1d95f06431aaaceecdce4985c7e</w:t>
        </w:r>
      </w:hyperlink>
    </w:p>
    <w:p w14:paraId="2B9FC85B" w14:textId="543BE766" w:rsidR="00564C15" w:rsidRDefault="00564C15" w:rsidP="006C7225">
      <w:pPr>
        <w:pStyle w:val="ListParagraph"/>
        <w:numPr>
          <w:ilvl w:val="0"/>
          <w:numId w:val="3"/>
        </w:numPr>
      </w:pPr>
      <w:r>
        <w:t xml:space="preserve">You will need to get your own </w:t>
      </w:r>
      <w:r w:rsidR="002A0AC7">
        <w:t xml:space="preserve">Stat Xplore API key which you can get here: </w:t>
      </w:r>
    </w:p>
    <w:p w14:paraId="192917B6" w14:textId="5C7376A9" w:rsidR="002A0AC7" w:rsidRDefault="008B2BB6" w:rsidP="002A0AC7">
      <w:pPr>
        <w:pStyle w:val="ListParagraph"/>
        <w:ind w:left="1080"/>
      </w:pPr>
      <w:hyperlink r:id="rId10" w:history="1">
        <w:r w:rsidRPr="008E32A8">
          <w:rPr>
            <w:rStyle w:val="Hyperlink"/>
          </w:rPr>
          <w:t>https://stat-xplore.dwp.gov.uk/webapi/online-help/Open-Data-API.html</w:t>
        </w:r>
      </w:hyperlink>
    </w:p>
    <w:p w14:paraId="327AB7C6" w14:textId="77777777" w:rsidR="008B2BB6" w:rsidRPr="00993B92" w:rsidRDefault="008B2BB6" w:rsidP="002A0AC7">
      <w:pPr>
        <w:pStyle w:val="ListParagraph"/>
        <w:ind w:left="1080"/>
      </w:pPr>
    </w:p>
    <w:sectPr w:rsidR="008B2BB6" w:rsidRPr="0099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48D"/>
    <w:multiLevelType w:val="hybridMultilevel"/>
    <w:tmpl w:val="A636F0AC"/>
    <w:lvl w:ilvl="0" w:tplc="13B20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B553B"/>
    <w:multiLevelType w:val="hybridMultilevel"/>
    <w:tmpl w:val="2064E1F4"/>
    <w:lvl w:ilvl="0" w:tplc="288E2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B583C"/>
    <w:multiLevelType w:val="hybridMultilevel"/>
    <w:tmpl w:val="243455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F"/>
    <w:rsid w:val="0011167A"/>
    <w:rsid w:val="002A0AC7"/>
    <w:rsid w:val="00457282"/>
    <w:rsid w:val="004F1B5F"/>
    <w:rsid w:val="00564C15"/>
    <w:rsid w:val="006C7225"/>
    <w:rsid w:val="007239AC"/>
    <w:rsid w:val="007B1905"/>
    <w:rsid w:val="008B2BB6"/>
    <w:rsid w:val="00993B92"/>
    <w:rsid w:val="00B12B9F"/>
    <w:rsid w:val="00B706F6"/>
    <w:rsid w:val="00BF60E7"/>
    <w:rsid w:val="00F1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0FFE"/>
  <w15:chartTrackingRefBased/>
  <w15:docId w15:val="{1D7AE124-A806-43F2-A635-F3099CF0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-xplore.dwp.gov.uk/webapi/online-help/Open-Data-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portal.statistics.gov.uk/datasets/ad7fd1d95f06431aaaceecdce4985c7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ortal.statistics.gov.uk/datasets/ons::national-statistics-postcode-lookup-november-2019/ab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.publishing.service.gov.uk/government/uploads/system/uploads/attachment_data/file/610293/personal-independence-payment-postcode-map.pdf" TargetMode="External"/><Relationship Id="rId10" Type="http://schemas.openxmlformats.org/officeDocument/2006/relationships/hyperlink" Target="https://stat-xplore.dwp.gov.uk/webapi/online-help/Open-Data-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portal.statistics.gov.uk/datasets/ad7fd1d95f06431aaaceecdce4985c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Eduin Boater Latimer</dc:creator>
  <cp:keywords/>
  <dc:description/>
  <cp:lastModifiedBy>Eduin Boater Latimer</cp:lastModifiedBy>
  <cp:revision>2</cp:revision>
  <dcterms:created xsi:type="dcterms:W3CDTF">2021-09-18T14:03:00Z</dcterms:created>
  <dcterms:modified xsi:type="dcterms:W3CDTF">2021-09-18T14:03:00Z</dcterms:modified>
</cp:coreProperties>
</file>