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94" w:rsidRDefault="00C41B94" w:rsidP="00C41B94">
      <w:r>
        <w:t>O Copom decidiu, por unanimidade, reduzir a taxa Selic para 13,00% a.a., sem viés.</w:t>
      </w:r>
    </w:p>
    <w:p w:rsidR="00C41B94" w:rsidRDefault="00C41B94" w:rsidP="00C41B94"/>
    <w:p w:rsidR="00C41B94" w:rsidRDefault="00C41B94" w:rsidP="00C41B94">
      <w:r>
        <w:t>A atualização do cenário básico do Copom pode ser descrita com as seguintes observações:</w:t>
      </w:r>
    </w:p>
    <w:p w:rsidR="00C41B94" w:rsidRDefault="00C41B94" w:rsidP="00C41B94"/>
    <w:p w:rsidR="00C41B94" w:rsidRDefault="00C41B94" w:rsidP="00C41B94">
      <w:r>
        <w:t>O conjunto dos indicadores sugere atividade econômica aquém do esperado. A evidência disponível sinaliza que a retomada da atividade econômica deve ser ainda mais demorada e gradual que a antecipada previamente;</w:t>
      </w:r>
    </w:p>
    <w:p w:rsidR="00C41B94" w:rsidRDefault="00C41B94" w:rsidP="00C41B94"/>
    <w:p w:rsidR="00C41B94" w:rsidRDefault="00C41B94" w:rsidP="00C41B94">
      <w:r>
        <w:t>No âmbito externo, o cenário ainda é bastante incerto.  Entretanto, até o momento, os efeitos do fim do interregno benigno têm sido limitados;</w:t>
      </w:r>
    </w:p>
    <w:p w:rsidR="00C41B94" w:rsidRDefault="00C41B94" w:rsidP="00C41B94"/>
    <w:p w:rsidR="00C41B94" w:rsidRDefault="00C41B94" w:rsidP="00C41B94">
      <w:r>
        <w:t>A inflação recente continuou mais favorável que o esperado. Há evidências de que o processo de desinflação mais difundida tenha atingido também componentes mais sensíveis à política monetária e ao ciclo econômico;</w:t>
      </w:r>
    </w:p>
    <w:p w:rsidR="00C41B94" w:rsidRDefault="00C41B94" w:rsidP="00C41B94"/>
    <w:p w:rsidR="00C41B94" w:rsidRDefault="00C41B94" w:rsidP="00C41B94">
      <w:r>
        <w:t>A inflação acumulada no ano passado alcançou 6,3%, bem abaixo do esperado há poucos meses e dentro do intervalo de tolerância da meta para a inflação estabelecido para 2016;</w:t>
      </w:r>
    </w:p>
    <w:p w:rsidR="00C41B94" w:rsidRDefault="00C41B94" w:rsidP="00C41B94"/>
    <w:p w:rsidR="00C41B94" w:rsidRDefault="00C41B94" w:rsidP="00C41B94">
      <w:r>
        <w:t>As expectativas de inflação apuradas pela pesquisa Focus recuaram para em torno de 4,8% para 2017, e mantiveram-se ancoradas ao redor de 4,5% para 2018 e horizontes mais distantes;</w:t>
      </w:r>
    </w:p>
    <w:p w:rsidR="00C41B94" w:rsidRDefault="00C41B94" w:rsidP="00C41B94"/>
    <w:p w:rsidR="00C41B94" w:rsidRDefault="00C41B94" w:rsidP="00C41B94">
      <w:r>
        <w:t>As projeções condicionais do Copom também recuaram em relação às divulgadas no Relatório de Inflação passado, que foram baseadas no conjunto de informações disponíveis até 9 de dezembro de 2016. Dentre outros fatores, os recuos nas projeções foram influenciados por dados de inflação e atividade econômica divulgados desde então. As projeções no cenário de referência encontram-se em torno de 4,0% e 3,4% para 2017 e 2018, respectivamente. Já no cenário de mercado, situam-se em torno de 4,4% e 4,5% para 2017 e 2018, respectivamente; e</w:t>
      </w:r>
    </w:p>
    <w:p w:rsidR="00C41B94" w:rsidRDefault="00C41B94" w:rsidP="00C41B94"/>
    <w:p w:rsidR="00C41B94" w:rsidRDefault="00C41B94" w:rsidP="00C41B94">
      <w:r>
        <w:t>Os passos no processo de encaminhamento e aprovação das reformas fiscais têm sido positivos até o momento.</w:t>
      </w:r>
    </w:p>
    <w:p w:rsidR="00C41B94" w:rsidRDefault="00C41B94" w:rsidP="00C41B94"/>
    <w:p w:rsidR="00C41B94" w:rsidRDefault="00C41B94" w:rsidP="00C41B94">
      <w:r>
        <w:t>O Comitê ressalta os seguintes riscos para o cenário básico para a inflação:</w:t>
      </w:r>
    </w:p>
    <w:p w:rsidR="00C41B94" w:rsidRDefault="00C41B94" w:rsidP="00C41B94"/>
    <w:p w:rsidR="00C41B94" w:rsidRDefault="00C41B94" w:rsidP="00C41B94">
      <w:r>
        <w:t>Por um lado, (i) o alto grau de incerteza no cenário externo pode dificultar o processo de desinflação; (</w:t>
      </w:r>
      <w:proofErr w:type="spellStart"/>
      <w:r>
        <w:t>ii</w:t>
      </w:r>
      <w:proofErr w:type="spellEnd"/>
      <w:r>
        <w:t>) o processo de desinflação de alguns componentes do IPCA mais sensíveis ao ciclo econômico e à política monetária requer atenção contínua; (</w:t>
      </w:r>
      <w:proofErr w:type="spellStart"/>
      <w:r>
        <w:t>iii</w:t>
      </w:r>
      <w:proofErr w:type="spellEnd"/>
      <w:r>
        <w:t>) o processo de aprovação e implementação das reformas e ajustes necessários na economia é longo e envolve incertezas;</w:t>
      </w:r>
    </w:p>
    <w:p w:rsidR="00C41B94" w:rsidRDefault="00C41B94" w:rsidP="00C41B94"/>
    <w:p w:rsidR="00C41B94" w:rsidRDefault="00C41B94" w:rsidP="00C41B94">
      <w:r>
        <w:t>Por outro lado, (</w:t>
      </w:r>
      <w:proofErr w:type="spellStart"/>
      <w:r>
        <w:t>iv</w:t>
      </w:r>
      <w:proofErr w:type="spellEnd"/>
      <w:r>
        <w:t xml:space="preserve">) a atividade econômica mais fraca e o elevado nível de ociosidade na economia podem produzir desinflação mais rápida que a refletida nas projeções do Copom; (v) a inflação tem se mostrado mais favorável, o que pode sinalizar menor persistência no processo inflacionário; e (vi) o processo de </w:t>
      </w:r>
      <w:r>
        <w:lastRenderedPageBreak/>
        <w:t>aprovação e implementação das reformas e ajustes necessários na economia pode ocorrer de forma mais célere que o antecipado.</w:t>
      </w:r>
    </w:p>
    <w:p w:rsidR="00C41B94" w:rsidRDefault="00C41B94" w:rsidP="00C41B94"/>
    <w:p w:rsidR="00C41B94" w:rsidRDefault="00C41B94" w:rsidP="00C41B94">
      <w:r>
        <w:t>Considerando o cenário básico, o balanço de riscos e o amplo conjunto de informações disponíveis, o Copom decidiu, por unanimidade, pela redução da taxa básica de juros para 13,00% a.a., sem viés. O Comitê entende que a convergência da inflação para a meta de 4,5% no horizonte relevante para a condução da política monetária, que inclui os anos-calendário de 2017 e, com peso gradualmente crescente, de 2018, é compatível com intensificação da flexibilização monetária em curso.</w:t>
      </w:r>
    </w:p>
    <w:p w:rsidR="00C41B94" w:rsidRDefault="00C41B94" w:rsidP="00C41B94"/>
    <w:p w:rsidR="00C41B94" w:rsidRDefault="00C41B94" w:rsidP="00C41B94">
      <w:r>
        <w:t>O Copom avaliou a alternativa de reduzir a taxa básica de juros para 13,25% e sinalizar uma intensidade maior de queda para a próxima reunião. Entretanto, diante do ambiente com expectativas de inflação ancoradas, o Comitê entende que o atual cenário, com um processo de desinflação mais disseminado e atividade econômica aquém do esperado, já torna apropriada a antecipação do ciclo de distensão da política monetária, permitindo o estabelecimento do novo ritmo de flexibilização. A extensão do ciclo e possíveis revisões no ritmo de flexibilização continuarão dependendo das projeções e expectativas de inflação e da evolução dos fatores de risco mencionados acima.</w:t>
      </w:r>
    </w:p>
    <w:p w:rsidR="00C41B94" w:rsidRDefault="00C41B94" w:rsidP="00C41B94"/>
    <w:p w:rsidR="000C359C" w:rsidRDefault="00C41B94" w:rsidP="00C41B94">
      <w:r>
        <w:t xml:space="preserve">Votaram por essa decisão os seguintes membros do Comitê: Ilan Goldfajn (Presidente), </w:t>
      </w:r>
      <w:proofErr w:type="spellStart"/>
      <w:r>
        <w:t>Anthero</w:t>
      </w:r>
      <w:proofErr w:type="spellEnd"/>
      <w:r>
        <w:t xml:space="preserve"> de Moraes Meirelles, Carlos Viana de Carvalho, Isaac Sidney Menezes Ferreira, Luiz Edson </w:t>
      </w:r>
      <w:proofErr w:type="spellStart"/>
      <w:r>
        <w:t>Feltrim</w:t>
      </w:r>
      <w:proofErr w:type="spellEnd"/>
      <w:r>
        <w:t xml:space="preserve">, Otávio Ribeiro Damaso, Reinaldo Le </w:t>
      </w:r>
      <w:proofErr w:type="spellStart"/>
      <w:r>
        <w:t>Grazie</w:t>
      </w:r>
      <w:proofErr w:type="spellEnd"/>
      <w:r>
        <w:t xml:space="preserve">, Sidnei Corrêa Marques e Tiago Couto </w:t>
      </w:r>
      <w:proofErr w:type="spellStart"/>
      <w:r>
        <w:t>Berriel</w:t>
      </w:r>
      <w:proofErr w:type="spellEnd"/>
      <w:r>
        <w:t>.</w:t>
      </w:r>
      <w:bookmarkStart w:id="0" w:name="_GoBack"/>
      <w:bookmarkEnd w:id="0"/>
    </w:p>
    <w:sectPr w:rsidR="000C359C" w:rsidSect="00A3100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B94"/>
    <w:rsid w:val="000C359C"/>
    <w:rsid w:val="003F098A"/>
    <w:rsid w:val="00A31004"/>
    <w:rsid w:val="00C41B9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1CE5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3427</Characters>
  <Application>Microsoft Macintosh Word</Application>
  <DocSecurity>0</DocSecurity>
  <Lines>72</Lines>
  <Paragraphs>13</Paragraphs>
  <ScaleCrop>false</ScaleCrop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Carreira</dc:creator>
  <cp:keywords/>
  <dc:description/>
  <cp:lastModifiedBy>Marcos Carreira</cp:lastModifiedBy>
  <cp:revision>1</cp:revision>
  <dcterms:created xsi:type="dcterms:W3CDTF">2017-06-01T02:41:00Z</dcterms:created>
  <dcterms:modified xsi:type="dcterms:W3CDTF">2017-06-01T02:42:00Z</dcterms:modified>
</cp:coreProperties>
</file>