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A03" w:rsidRDefault="00A04A03" w:rsidP="00A04A03">
      <w:r>
        <w:t>O Copom decidiu, por unanimidade, reduzir a taxa Selic em um ponto percentual, para 11,25% a.a., sem viés.</w:t>
      </w:r>
    </w:p>
    <w:p w:rsidR="00A04A03" w:rsidRDefault="00A04A03" w:rsidP="00A04A03"/>
    <w:p w:rsidR="00A04A03" w:rsidRDefault="00A04A03" w:rsidP="00A04A03">
      <w:r>
        <w:t>A atualização do cenário básico do Copom pode ser descrita com as seguintes observações:</w:t>
      </w:r>
    </w:p>
    <w:p w:rsidR="00A04A03" w:rsidRDefault="00A04A03" w:rsidP="00A04A03"/>
    <w:p w:rsidR="00A04A03" w:rsidRDefault="00A04A03" w:rsidP="00A04A03">
      <w:r>
        <w:t>O conjunto dos indicadores de atividade econômica divulgados desde a última reunião do Copom permanece compatível com estabilização da economia no curto prazo. A evidência sugere uma retomada gradual da atividade econômica ao longo de 2017;</w:t>
      </w:r>
    </w:p>
    <w:p w:rsidR="00A04A03" w:rsidRDefault="00A04A03" w:rsidP="00A04A03"/>
    <w:p w:rsidR="00A04A03" w:rsidRDefault="00A04A03" w:rsidP="00A04A03">
      <w:r>
        <w:t>No âmbito externo, o cenário ainda é bastante incerto. Entretanto, até o momento, esse cenário tem mitigado os efeitos sobre a economia brasileira de possíveis revisões de política econômica em algumas economias centrais, notadamente nos EUA. Há incerteza sobre a sustentabilidade do crescimento econômico global e sobre a manutenção dos níveis correntes de preços de commodities;</w:t>
      </w:r>
    </w:p>
    <w:p w:rsidR="00A04A03" w:rsidRDefault="00A04A03" w:rsidP="00A04A03"/>
    <w:p w:rsidR="00A04A03" w:rsidRDefault="00A04A03" w:rsidP="00A04A03">
      <w:r>
        <w:t>O comportamento da inflação permanece favorável. O processo de desinflação se difundiu e houve consolidação da desinflação nos componentes mais sensíveis ao ciclo econômico e à política monetária. A desinflação dos preços de alimentos constitui choque de oferta favorável;</w:t>
      </w:r>
    </w:p>
    <w:p w:rsidR="00A04A03" w:rsidRDefault="00A04A03" w:rsidP="00A04A03"/>
    <w:p w:rsidR="00A04A03" w:rsidRDefault="00A04A03" w:rsidP="00A04A03">
      <w:r>
        <w:t>As expectativas de inflação apuradas pela pesquisa Focus encontram-se em torno de 4,1% para 2017, mantiveram-se ao redor de 4,5% para 2018 e, para 2019 e horizontes mais distantes, encontram-se ligeiramente abaixo de 4,5%; e</w:t>
      </w:r>
    </w:p>
    <w:p w:rsidR="00A04A03" w:rsidRDefault="00A04A03" w:rsidP="00A04A03"/>
    <w:p w:rsidR="00A04A03" w:rsidRDefault="00A04A03" w:rsidP="00A04A03">
      <w:r>
        <w:t>No cenário com trajetórias para as taxas de juros e câmbio extraídas da pesquisa Focus, as projeções do Copom encontram-se em torno de 4,1% em 2017 e mantiveram-se ao redor de 4,5% para 2018. Esse cenário supõe trajetória de juros que alcança 8,5% a.a. ao final de 2017 e se mantém nesse nível até o final de 2018.</w:t>
      </w:r>
    </w:p>
    <w:p w:rsidR="00A04A03" w:rsidRDefault="00A04A03" w:rsidP="00A04A03"/>
    <w:p w:rsidR="00A04A03" w:rsidRDefault="00A04A03" w:rsidP="00A04A03">
      <w:r>
        <w:t>O Comitê ressalta que seu cenário básico para a inflação envolve fatores de risco em ambas as direções: (i) o alto grau de incerteza no cenário externo pode dificultar o processo de desinflação; (</w:t>
      </w:r>
      <w:proofErr w:type="spellStart"/>
      <w:r>
        <w:t>ii</w:t>
      </w:r>
      <w:proofErr w:type="spellEnd"/>
      <w:r>
        <w:t>) a aprovação e implementação das reformas, notadamente as de natureza fiscal, e de ajustes na economia são relevantes para a sustentabilidade da desinflação e para a redução da taxa de juros estrutural; (</w:t>
      </w:r>
      <w:proofErr w:type="spellStart"/>
      <w:r>
        <w:t>iii</w:t>
      </w:r>
      <w:proofErr w:type="spellEnd"/>
      <w:r>
        <w:t>) o choque de oferta favorável nos preços de alimentos pode produzir efeitos secundários e, portanto, contribuir para quedas adicionais das expectativas de inflação e da inflação em outros setores da economia; e (</w:t>
      </w:r>
      <w:proofErr w:type="spellStart"/>
      <w:r>
        <w:t>iv</w:t>
      </w:r>
      <w:proofErr w:type="spellEnd"/>
      <w:r>
        <w:t>) a recuperação da economia pode ser mais (ou menos) demorada e gradual do que a antecipada.</w:t>
      </w:r>
    </w:p>
    <w:p w:rsidR="00A04A03" w:rsidRDefault="00A04A03" w:rsidP="00A04A03"/>
    <w:p w:rsidR="00A04A03" w:rsidRDefault="00A04A03" w:rsidP="00A04A03">
      <w:r>
        <w:t xml:space="preserve">Considerando o cenário básico, o balanço de riscos e o amplo conjunto de informações disponíveis, o Copom decidiu, por unanimidade, pela redução da taxa básica de juros em um ponto percentual, para 11,25% a.a., sem viés. Essa intensificação moderada em relação ao ritmo das reuniões de janeiro e fevereiro mostra-se, no momento, adequada. O Comitê entende que a convergência da </w:t>
      </w:r>
      <w:r>
        <w:lastRenderedPageBreak/>
        <w:t>inflação para a meta de 4,5% no horizonte relevante para a condução da política monetária, que inclui os anos-calendário de 2017 e, com peso gradualmente crescente, de 2018, é compatível com o processo de flexibilização monetária.</w:t>
      </w:r>
    </w:p>
    <w:p w:rsidR="00A04A03" w:rsidRDefault="00A04A03" w:rsidP="00A04A03"/>
    <w:p w:rsidR="00A04A03" w:rsidRDefault="00A04A03" w:rsidP="00A04A03">
      <w:r>
        <w:t>O Copom entende que a extensão do ciclo de flexibilização monetária dependerá das estimativas da taxa de juros estrutural da economia brasileira, que continuarão a ser reavaliadas pelo Comitê ao longo do tempo, mas também da evolução da atividade econômica, dos demais fatores de risco mencionados acima e das projeções e expectativas de inflação.</w:t>
      </w:r>
    </w:p>
    <w:p w:rsidR="00A04A03" w:rsidRDefault="00A04A03" w:rsidP="00A04A03"/>
    <w:p w:rsidR="00A04A03" w:rsidRDefault="00A04A03" w:rsidP="00A04A03">
      <w:r>
        <w:t>O Copom ressalta que o ritmo de flexibilização monetária dependerá da extensão do ciclo pretendido e do grau de sua antecipação, que por sua vez dependerá da evolução da atividade econômica, dos demais fatores de risco mencionados acima, e das projeções e expectativas de inflação. O Comitê considera o atual ritmo adequado, entretanto, a atual conjuntura econômica recomenda monitorar a evolução dos determinantes do grau de antecipação do ciclo.</w:t>
      </w:r>
    </w:p>
    <w:p w:rsidR="00A04A03" w:rsidRDefault="00A04A03" w:rsidP="00A04A03"/>
    <w:p w:rsidR="00A04A03" w:rsidRDefault="00A04A03" w:rsidP="00A04A03">
      <w:r>
        <w:t xml:space="preserve">Votaram por essa decisão os seguintes membros do Comitê: Ilan Goldfajn (Presidente), </w:t>
      </w:r>
      <w:proofErr w:type="spellStart"/>
      <w:r>
        <w:t>Anthero</w:t>
      </w:r>
      <w:proofErr w:type="spellEnd"/>
      <w:r>
        <w:t xml:space="preserve"> de Moraes Meirelles, Carlos Viana de Carvalho, Isaac Sidney Menezes Ferreira, Luiz Edson </w:t>
      </w:r>
      <w:proofErr w:type="spellStart"/>
      <w:r>
        <w:t>Feltrim</w:t>
      </w:r>
      <w:proofErr w:type="spellEnd"/>
      <w:r>
        <w:t xml:space="preserve">, Otávio Ribeiro Damaso, Reinaldo Le </w:t>
      </w:r>
      <w:proofErr w:type="spellStart"/>
      <w:r>
        <w:t>Grazie</w:t>
      </w:r>
      <w:proofErr w:type="spellEnd"/>
      <w:r>
        <w:t xml:space="preserve">, Sidnei Corrêa Marques e Tiago Couto </w:t>
      </w:r>
      <w:proofErr w:type="spellStart"/>
      <w:r>
        <w:t>Berriel</w:t>
      </w:r>
      <w:proofErr w:type="spellEnd"/>
      <w:r>
        <w:t>.</w:t>
      </w:r>
    </w:p>
    <w:p w:rsidR="00A04A03" w:rsidRDefault="00A04A03" w:rsidP="00A04A03"/>
    <w:p w:rsidR="000C359C" w:rsidRDefault="000C359C">
      <w:bookmarkStart w:id="0" w:name="_GoBack"/>
      <w:bookmarkEnd w:id="0"/>
    </w:p>
    <w:sectPr w:rsidR="000C359C" w:rsidSect="00A3100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A03"/>
    <w:rsid w:val="000C359C"/>
    <w:rsid w:val="003F098A"/>
    <w:rsid w:val="00A04A03"/>
    <w:rsid w:val="00A3100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1CE5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634</Words>
  <Characters>3408</Characters>
  <Application>Microsoft Macintosh Word</Application>
  <DocSecurity>0</DocSecurity>
  <Lines>72</Lines>
  <Paragraphs>13</Paragraphs>
  <ScaleCrop>false</ScaleCrop>
  <Company/>
  <LinksUpToDate>false</LinksUpToDate>
  <CharactersWithSpaces>4029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Carreira</dc:creator>
  <cp:keywords/>
  <dc:description/>
  <cp:lastModifiedBy>Marcos Carreira</cp:lastModifiedBy>
  <cp:revision>1</cp:revision>
  <dcterms:created xsi:type="dcterms:W3CDTF">2017-06-01T02:43:00Z</dcterms:created>
  <dcterms:modified xsi:type="dcterms:W3CDTF">2017-06-01T02:43:00Z</dcterms:modified>
</cp:coreProperties>
</file>