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f22dd225-3457-4c31-baa6-46dafb401f50.png"/>
            <wp:cNvGraphicFramePr>
              <a:graphicFrameLocks noChangeAspect="true"/>
            </wp:cNvGraphicFramePr>
            <a:graphic>
              <a:graphicData uri="http://schemas.openxmlformats.org/drawingml/2006/picture">
                <pic:pic xmlns:pic="http://schemas.openxmlformats.org/drawingml/2006/picture">
                  <pic:nvPicPr>
                    <pic:cNvPr id="0" name="Picture 0" descr="1f22dd225-3457-4c31-baa6-46dafb401f50.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imo" w:hAnsi="Arimo" w:cs="Arimo" w:eastAsia="Arimo"/>
                <w:color w:val="000000"/>
                <w:sz w:val="24"/>
                <w:szCs w:val="24"/>
              </w:rPr>
              <w:t xml:space="preserve">🎯 In this activity, you will design templates for taking notes on English literature. You'll learn how to identify key elements like plot, character, theme, and literary devices to create useful and organized notes.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1800ad"/>
            <w:tcMar>
              <w:top w:w="0"/>
              <w:start w:w="0"/>
              <w:bottom w:w="0"/>
              <w:end w:w="0"/>
            </w:tcMar>
          </w:tcPr>
          <w:p>
            <w:pPr>
              <w:spacing w:after="120" w:before="120" w:line="336" w:lineRule="auto"/>
              <w:ind w:firstLine="0" w:start="0"/>
              <w:jc w:val="start"/>
            </w:pPr>
            <w:r>
              <w:rPr>
                <w:rFonts w:ascii="Kalam Bold" w:hAnsi="Kalam Bold" w:cs="Kalam Bold" w:eastAsia="Kalam Bold"/>
                <w:color w:val="303d36"/>
                <w:sz w:val="40"/>
                <w:szCs w:val="40"/>
              </w:rPr>
              <w:t xml:space="preserve">🌟 Welcome to Note-Taking!
</w:t>
            </w:r>
          </w:p>
        </w:tc>
      </w:tr>
    </w:tbl>
    <w:p>
      <w:pPr>
        <w:spacing w:after="120" w:before="120" w:line="336" w:lineRule="auto"/>
        <w:ind w:firstLine="0" w:start="0"/>
        <w:jc w:val="start"/>
      </w:pPr>
      <w:r>
        <w:rPr>
          <w:rFonts w:ascii="Arimo" w:hAnsi="Arimo" w:cs="Arimo" w:eastAsia="Arimo"/>
          <w:color w:val="000000"/>
          <w:sz w:val="24"/>
          <w:szCs w:val="24"/>
        </w:rPr>
        <w:t xml:space="preserve">Effective note-taking is crucial for understanding and remembering literature. Well-organized notes can help you analyze texts, prepare for discussions, and write essays. In this activity, you'll develop your own note-taking templates to enhance your study of English literature.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4515"/>
        <w:gridCol w:w="4515"/>
      </w:tblGrid>
      <w:tr>
        <w:tc>
          <w:tcPr>
            <w:tcW w:w="4515" w:type="dxa"/>
            <w:shd w:val="clear" w:color="auto" w:fill="5170ff"/>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What is Plot?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A </w:t>
            </w:r>
            <w:r>
              <w:rPr>
                <w:rFonts w:ascii="Arimo Bold" w:hAnsi="Arimo Bold" w:cs="Arimo Bold" w:eastAsia="Arimo Bold"/>
                <w:b/>
                <w:bCs/>
                <w:color w:val="000000"/>
                <w:sz w:val="24"/>
                <w:szCs w:val="24"/>
              </w:rPr>
              <w:t>plot</w:t>
            </w:r>
            <w:r>
              <w:rPr>
                <w:rFonts w:ascii="Arimo" w:hAnsi="Arimo" w:cs="Arimo" w:eastAsia="Arimo"/>
                <w:color w:val="000000"/>
                <w:sz w:val="24"/>
                <w:szCs w:val="24"/>
              </w:rPr>
              <w:t xml:space="preserve"> is the sequence of events in a story. It typically includes an exposition, rising action, climax, falling action, and resolution. Understanding the plot helps you follow the story's progression.
</w:t>
            </w:r>
          </w:p>
        </w:tc>
      </w:tr>
      <w:tr>
        <w:tc>
          <w:tcPr>
            <w:tcW w:w="4515" w:type="dxa"/>
            <w:shd w:val="clear" w:color="auto" w:fill="5170ff"/>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What is Character Analysis?
</w:t>
            </w:r>
          </w:p>
        </w:tc>
        <w:tc>
          <w:tcPr>
            <w:tcW w:w="4515" w:type="dxa"/>
            <w:tcMar>
              <w:top w:w="180"/>
              <w:start w:w="180"/>
              <w:bottom w:w="180"/>
              <w:end w:w="180"/>
            </w:tcMar>
          </w:tcPr>
          <w:p>
            <w:pPr>
              <w:spacing w:after="120" w:before="120" w:line="336" w:lineRule="auto"/>
              <w:ind w:firstLine="0" w:start="0"/>
              <w:jc w:val="start"/>
            </w:pPr>
            <w:r>
              <w:rPr>
                <w:rFonts w:ascii="Arimo Bold" w:hAnsi="Arimo Bold" w:cs="Arimo Bold" w:eastAsia="Arimo Bold"/>
                <w:b/>
                <w:bCs/>
                <w:color w:val="000000"/>
                <w:sz w:val="24"/>
                <w:szCs w:val="24"/>
              </w:rPr>
              <w:t>Character analysis</w:t>
            </w:r>
            <w:r>
              <w:rPr>
                <w:rFonts w:ascii="Arimo" w:hAnsi="Arimo" w:cs="Arimo" w:eastAsia="Arimo"/>
                <w:color w:val="000000"/>
                <w:sz w:val="24"/>
                <w:szCs w:val="24"/>
              </w:rPr>
              <w:t xml:space="preserve"> involves examining a character's traits, motivations, and role in the story. Analyzing characters helps you understand their impact on the plot and themes.
</w:t>
            </w:r>
          </w:p>
        </w:tc>
      </w:tr>
      <w:tr>
        <w:tc>
          <w:tcPr>
            <w:tcW w:w="4515" w:type="dxa"/>
            <w:shd w:val="clear" w:color="auto" w:fill="5170ff"/>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What is Theme?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A </w:t>
            </w:r>
            <w:r>
              <w:rPr>
                <w:rFonts w:ascii="Arimo Bold" w:hAnsi="Arimo Bold" w:cs="Arimo Bold" w:eastAsia="Arimo Bold"/>
                <w:b/>
                <w:bCs/>
                <w:color w:val="000000"/>
                <w:sz w:val="24"/>
                <w:szCs w:val="24"/>
              </w:rPr>
              <w:t>theme</w:t>
            </w:r>
            <w:r>
              <w:rPr>
                <w:rFonts w:ascii="Arimo" w:hAnsi="Arimo" w:cs="Arimo" w:eastAsia="Arimo"/>
                <w:color w:val="000000"/>
                <w:sz w:val="24"/>
                <w:szCs w:val="24"/>
              </w:rPr>
              <w:t xml:space="preserve"> is the central idea or message of a literary work. Themes are often universal truths about life, society, or human nature. Identifying themes adds depth to your understanding of the text.
</w:t>
            </w:r>
          </w:p>
        </w:tc>
      </w:tr>
      <w:tr>
        <w:tc>
          <w:tcPr>
            <w:tcW w:w="4515" w:type="dxa"/>
            <w:shd w:val="clear" w:color="auto" w:fill="5170ff"/>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What are Literary Devices?
</w:t>
            </w:r>
          </w:p>
        </w:tc>
        <w:tc>
          <w:tcPr>
            <w:tcW w:w="4515" w:type="dxa"/>
            <w:tcMar>
              <w:top w:w="180"/>
              <w:start w:w="180"/>
              <w:bottom w:w="180"/>
              <w:end w:w="180"/>
            </w:tcMar>
          </w:tcPr>
          <w:p>
            <w:pPr>
              <w:spacing w:after="120" w:before="120" w:line="336" w:lineRule="auto"/>
              <w:ind w:firstLine="0" w:start="0"/>
              <w:jc w:val="start"/>
            </w:pPr>
            <w:r>
              <w:rPr>
                <w:rFonts w:ascii="Arimo Bold" w:hAnsi="Arimo Bold" w:cs="Arimo Bold" w:eastAsia="Arimo Bold"/>
                <w:b/>
                <w:bCs/>
                <w:color w:val="000000"/>
                <w:sz w:val="24"/>
                <w:szCs w:val="24"/>
              </w:rPr>
              <w:t>Literary devices</w:t>
            </w:r>
            <w:r>
              <w:rPr>
                <w:rFonts w:ascii="Arimo" w:hAnsi="Arimo" w:cs="Arimo" w:eastAsia="Arimo"/>
                <w:color w:val="000000"/>
                <w:sz w:val="24"/>
                <w:szCs w:val="24"/>
              </w:rPr>
              <w:t xml:space="preserve"> are techniques used by writers to create specific effects. Examples include metaphors, similes, and symbolism. Recognizing these devices enriches your interpretation of the text.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1800ad"/>
            <w:tcMar>
              <w:top w:w="0"/>
              <w:start w:w="0"/>
              <w:bottom w:w="0"/>
              <w:end w:w="0"/>
            </w:tcMar>
          </w:tcPr>
          <w:p>
            <w:pPr>
              <w:spacing w:after="120" w:before="120" w:line="336" w:lineRule="auto"/>
              <w:ind w:firstLine="0" w:start="0"/>
              <w:jc w:val="start"/>
            </w:pPr>
            <w:r>
              <w:rPr>
                <w:rFonts w:ascii="Kalam Bold" w:hAnsi="Kalam Bold" w:cs="Kalam Bold" w:eastAsia="Kalam Bold"/>
                <w:color w:val="303d36"/>
                <w:sz w:val="40"/>
                <w:szCs w:val="40"/>
              </w:rPr>
              <w:t xml:space="preserve">📖 Read the Text
</w:t>
            </w:r>
          </w:p>
        </w:tc>
      </w:tr>
    </w:tbl>
    <w:p>
      <w:pPr>
        <w:spacing w:after="120" w:before="120" w:line="336" w:lineRule="auto"/>
        <w:ind w:firstLine="0" w:start="0"/>
        <w:jc w:val="start"/>
      </w:pPr>
      <w:r>
        <w:rPr>
          <w:rFonts w:ascii="Arimo" w:hAnsi="Arimo" w:cs="Arimo" w:eastAsia="Arimo"/>
          <w:color w:val="000000"/>
          <w:sz w:val="24"/>
          <w:szCs w:val="24"/>
        </w:rPr>
        <w:t xml:space="preserve">Carefully read the passage below. As you read, think about the key elements of literature – plot, character, theme, and literary devices – and how they contribute to the story's overall meaning.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imo Italics" w:hAnsi="Arimo Italics" w:cs="Arimo Italics" w:eastAsia="Arimo Italics"/>
                <w:i/>
                <w:iCs/>
                <w:color w:val="000000"/>
                <w:sz w:val="24"/>
                <w:szCs w:val="24"/>
              </w:rPr>
              <w:t>In the quaint village of Willowbrook, nestled beside a whispering forest, lived a young woman named Elara. She possessed a spirit as untamed as the woods themselves, yearning for adventures beyond her quiet life. One day, a mysterious traveler arrived, bearing tales of distant lands and forgotten lore. Elara, captivated by his stories, decided to leave Willowbrook and embark on a journey of her own.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Italics" w:hAnsi="Arimo Italics" w:cs="Arimo Italics" w:eastAsia="Arimo Italics"/>
                <w:i/>
                <w:iCs/>
                <w:color w:val="000000"/>
                <w:sz w:val="24"/>
                <w:szCs w:val="24"/>
              </w:rPr>
              <w:t>As she ventured forth, Elara encountered treacherous mountains and shimmering rivers. She met fellow travelers, each with their own unique stories and wisdom. Among them was a wise old mage named Silas, who recognized Elara's potential and offered to teach her the ancient art of magic. Elara eagerly accepted, dedicating herself to mastering the arcane arts.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Italics" w:hAnsi="Arimo Italics" w:cs="Arimo Italics" w:eastAsia="Arimo Italics"/>
                <w:i/>
                <w:iCs/>
                <w:color w:val="000000"/>
                <w:sz w:val="24"/>
                <w:szCs w:val="24"/>
              </w:rPr>
              <w:t>However, her newfound powers attracted the attention of a dark sorcerer named Malkor, who sought to control all magic for his own nefarious purposes. Malkor sent his minions to capture Elara, hoping to harness her abilities. A fierce battle ensued, testing Elara's courage and skills. With the help of Silas and her newfound allies, Elara managed to defeat Malkor and restore peace to the land.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Italics" w:hAnsi="Arimo Italics" w:cs="Arimo Italics" w:eastAsia="Arimo Italics"/>
                <w:i/>
                <w:iCs/>
                <w:color w:val="000000"/>
                <w:sz w:val="24"/>
                <w:szCs w:val="24"/>
              </w:rPr>
              <w:t>Returning to Willowbrook, Elara was no longer the same naive girl who had left. She had faced dangers, learned valuable lessons, and discovered her own strength. Elara used her magic to protect her village and inspire others to embrace their potential. And so, the legend of Elara, the untamed spirit, lived on in the hearts of the people of Willowbrook.</w:t>
            </w:r>
            <w:r>
              <w:rPr>
                <w:rFonts w:ascii="Arimo" w:hAnsi="Arimo" w:cs="Arimo" w:eastAsia="Arimo"/>
                <w:color w:val="000000"/>
                <w:sz w:val="24"/>
                <w:szCs w:val="24"/>
              </w:rPr>
              <w:t xml:space="preserve">
</w:t>
            </w:r>
          </w:p>
          <w:p>
            <w:pPr>
              <w:spacing w:after="120" w:before="120" w:line="336" w:lineRule="auto"/>
              <w:ind w:firstLine="0" w:start="0"/>
              <w:jc w:val="start"/>
            </w:pPr>
            <w:r>
              <w:rPr>
                <w:rFonts w:ascii="Arimo Bold Italics" w:hAnsi="Arimo Bold Italics" w:cs="Arimo Bold Italics" w:eastAsia="Arimo Bold Italics"/>
                <w:b/>
                <w:bCs/>
                <w:i/>
                <w:iCs/>
                <w:color w:val="000000"/>
                <w:sz w:val="24"/>
                <w:szCs w:val="24"/>
              </w:rPr>
              <w:t>📍This passage was created using AI.</w:t>
            </w:r>
            <w:r>
              <w:rPr>
                <w:rFonts w:ascii="Arimo" w:hAnsi="Arimo" w:cs="Arimo" w:eastAsia="Arimo"/>
                <w:color w:val="000000"/>
                <w:sz w:val="24"/>
                <w:szCs w:val="24"/>
              </w:rPr>
              <w:t xml:space="preser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1800ad"/>
            <w:tcMar>
              <w:top w:w="0"/>
              <w:start w:w="0"/>
              <w:bottom w:w="0"/>
              <w:end w:w="0"/>
            </w:tcMar>
          </w:tcPr>
          <w:p>
            <w:pPr>
              <w:spacing w:after="120" w:before="120" w:line="336" w:lineRule="auto"/>
              <w:ind w:firstLine="0" w:start="0"/>
              <w:jc w:val="start"/>
            </w:pPr>
            <w:r>
              <w:rPr>
                <w:rFonts w:ascii="Kalam Bold" w:hAnsi="Kalam Bold" w:cs="Kalam Bold" w:eastAsia="Kalam Bold"/>
                <w:color w:val="303d36"/>
                <w:sz w:val="40"/>
                <w:szCs w:val="40"/>
              </w:rPr>
              <w:t xml:space="preserve">🔗 Building Connections
</w:t>
            </w:r>
          </w:p>
        </w:tc>
      </w:tr>
    </w:tbl>
    <w:p>
      <w:pPr>
        <w:spacing w:after="120" w:before="120" w:line="336" w:lineRule="auto"/>
        <w:ind w:firstLine="0" w:start="0"/>
        <w:jc w:val="start"/>
      </w:pPr>
      <w:r>
        <w:rPr>
          <w:rFonts w:ascii="Arimo" w:hAnsi="Arimo" w:cs="Arimo" w:eastAsia="Arimo"/>
          <w:color w:val="000000"/>
          <w:sz w:val="24"/>
          <w:szCs w:val="24"/>
        </w:rPr>
        <w:t xml:space="preserve">Now, connect ideas from the text and the tasks you have completed to deepen your understanding of the key concepts in English literature.
</w:t>
      </w:r>
    </w:p>
    <w:p>
      <w:pPr>
        <w:spacing w:after="120" w:before="120" w:line="336" w:lineRule="auto"/>
        <w:ind w:firstLine="0" w:start="0"/>
        <w:jc w:val="start"/>
      </w:pPr>
      <w:r>
        <w:rPr>
          <w:rFonts w:ascii="Arimo" w:hAnsi="Arimo" w:cs="Arimo" w:eastAsia="Arimo"/>
          <w:color w:val="000000"/>
          <w:sz w:val="24"/>
          <w:szCs w:val="24"/>
        </w:rPr>
        <w:t xml:space="preserve">Complete the table below to check your understanding.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3010"/>
        <w:gridCol w:w="3010"/>
        <w:gridCol w:w="3010"/>
      </w:tblGrid>
      <w:tr>
        <w:tc>
          <w:tcPr>
            <w:tcW w:w="3010" w:type="dxa"/>
            <w:shd w:val="clear" w:color="auto" w:fill="1800ad"/>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Key Concept
</w:t>
            </w:r>
          </w:p>
        </w:tc>
        <w:tc>
          <w:tcPr>
            <w:tcW w:w="3010" w:type="dxa"/>
            <w:shd w:val="clear" w:color="auto" w:fill="1800ad"/>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Your Understanding
</w:t>
            </w:r>
          </w:p>
        </w:tc>
        <w:tc>
          <w:tcPr>
            <w:tcW w:w="3010" w:type="dxa"/>
            <w:shd w:val="clear" w:color="auto" w:fill="1800ad"/>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Why is this important?
</w:t>
            </w:r>
          </w:p>
        </w:tc>
      </w:tr>
      <w:tr>
        <w:tc>
          <w:tcPr>
            <w:tcW w:w="3010" w:type="dxa"/>
            <w:shd w:val="clear" w:color="auto" w:fill="5170ff"/>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Plot
</w:t>
            </w:r>
          </w:p>
        </w:tc>
        <w:tc>
          <w:tcPr>
            <w:tcW w:w="3010" w:type="dxa"/>
            <w:tcMar>
              <w:top w:w="180"/>
              <w:start w:w="180"/>
              <w:bottom w:w="180"/>
              <w:end w:w="180"/>
            </w:tcMar>
          </w:tcPr>
          <w:p>
            <w:pPr>
              <w:spacing w:after="120" w:before="120" w:line="336" w:lineRule="auto"/>
              <w:ind w:firstLine="0" w:start="0"/>
              <w:jc w:val="start"/>
            </w:pPr>
            <w:r>
              <w:rPr>
                <w:rFonts w:ascii="Arimo Italics" w:hAnsi="Arimo Italics" w:cs="Arimo Italics" w:eastAsia="Arimo Italics"/>
                <w:i/>
                <w:iCs/>
                <w:color w:val="000000"/>
                <w:sz w:val="24"/>
                <w:szCs w:val="24"/>
              </w:rPr>
              <w:t>The sequence of events in a story.</w:t>
            </w:r>
            <w:r>
              <w:rPr>
                <w:rFonts w:ascii="Arimo" w:hAnsi="Arimo" w:cs="Arimo" w:eastAsia="Arimo"/>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Arimo Italics" w:hAnsi="Arimo Italics" w:cs="Arimo Italics" w:eastAsia="Arimo Italics"/>
                <w:i/>
                <w:iCs/>
                <w:color w:val="000000"/>
                <w:sz w:val="24"/>
                <w:szCs w:val="24"/>
              </w:rPr>
              <w:t>Helps to understand the story's progression and structure.</w:t>
            </w:r>
            <w:r>
              <w:rPr>
                <w:rFonts w:ascii="Arimo" w:hAnsi="Arimo" w:cs="Arimo" w:eastAsia="Arimo"/>
                <w:color w:val="000000"/>
                <w:sz w:val="24"/>
                <w:szCs w:val="24"/>
              </w:rPr>
              <w:t xml:space="preserve">
</w:t>
            </w:r>
          </w:p>
        </w:tc>
      </w:tr>
      <w:tr>
        <w:tc>
          <w:tcPr>
            <w:tcW w:w="3010" w:type="dxa"/>
            <w:shd w:val="clear" w:color="auto" w:fill="5170ff"/>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Character Analysis
</w:t>
            </w:r>
          </w:p>
        </w:tc>
        <w:tc>
          <w:tcPr>
            <w:tcW w:w="301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How do you analyze a character in literature?
</w:t>
            </w:r>
          </w:p>
        </w:tc>
        <w:tc>
          <w:tcPr>
            <w:tcW w:w="301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Why is character analysis important in understanding the story?
</w:t>
            </w:r>
          </w:p>
        </w:tc>
      </w:tr>
      <w:tr>
        <w:tc>
          <w:tcPr>
            <w:tcW w:w="3010" w:type="dxa"/>
            <w:shd w:val="clear" w:color="auto" w:fill="5170ff"/>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Theme
</w:t>
            </w:r>
          </w:p>
        </w:tc>
        <w:tc>
          <w:tcPr>
            <w:tcW w:w="301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3010" w:type="dxa"/>
            <w:shd w:val="clear" w:color="auto" w:fill="5170ff"/>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Literary Devices
</w:t>
            </w:r>
          </w:p>
        </w:tc>
        <w:tc>
          <w:tcPr>
            <w:tcW w:w="301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3010" w:type="dxa"/>
            <w:shd w:val="clear" w:color="auto" w:fill="5170ff"/>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Last Row: Add a row or column as needed
</w:t>
            </w:r>
          </w:p>
        </w:tc>
        <w:tc>
          <w:tcPr>
            <w:tcW w:w="301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1800ad"/>
            <w:tcMar>
              <w:top w:w="0"/>
              <w:start w:w="0"/>
              <w:bottom w:w="0"/>
              <w:end w:w="0"/>
            </w:tcMar>
          </w:tcPr>
          <w:p>
            <w:pPr>
              <w:spacing w:after="120" w:before="120" w:line="336" w:lineRule="auto"/>
              <w:ind w:firstLine="0" w:start="0"/>
              <w:jc w:val="start"/>
            </w:pPr>
            <w:r>
              <w:rPr>
                <w:rFonts w:ascii="Kalam Bold" w:hAnsi="Kalam Bold" w:cs="Kalam Bold" w:eastAsia="Kalam Bold"/>
                <w:color w:val="303d36"/>
                <w:sz w:val="40"/>
                <w:szCs w:val="40"/>
              </w:rPr>
              <w:t xml:space="preserve">✍️ Try It Out
</w:t>
            </w:r>
          </w:p>
        </w:tc>
      </w:tr>
    </w:tbl>
    <w:p>
      <w:pPr>
        <w:spacing w:after="120" w:before="120" w:line="336" w:lineRule="auto"/>
        <w:ind w:firstLine="0" w:start="0"/>
        <w:jc w:val="start"/>
      </w:pPr>
      <w:r>
        <w:rPr>
          <w:rFonts w:ascii="Arimo" w:hAnsi="Arimo" w:cs="Arimo" w:eastAsia="Arimo"/>
          <w:color w:val="000000"/>
          <w:sz w:val="24"/>
          <w:szCs w:val="24"/>
        </w:rPr>
        <w:t xml:space="preserve">Use what you've learned about plot, character analysis, theme, and literary devices to respond to the questions below.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4515"/>
        <w:gridCol w:w="4515"/>
      </w:tblGrid>
      <w:tr>
        <w:tc>
          <w:tcPr>
            <w:tcW w:w="4515" w:type="dxa"/>
            <w:shd w:val="clear" w:color="auto" w:fill="5170ff"/>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Imagine you are creating a prequel to the story of Elara. What events would you include to set the stage for her journey?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Write your answer here
</w:t>
            </w:r>
          </w:p>
        </w:tc>
      </w:tr>
      <w:tr>
        <w:tc>
          <w:tcPr>
            <w:tcW w:w="4515" w:type="dxa"/>
            <w:shd w:val="clear" w:color="auto" w:fill="5170ff"/>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How might the story change if Malkor had succeeded in capturing Elara? Discuss potential alternate themes.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4515" w:type="dxa"/>
            <w:shd w:val="clear" w:color="auto" w:fill="5170ff"/>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Identify and explain an important symbol in the text and it's relationship to a literary device.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pPr>
      <w:r>
        <w:br w:type="page"/>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1800ad"/>
            <w:tcMar>
              <w:top w:w="0"/>
              <w:start w:w="0"/>
              <w:bottom w:w="0"/>
              <w:end w:w="0"/>
            </w:tcMar>
          </w:tcPr>
          <w:p>
            <w:pPr>
              <w:spacing w:after="120" w:before="120" w:line="336" w:lineRule="auto"/>
              <w:ind w:firstLine="0" w:start="0"/>
              <w:jc w:val="start"/>
            </w:pPr>
            <w:r>
              <w:rPr>
                <w:rFonts w:ascii="Kalam Bold" w:hAnsi="Kalam Bold" w:cs="Kalam Bold" w:eastAsia="Kalam Bold"/>
                <w:color w:val="303d36"/>
                <w:sz w:val="40"/>
                <w:szCs w:val="40"/>
              </w:rPr>
              <w:t xml:space="preserve">🎬 Show What You Learned
</w:t>
            </w:r>
          </w:p>
        </w:tc>
      </w:tr>
    </w:tbl>
    <w:p>
      <w:pPr>
        <w:spacing w:after="120" w:before="120" w:line="336" w:lineRule="auto"/>
        <w:ind w:firstLine="0" w:start="0"/>
        <w:jc w:val="start"/>
      </w:pPr>
      <w:r>
        <w:rPr>
          <w:rFonts w:ascii="Arimo" w:hAnsi="Arimo" w:cs="Arimo" w:eastAsia="Arimo"/>
          <w:color w:val="000000"/>
          <w:sz w:val="24"/>
          <w:szCs w:val="24"/>
        </w:rPr>
        <w:t xml:space="preserve">Now you will create a project to show your understanding of the key elements of literature in a new way.
</w:t>
      </w:r>
    </w:p>
    <w:p>
      <w:pPr>
        <w:spacing w:after="120" w:before="120" w:line="336" w:lineRule="auto"/>
        <w:ind w:firstLine="0" w:start="0"/>
        <w:jc w:val="start"/>
      </w:pPr>
      <w:r>
        <w:rPr>
          <w:rFonts w:ascii="Arimo" w:hAnsi="Arimo" w:cs="Arimo" w:eastAsia="Arimo"/>
          <w:color w:val="000000"/>
          <w:sz w:val="24"/>
          <w:szCs w:val="24"/>
        </w:rPr>
        <w:t xml:space="preserve">Create a short video trailer for a movie adaptation of Elara's story. Use Magic Media or Elements to help visualise or record your idea.
</w:t>
      </w:r>
    </w:p>
    <w:p>
      <w:pPr>
        <w:numPr>
          <w:ilvl w:val="0"/>
          <w:numId w:val="1"/>
        </w:numPr>
        <w:spacing w:after="0" w:before="0" w:line="336" w:lineRule="auto"/>
        <w:jc w:val="start"/>
      </w:pPr>
      <w:r>
        <w:rPr>
          <w:rFonts w:ascii="Arimo Bold" w:hAnsi="Arimo Bold" w:cs="Arimo Bold" w:eastAsia="Arimo Bold"/>
          <w:b/>
          <w:bCs/>
          <w:color w:val="000000"/>
          <w:sz w:val="24"/>
          <w:szCs w:val="24"/>
        </w:rPr>
        <w:t>Plan</w:t>
      </w:r>
      <w:r>
        <w:rPr>
          <w:rFonts w:ascii="Arimo" w:hAnsi="Arimo" w:cs="Arimo" w:eastAsia="Arimo"/>
          <w:color w:val="000000"/>
          <w:sz w:val="24"/>
          <w:szCs w:val="24"/>
        </w:rPr>
        <w:t xml:space="preserve"> your trailer by outlining the key scenes and moments you want to highlight.
</w:t>
      </w:r>
    </w:p>
    <w:p>
      <w:pPr>
        <w:numPr>
          <w:ilvl w:val="0"/>
          <w:numId w:val="1"/>
        </w:numPr>
        <w:spacing w:after="0" w:before="0" w:line="336" w:lineRule="auto"/>
        <w:jc w:val="start"/>
      </w:pPr>
      <w:r>
        <w:rPr>
          <w:rFonts w:ascii="Arimo Bold" w:hAnsi="Arimo Bold" w:cs="Arimo Bold" w:eastAsia="Arimo Bold"/>
          <w:b/>
          <w:bCs/>
          <w:color w:val="000000"/>
          <w:sz w:val="24"/>
          <w:szCs w:val="24"/>
        </w:rPr>
        <w:t>Gather</w:t>
      </w:r>
      <w:r>
        <w:rPr>
          <w:rFonts w:ascii="Arimo" w:hAnsi="Arimo" w:cs="Arimo" w:eastAsia="Arimo"/>
          <w:color w:val="000000"/>
          <w:sz w:val="24"/>
          <w:szCs w:val="24"/>
        </w:rPr>
        <w:t xml:space="preserve"> visuals, either by finding images or using Magic Media to generate scenes.
</w:t>
      </w:r>
    </w:p>
    <w:p>
      <w:pPr>
        <w:numPr>
          <w:ilvl w:val="0"/>
          <w:numId w:val="1"/>
        </w:numPr>
        <w:spacing w:after="0" w:before="0" w:line="336" w:lineRule="auto"/>
        <w:jc w:val="start"/>
      </w:pPr>
      <w:r>
        <w:rPr>
          <w:rFonts w:ascii="Arimo Bold" w:hAnsi="Arimo Bold" w:cs="Arimo Bold" w:eastAsia="Arimo Bold"/>
          <w:b/>
          <w:bCs/>
          <w:color w:val="000000"/>
          <w:sz w:val="24"/>
          <w:szCs w:val="24"/>
        </w:rPr>
        <w:t>Record</w:t>
      </w:r>
      <w:r>
        <w:rPr>
          <w:rFonts w:ascii="Arimo" w:hAnsi="Arimo" w:cs="Arimo" w:eastAsia="Arimo"/>
          <w:color w:val="000000"/>
          <w:sz w:val="24"/>
          <w:szCs w:val="24"/>
        </w:rPr>
        <w:t xml:space="preserve"> your voiceover, summarizing the plot and introducing the main characters and themes.
</w:t>
      </w:r>
    </w:p>
    <w:p>
      <w:pPr>
        <w:numPr>
          <w:ilvl w:val="0"/>
          <w:numId w:val="1"/>
        </w:numPr>
        <w:spacing w:after="0" w:before="0" w:line="336" w:lineRule="auto"/>
        <w:jc w:val="start"/>
      </w:pPr>
      <w:r>
        <w:rPr>
          <w:rFonts w:ascii="Arimo Bold" w:hAnsi="Arimo Bold" w:cs="Arimo Bold" w:eastAsia="Arimo Bold"/>
          <w:b/>
          <w:bCs/>
          <w:color w:val="000000"/>
          <w:sz w:val="24"/>
          <w:szCs w:val="24"/>
        </w:rPr>
        <w:t>Edit</w:t>
      </w:r>
      <w:r>
        <w:rPr>
          <w:rFonts w:ascii="Arimo" w:hAnsi="Arimo" w:cs="Arimo" w:eastAsia="Arimo"/>
          <w:color w:val="000000"/>
          <w:sz w:val="24"/>
          <w:szCs w:val="24"/>
        </w:rPr>
        <w:t xml:space="preserve"> your video, combining the visuals and voiceover into a compelling trailer.
</w:t>
      </w:r>
    </w:p>
    <w:p>
      <w:pPr>
        <w:numPr>
          <w:ilvl w:val="0"/>
          <w:numId w:val="1"/>
        </w:numPr>
        <w:spacing w:after="0" w:before="0" w:line="336" w:lineRule="auto"/>
        <w:jc w:val="start"/>
      </w:pPr>
      <w:r>
        <w:rPr>
          <w:rFonts w:ascii="Arimo Bold" w:hAnsi="Arimo Bold" w:cs="Arimo Bold" w:eastAsia="Arimo Bold"/>
          <w:b/>
          <w:bCs/>
          <w:color w:val="000000"/>
          <w:sz w:val="24"/>
          <w:szCs w:val="24"/>
        </w:rPr>
        <w:t>Share</w:t>
      </w:r>
      <w:r>
        <w:rPr>
          <w:rFonts w:ascii="Arimo" w:hAnsi="Arimo" w:cs="Arimo" w:eastAsia="Arimo"/>
          <w:color w:val="000000"/>
          <w:sz w:val="24"/>
          <w:szCs w:val="24"/>
        </w:rPr>
        <w:t xml:space="preserve"> your trailer with the class, explaining your creative choices.
</w:t>
      </w:r>
    </w:p>
    <w:p>
      <w:pPr>
        <w:spacing w:after="120" w:before="120"/>
        <w:jc w:val="center"/>
      </w:pPr>
      <w:r>
        <w:drawing>
          <wp:inline>
            <wp:extent cx="5734050" cy="5734050"/>
            <wp:docPr id="1" name="Drawing 1" descr="107ade47d-ad1e-44fa-a691-365444fa0a24.png"/>
            <wp:cNvGraphicFramePr>
              <a:graphicFrameLocks noChangeAspect="true"/>
            </wp:cNvGraphicFramePr>
            <a:graphic>
              <a:graphicData uri="http://schemas.openxmlformats.org/drawingml/2006/picture">
                <pic:pic xmlns:pic="http://schemas.openxmlformats.org/drawingml/2006/picture">
                  <pic:nvPicPr>
                    <pic:cNvPr id="0" name="Picture 1" descr="107ade47d-ad1e-44fa-a691-365444fa0a24.png"/>
                    <pic:cNvPicPr>
                      <a:picLocks noChangeAspect="true"/>
                    </pic:cNvPicPr>
                  </pic:nvPicPr>
                  <pic:blipFill>
                    <a:blip r:embed="rId5"/>
                    <a:stretch>
                      <a:fillRect/>
                    </a:stretch>
                  </pic:blipFill>
                  <pic:spPr>
                    <a:xfrm>
                      <a:off x="0" y="0"/>
                      <a:ext cx="5734050" cy="5734050"/>
                    </a:xfrm>
                    <a:custGeom>
                      <a:pathLst>
                        <a:path h="5734050" w="5734050">
                          <a:moveTo>
                            <a:pt x="0" y="84949"/>
                          </a:moveTo>
                          <a:lnTo>
                            <a:pt x="0" y="5649101"/>
                          </a:lnTo>
                          <a:cubicBezTo>
                            <a:pt x="0" y="5696017"/>
                            <a:pt x="38032" y="5734050"/>
                            <a:pt x="84949" y="5734050"/>
                          </a:cubicBezTo>
                          <a:lnTo>
                            <a:pt x="5649101" y="5734050"/>
                          </a:lnTo>
                          <a:cubicBezTo>
                            <a:pt x="5696017" y="5734050"/>
                            <a:pt x="5734050" y="5696017"/>
                            <a:pt x="5734050" y="5649101"/>
                          </a:cubicBezTo>
                          <a:lnTo>
                            <a:pt x="5734050" y="84949"/>
                          </a:lnTo>
                          <a:cubicBezTo>
                            <a:pt x="5734050" y="38032"/>
                            <a:pt x="5696017" y="0"/>
                            <a:pt x="5649101" y="0"/>
                          </a:cubicBezTo>
                          <a:lnTo>
                            <a:pt x="84949" y="0"/>
                          </a:lnTo>
                          <a:cubicBezTo>
                            <a:pt x="38032" y="0"/>
                            <a:pt x="0" y="38032"/>
                            <a:pt x="0" y="84949"/>
                          </a:cubicBezTo>
                          <a:close/>
                        </a:path>
                      </a:pathLst>
                    </a:custGeom>
                  </pic:spPr>
                </pic:pic>
              </a:graphicData>
            </a:graphic>
          </wp:inline>
        </w:drawing>
      </w:r>
    </w:p>
    <w:p>
      <w:pPr>
        <w:spacing w:after="120" w:before="120"/>
      </w:pPr>
      <w:r>
        <w:br w:type="page"/>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1800ad"/>
            <w:tcMar>
              <w:top w:w="0"/>
              <w:start w:w="0"/>
              <w:bottom w:w="0"/>
              <w:end w:w="0"/>
            </w:tcMar>
          </w:tcPr>
          <w:p>
            <w:pPr>
              <w:spacing w:after="120" w:before="120" w:line="336" w:lineRule="auto"/>
              <w:ind w:firstLine="0" w:start="0"/>
              <w:jc w:val="start"/>
            </w:pPr>
            <w:r>
              <w:rPr>
                <w:rFonts w:ascii="Kalam Bold" w:hAnsi="Kalam Bold" w:cs="Kalam Bold" w:eastAsia="Kalam Bold"/>
                <w:color w:val="303d36"/>
                <w:sz w:val="40"/>
                <w:szCs w:val="40"/>
              </w:rPr>
              <w:t xml:space="preserve">🤔 Reflect on Learning
</w:t>
            </w:r>
          </w:p>
        </w:tc>
      </w:tr>
    </w:tbl>
    <w:p>
      <w:pPr>
        <w:spacing w:after="120" w:before="120" w:line="336" w:lineRule="auto"/>
        <w:ind w:firstLine="0" w:start="0"/>
        <w:jc w:val="start"/>
      </w:pPr>
      <w:r>
        <w:rPr>
          <w:rFonts w:ascii="Arimo" w:hAnsi="Arimo" w:cs="Arimo" w:eastAsia="Arimo"/>
          <w:color w:val="000000"/>
          <w:sz w:val="24"/>
          <w:szCs w:val="24"/>
        </w:rPr>
        <w:t xml:space="preserve">Take a moment to reflect on the work you've completed in this activity. Consider your understanding of plot, character analysis, theme, and literary devices, and how you applied these concepts.
</w:t>
      </w:r>
    </w:p>
    <w:p>
      <w:pPr>
        <w:spacing w:after="120" w:before="120" w:line="336" w:lineRule="auto"/>
        <w:ind w:firstLine="0" w:start="0"/>
        <w:jc w:val="start"/>
      </w:pPr>
      <w:r>
        <w:rPr>
          <w:rFonts w:ascii="Arimo" w:hAnsi="Arimo" w:cs="Arimo" w:eastAsia="Arimo"/>
          <w:color w:val="000000"/>
          <w:sz w:val="24"/>
          <w:szCs w:val="24"/>
        </w:rPr>
        <w:t xml:space="preserve">How has designing these note-taking templates improved your approach to studying literature?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9030"/>
      </w:tblGrid>
      <w:tr>
        <w:tc>
          <w:tcPr>
            <w:tcW w:w="9030" w:type="dxa"/>
            <w:tcMar>
              <w:top w:w="180"/>
              <w:start w:w="180"/>
              <w:bottom w:w="180"/>
              <w:end w:w="180"/>
            </w:tcMar>
          </w:tcPr>
          <w:p>
            <w:pPr>
              <w:spacing w:after="120" w:before="120" w:line="336" w:lineRule="auto"/>
              <w:ind w:firstLine="0" w:start="0"/>
              <w:jc w:val="start"/>
            </w:pPr>
            <w:r>
              <w:rPr>
                <w:rFonts w:ascii="Arimo Italics" w:hAnsi="Arimo Italics" w:cs="Arimo Italics" w:eastAsia="Arimo Italics"/>
                <w:i/>
                <w:iCs/>
                <w:color w:val="000000"/>
                <w:sz w:val="24"/>
                <w:szCs w:val="24"/>
              </w:rPr>
              <w:t>[Write your answer here.]</w:t>
            </w: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What was the most challenging aspect of analyzing the text, and how did you overcome it?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9030"/>
      </w:tblGrid>
      <w:tr>
        <w:tc>
          <w:tcPr>
            <w:tcW w:w="903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In what ways can you apply these note-taking templates to future literature studies?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9030"/>
      </w:tblGrid>
      <w:tr>
        <w:tc>
          <w:tcPr>
            <w:tcW w:w="903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
        <w:gridCol w:w="8127"/>
      </w:tblGrid>
      <w:tr>
        <w:tc>
          <w:tcPr>
            <w:tcW w:w="903" w:type="dxa"/>
            <w:tcMar>
              <w:top w:w="0"/>
              <w:start w:w="0"/>
              <w:bottom w:w="0"/>
              <w:end w:w="0"/>
            </w:tcMar>
          </w:tcPr>
          <w:p>
            <w:pPr>
              <w:spacing w:after="120" w:before="120"/>
              <w:jc w:val="center"/>
            </w:pPr>
            <w:r>
              <w:drawing>
                <wp:inline>
                  <wp:extent cx="428625" cy="428625"/>
                  <wp:docPr id="2" name="Drawing 2" descr="23319092-1654-4d52-9803-b8ad59cb99ee.png"/>
                  <wp:cNvGraphicFramePr>
                    <a:graphicFrameLocks noChangeAspect="true"/>
                  </wp:cNvGraphicFramePr>
                  <a:graphic>
                    <a:graphicData uri="http://schemas.openxmlformats.org/drawingml/2006/picture">
                      <pic:pic xmlns:pic="http://schemas.openxmlformats.org/drawingml/2006/picture">
                        <pic:nvPicPr>
                          <pic:cNvPr id="0" name="Picture 2" descr="23319092-1654-4d52-9803-b8ad59cb99ee.png"/>
                          <pic:cNvPicPr>
                            <a:picLocks noChangeAspect="true"/>
                          </pic:cNvPicPr>
                        </pic:nvPicPr>
                        <pic:blipFill>
                          <a:blip r:embed="rId6"/>
                          <a:srcRect l="0" t="0" r="0" b="0"/>
                          <a:stretch>
                            <a:fillRect/>
                          </a:stretch>
                        </pic:blipFill>
                        <pic:spPr>
                          <a:xfrm flipH="false" flipV="false">
                            <a:off x="0" y="0"/>
                            <a:ext cx="428625" cy="428625"/>
                          </a:xfrm>
                          <a:prstGeom prst="rect">
                            <a:avLst/>
                          </a:prstGeom>
                        </pic:spPr>
                      </pic:pic>
                    </a:graphicData>
                  </a:graphic>
                </wp:inline>
              </w:drawing>
            </w:r>
          </w:p>
          <w:p>
            <w:pPr>
              <w:spacing w:after="120" w:before="120" w:line="336" w:lineRule="auto"/>
              <w:ind w:firstLine="0" w:start="0"/>
              <w:jc w:val="start"/>
            </w:pPr>
            <w:r>
              <w:rPr>
                <w:rFonts w:ascii="Arimo" w:hAnsi="Arimo" w:cs="Arimo" w:eastAsia="Arimo"/>
                <w:color w:val="000000"/>
                <w:sz w:val="24"/>
                <w:szCs w:val="24"/>
              </w:rPr>
              <w:t xml:space="preserve">
</w:t>
            </w:r>
          </w:p>
        </w:tc>
        <w:tc>
          <w:tcPr>
            <w:tcW w:w="8127" w:type="dxa"/>
            <w:tcMar>
              <w:top w:w="0"/>
              <w:start w:w="0"/>
              <w:bottom w:w="0"/>
              <w:end w:w="0"/>
            </w:tcMar>
          </w:tcPr>
          <w:p>
            <w:pPr>
              <w:spacing w:after="120" w:before="120" w:line="336" w:lineRule="auto"/>
              <w:ind w:firstLine="0" w:start="0"/>
              <w:jc w:val="start"/>
            </w:pPr>
            <w:r>
              <w:rPr>
                <w:rFonts w:ascii="Arimo Bold" w:hAnsi="Arimo Bold" w:cs="Arimo Bold" w:eastAsia="Arimo Bold"/>
                <w:b/>
                <w:bCs/>
                <w:color w:val="7731d8"/>
                <w:sz w:val="28"/>
                <w:szCs w:val="28"/>
              </w:rPr>
              <w:t xml:space="preserve">Teaching note
</w:t>
            </w:r>
          </w:p>
          <w:p>
            <w:pPr>
              <w:spacing w:after="120" w:before="120" w:line="336" w:lineRule="auto"/>
              <w:ind w:firstLine="0" w:start="0"/>
              <w:jc w:val="start"/>
            </w:pPr>
            <w:r>
              <w:rPr>
                <w:rFonts w:ascii="Arimo" w:hAnsi="Arimo" w:cs="Arimo" w:eastAsia="Arimo"/>
                <w:color w:val="0d1216"/>
                <w:sz w:val="24"/>
                <w:szCs w:val="24"/>
              </w:rPr>
              <w:t xml:space="preserve">This was generated by AI to give you a head start — not the final word. You know your students best, so give it a once-over and make it yours.
</w:t>
            </w:r>
          </w:p>
        </w:tc>
      </w:tr>
    </w:tbl>
    <w:p>
      <w:pPr>
        <w:spacing w:after="120" w:before="120" w:line="33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Italics">
    <w:panose1 w:val="020B0704020202090204"/>
    <w:charset w:characterSet="1"/>
    <w:embedBoldItalic r:id="rId2"/>
  </w:font>
  <w:font w:name="Arimo Bold">
    <w:panose1 w:val="020B0704020202020204"/>
    <w:charset w:characterSet="1"/>
    <w:embedBold r:id="rId3"/>
  </w:font>
  <w:font w:name="Arimo">
    <w:panose1 w:val="020B0604020202020204"/>
    <w:charset w:characterSet="1"/>
    <w:embedRegular r:id="rId4"/>
  </w:font>
  <w:font w:name="Kalam Light">
    <w:panose1 w:val="02000000000000000000"/>
    <w:charset w:characterSet="1"/>
    <w:embedRegular r:id="rId5"/>
  </w:font>
  <w:font w:name="Kalam Bold">
    <w:panose1 w:val="02000000000000000000"/>
    <w:charset w:characterSet="1"/>
    <w:embedBold r:id="rId6"/>
  </w:font>
  <w:font w:name="Kalam">
    <w:panose1 w:val="02000000000000000000"/>
    <w:charset w:characterSet="1"/>
    <w:embedRegular r:id="rId7"/>
  </w:font>
  <w:font w:name="Questrial">
    <w:panose1 w:val="02000000000000000000"/>
    <w:charset w:characterSet="1"/>
    <w:embedRegular r:id="rId8"/>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 Id="rId5" Target="media/image2.png" Type="http://schemas.openxmlformats.org/officeDocument/2006/relationships/image"/><Relationship Id="rId6" Target="media/image3.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2026-04-06T06:36:21Z</dcterms:created>
  <dc:creator>Apache POI</dc:creator>
  <dc:title>Copy of Apply and Test a Notes Template</dc:title>
</cp:coreProperties>
</file>