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62bcc883-f98f-4ef6-bb30-ccd31d22dfb7.png"/>
            <wp:cNvGraphicFramePr>
              <a:graphicFrameLocks noChangeAspect="true"/>
            </wp:cNvGraphicFramePr>
            <a:graphic>
              <a:graphicData uri="http://schemas.openxmlformats.org/drawingml/2006/picture">
                <pic:pic xmlns:pic="http://schemas.openxmlformats.org/drawingml/2006/picture">
                  <pic:nvPicPr>
                    <pic:cNvPr id="0" name="Picture 0" descr="162bcc883-f98f-4ef6-bb30-ccd31d22dfb7.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In this activity, you will design and structure effective A4 templates for English literature notes. You'll consider essential sections, organizational strategies, and usability for future study.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f6dbfe"/>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Explore Note-Taking Strategies
</w:t>
            </w:r>
          </w:p>
        </w:tc>
      </w:tr>
    </w:tbl>
    <w:p>
      <w:pPr>
        <w:spacing w:after="120" w:before="120" w:line="336" w:lineRule="auto"/>
        <w:ind w:firstLine="0" w:start="0"/>
        <w:jc w:val="start"/>
      </w:pPr>
      <w:r>
        <w:rPr>
          <w:rFonts w:ascii="Arimo" w:hAnsi="Arimo" w:cs="Arimo" w:eastAsia="Arimo"/>
          <w:color w:val="000000"/>
          <w:sz w:val="24"/>
          <w:szCs w:val="24"/>
        </w:rPr>
        <w:t xml:space="preserve">Read the following text for ideas about note-taking strategies.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In the realm of English literature, effective note-taking is a crucial skill that aids in comprehension, analysis, and retention of complex literary works. A well-structured note-taking system allows students to dissect novels, poems, and plays into manageable segments, facilitating a deeper understanding of themes, characters, and literary devices. Strategies such as summarizing key plot points, identifying recurring motifs, and tracing character development are fundamental. Furthermore, noting contextual information—historical background, authorial intent, and critical reception—enriches the interpretative process. Incorporating visual aids, such as mind maps or timelines, can also enhance recall and provide a holistic view of the literary piece. Ultimately, the goal of effective note-taking is to transform passive reading into an active, engaging process, empowering students to construct their own interpretations and insights.
</w:t>
            </w:r>
          </w:p>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📍This passage was created using AI.</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dfc6f6"/>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Define Your Research Focus
</w:t>
            </w:r>
          </w:p>
        </w:tc>
      </w:tr>
    </w:tbl>
    <w:p>
      <w:pPr>
        <w:spacing w:after="120" w:before="120" w:line="336" w:lineRule="auto"/>
        <w:ind w:firstLine="0" w:start="0"/>
        <w:jc w:val="start"/>
      </w:pPr>
      <w:r>
        <w:rPr>
          <w:rFonts w:ascii="Arimo" w:hAnsi="Arimo" w:cs="Arimo" w:eastAsia="Arimo"/>
          <w:color w:val="000000"/>
          <w:sz w:val="24"/>
          <w:szCs w:val="24"/>
        </w:rPr>
        <w:t xml:space="preserve">Choose a focus area to guide your template design:
</w:t>
      </w:r>
    </w:p>
    <w:p>
      <w:pPr>
        <w:numPr>
          <w:ilvl w:val="0"/>
          <w:numId w:val="1"/>
        </w:numPr>
        <w:spacing w:after="0" w:before="0" w:line="336" w:lineRule="auto"/>
        <w:jc w:val="start"/>
      </w:pPr>
      <w:r>
        <w:rPr>
          <w:rFonts w:ascii="Arimo Bold" w:hAnsi="Arimo Bold" w:cs="Arimo Bold" w:eastAsia="Arimo Bold"/>
          <w:b/>
          <w:bCs/>
          <w:color w:val="000000"/>
          <w:sz w:val="24"/>
          <w:szCs w:val="24"/>
        </w:rPr>
        <w:t>Character Analysis:</w:t>
      </w:r>
      <w:r>
        <w:rPr>
          <w:rFonts w:ascii="Arimo" w:hAnsi="Arimo" w:cs="Arimo" w:eastAsia="Arimo"/>
          <w:color w:val="000000"/>
          <w:sz w:val="24"/>
          <w:szCs w:val="24"/>
        </w:rPr>
        <w:t xml:space="preserve"> How can notes best capture character development and relationships?
</w:t>
      </w:r>
    </w:p>
    <w:p>
      <w:pPr>
        <w:numPr>
          <w:ilvl w:val="0"/>
          <w:numId w:val="1"/>
        </w:numPr>
        <w:spacing w:after="0" w:before="0" w:line="336" w:lineRule="auto"/>
        <w:jc w:val="start"/>
      </w:pPr>
      <w:r>
        <w:rPr>
          <w:rFonts w:ascii="Arimo Bold" w:hAnsi="Arimo Bold" w:cs="Arimo Bold" w:eastAsia="Arimo Bold"/>
          <w:b/>
          <w:bCs/>
          <w:color w:val="000000"/>
          <w:sz w:val="24"/>
          <w:szCs w:val="24"/>
        </w:rPr>
        <w:t>Theme Tracking:</w:t>
      </w:r>
      <w:r>
        <w:rPr>
          <w:rFonts w:ascii="Arimo" w:hAnsi="Arimo" w:cs="Arimo" w:eastAsia="Arimo"/>
          <w:color w:val="000000"/>
          <w:sz w:val="24"/>
          <w:szCs w:val="24"/>
        </w:rPr>
        <w:t xml:space="preserve"> How can notes effectively trace and analyze recurring themes?
</w:t>
      </w:r>
    </w:p>
    <w:p>
      <w:pPr>
        <w:numPr>
          <w:ilvl w:val="0"/>
          <w:numId w:val="1"/>
        </w:numPr>
        <w:spacing w:after="0" w:before="0" w:line="336" w:lineRule="auto"/>
        <w:jc w:val="start"/>
      </w:pPr>
      <w:r>
        <w:rPr>
          <w:rFonts w:ascii="Arimo Bold" w:hAnsi="Arimo Bold" w:cs="Arimo Bold" w:eastAsia="Arimo Bold"/>
          <w:b/>
          <w:bCs/>
          <w:color w:val="000000"/>
          <w:sz w:val="24"/>
          <w:szCs w:val="24"/>
        </w:rPr>
        <w:t>Literary Device Identification:</w:t>
      </w:r>
      <w:r>
        <w:rPr>
          <w:rFonts w:ascii="Arimo" w:hAnsi="Arimo" w:cs="Arimo" w:eastAsia="Arimo"/>
          <w:color w:val="000000"/>
          <w:sz w:val="24"/>
          <w:szCs w:val="24"/>
        </w:rPr>
        <w:t xml:space="preserve"> How can notes help identify and understand literary devices?
</w:t>
      </w:r>
    </w:p>
    <w:p>
      <w:pPr>
        <w:numPr>
          <w:ilvl w:val="0"/>
          <w:numId w:val="1"/>
        </w:numPr>
        <w:spacing w:after="0" w:before="0" w:line="336" w:lineRule="auto"/>
        <w:jc w:val="start"/>
      </w:pPr>
      <w:r>
        <w:rPr>
          <w:rFonts w:ascii="Arimo Bold" w:hAnsi="Arimo Bold" w:cs="Arimo Bold" w:eastAsia="Arimo Bold"/>
          <w:b/>
          <w:bCs/>
          <w:color w:val="000000"/>
          <w:sz w:val="24"/>
          <w:szCs w:val="24"/>
        </w:rPr>
        <w:t>Contextual Understanding:</w:t>
      </w:r>
      <w:r>
        <w:rPr>
          <w:rFonts w:ascii="Arimo" w:hAnsi="Arimo" w:cs="Arimo" w:eastAsia="Arimo"/>
          <w:color w:val="000000"/>
          <w:sz w:val="24"/>
          <w:szCs w:val="24"/>
        </w:rPr>
        <w:t xml:space="preserve"> How can notes incorporate historical and authorial context?
</w:t>
      </w:r>
    </w:p>
    <w:p>
      <w:pPr>
        <w:spacing w:after="120" w:before="120" w:line="336" w:lineRule="auto"/>
        <w:ind w:firstLine="0" w:start="0"/>
        <w:jc w:val="start"/>
      </w:pPr>
      <w:r>
        <w:rPr>
          <w:rFonts w:ascii="Arimo Bold" w:hAnsi="Arimo Bold" w:cs="Arimo Bold" w:eastAsia="Arimo Bold"/>
          <w:b/>
          <w:bCs/>
          <w:color w:val="000000"/>
          <w:sz w:val="24"/>
          <w:szCs w:val="24"/>
        </w:rPr>
        <w:t>Now, write down your research focus as a question:</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Write your research question here.</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dfc6f6"/>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Research Questions
</w:t>
            </w:r>
          </w:p>
        </w:tc>
      </w:tr>
    </w:tbl>
    <w:p>
      <w:pPr>
        <w:spacing w:after="120" w:before="120" w:line="336" w:lineRule="auto"/>
        <w:ind w:firstLine="0" w:start="0"/>
        <w:jc w:val="start"/>
      </w:pPr>
      <w:r>
        <w:rPr>
          <w:rFonts w:ascii="Arimo" w:hAnsi="Arimo" w:cs="Arimo" w:eastAsia="Arimo"/>
          <w:color w:val="000000"/>
          <w:sz w:val="24"/>
          <w:szCs w:val="24"/>
        </w:rPr>
        <w:t xml:space="preserve">Follow the steps below to complete this section.
</w:t>
      </w:r>
    </w:p>
    <w:p>
      <w:pPr>
        <w:numPr>
          <w:ilvl w:val="0"/>
          <w:numId w:val="2"/>
        </w:numPr>
        <w:spacing w:after="0" w:before="0" w:line="336" w:lineRule="auto"/>
        <w:jc w:val="start"/>
      </w:pPr>
      <w:r>
        <w:rPr>
          <w:rFonts w:ascii="Arimo" w:hAnsi="Arimo" w:cs="Arimo" w:eastAsia="Arimo"/>
          <w:color w:val="000000"/>
          <w:sz w:val="24"/>
          <w:szCs w:val="24"/>
        </w:rPr>
        <w:t xml:space="preserve">Write your central research question related to your chosen focus area.
</w:t>
      </w:r>
    </w:p>
    <w:p>
      <w:pPr>
        <w:numPr>
          <w:ilvl w:val="0"/>
          <w:numId w:val="2"/>
        </w:numPr>
        <w:spacing w:after="0" w:before="0" w:line="336" w:lineRule="auto"/>
        <w:jc w:val="start"/>
      </w:pPr>
      <w:r>
        <w:rPr>
          <w:rFonts w:ascii="Arimo" w:hAnsi="Arimo" w:cs="Arimo" w:eastAsia="Arimo"/>
          <w:color w:val="000000"/>
          <w:sz w:val="24"/>
          <w:szCs w:val="24"/>
        </w:rPr>
        <w:t xml:space="preserve">Develop supporting questions that will help you investigate different aspects of your main question.
</w:t>
      </w:r>
    </w:p>
    <w:p>
      <w:pPr>
        <w:numPr>
          <w:ilvl w:val="0"/>
          <w:numId w:val="2"/>
        </w:numPr>
        <w:spacing w:after="0" w:before="0" w:line="336" w:lineRule="auto"/>
        <w:jc w:val="start"/>
      </w:pPr>
      <w:r>
        <w:rPr>
          <w:rFonts w:ascii="Arimo" w:hAnsi="Arimo" w:cs="Arimo" w:eastAsia="Arimo"/>
          <w:color w:val="000000"/>
          <w:sz w:val="24"/>
          <w:szCs w:val="24"/>
        </w:rPr>
        <w:t xml:space="preserve">Consider how your note-taking template can facilitate answering these questions.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Question Type
</w:t>
            </w:r>
          </w:p>
        </w:tc>
        <w:tc>
          <w:tcPr>
            <w:tcW w:w="4515"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Your Thinking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Central Question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Supporting Question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 Add a row or column</w:t>
            </w:r>
            <w:r>
              <w:rPr>
                <w:rFonts w:ascii="Arimo" w:hAnsi="Arimo" w:cs="Arimo" w:eastAsia="Arimo"/>
                <w:color w:val="000000"/>
                <w:sz w:val="24"/>
                <w:szCs w:val="24"/>
              </w:rPr>
              <w:t xml:space="preserve">* as needed*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dfc6f6"/>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Research and Analyze Sources
</w:t>
            </w:r>
          </w:p>
        </w:tc>
      </w:tr>
    </w:tbl>
    <w:p>
      <w:pPr>
        <w:numPr>
          <w:ilvl w:val="0"/>
          <w:numId w:val="3"/>
        </w:numPr>
        <w:spacing w:after="0" w:before="0" w:line="336" w:lineRule="auto"/>
        <w:jc w:val="start"/>
      </w:pPr>
      <w:r>
        <w:rPr>
          <w:rFonts w:ascii="Arimo Bold" w:hAnsi="Arimo Bold" w:cs="Arimo Bold" w:eastAsia="Arimo Bold"/>
          <w:b/>
          <w:bCs/>
          <w:color w:val="000000"/>
          <w:sz w:val="24"/>
          <w:szCs w:val="24"/>
        </w:rPr>
        <w:t>Primary sources:</w:t>
      </w:r>
      <w:r>
        <w:rPr>
          <w:rFonts w:ascii="Arimo" w:hAnsi="Arimo" w:cs="Arimo" w:eastAsia="Arimo"/>
          <w:color w:val="000000"/>
          <w:sz w:val="24"/>
          <w:szCs w:val="24"/>
        </w:rPr>
        <w:t xml:space="preserve"> These are original materials that provide firsthand accounts or direct evidence concerning a topic. In literature, this could be the </w:t>
      </w:r>
      <w:r>
        <w:rPr>
          <w:rFonts w:ascii="Arimo Bold" w:hAnsi="Arimo Bold" w:cs="Arimo Bold" w:eastAsia="Arimo Bold"/>
          <w:b/>
          <w:bCs/>
          <w:color w:val="000000"/>
          <w:sz w:val="24"/>
          <w:szCs w:val="24"/>
        </w:rPr>
        <w:t>original text</w:t>
      </w:r>
      <w:r>
        <w:rPr>
          <w:rFonts w:ascii="Arimo" w:hAnsi="Arimo" w:cs="Arimo" w:eastAsia="Arimo"/>
          <w:color w:val="000000"/>
          <w:sz w:val="24"/>
          <w:szCs w:val="24"/>
        </w:rPr>
        <w:t xml:space="preserve"> itself, an </w:t>
      </w:r>
      <w:r>
        <w:rPr>
          <w:rFonts w:ascii="Arimo Bold" w:hAnsi="Arimo Bold" w:cs="Arimo Bold" w:eastAsia="Arimo Bold"/>
          <w:b/>
          <w:bCs/>
          <w:color w:val="000000"/>
          <w:sz w:val="24"/>
          <w:szCs w:val="24"/>
        </w:rPr>
        <w:t>author's letters</w:t>
      </w:r>
      <w:r>
        <w:rPr>
          <w:rFonts w:ascii="Arimo" w:hAnsi="Arimo" w:cs="Arimo" w:eastAsia="Arimo"/>
          <w:color w:val="000000"/>
          <w:sz w:val="24"/>
          <w:szCs w:val="24"/>
        </w:rPr>
        <w:t xml:space="preserve">, or </w:t>
      </w:r>
      <w:r>
        <w:rPr>
          <w:rFonts w:ascii="Arimo Bold" w:hAnsi="Arimo Bold" w:cs="Arimo Bold" w:eastAsia="Arimo Bold"/>
          <w:b/>
          <w:bCs/>
          <w:color w:val="000000"/>
          <w:sz w:val="24"/>
          <w:szCs w:val="24"/>
        </w:rPr>
        <w:t>contemporary reviews</w:t>
      </w:r>
      <w:r>
        <w:rPr>
          <w:rFonts w:ascii="Arimo" w:hAnsi="Arimo" w:cs="Arimo" w:eastAsia="Arimo"/>
          <w:color w:val="000000"/>
          <w:sz w:val="24"/>
          <w:szCs w:val="24"/>
        </w:rPr>
        <w:t xml:space="preserve"> (diary, interview, photograph, original record).
</w:t>
      </w:r>
    </w:p>
    <w:p>
      <w:pPr>
        <w:numPr>
          <w:ilvl w:val="0"/>
          <w:numId w:val="3"/>
        </w:numPr>
        <w:spacing w:after="0" w:before="0" w:line="336" w:lineRule="auto"/>
        <w:jc w:val="start"/>
      </w:pPr>
      <w:r>
        <w:rPr>
          <w:rFonts w:ascii="Arimo Bold" w:hAnsi="Arimo Bold" w:cs="Arimo Bold" w:eastAsia="Arimo Bold"/>
          <w:b/>
          <w:bCs/>
          <w:color w:val="000000"/>
          <w:sz w:val="24"/>
          <w:szCs w:val="24"/>
        </w:rPr>
        <w:t>Secondary sources:</w:t>
      </w:r>
      <w:r>
        <w:rPr>
          <w:rFonts w:ascii="Arimo" w:hAnsi="Arimo" w:cs="Arimo" w:eastAsia="Arimo"/>
          <w:color w:val="000000"/>
          <w:sz w:val="24"/>
          <w:szCs w:val="24"/>
        </w:rPr>
        <w:t xml:space="preserve"> These sources offer analysis, interpretation, or evaluation of primary sources. They often provide a broader perspective or commentary on the original material. Examples include </w:t>
      </w:r>
      <w:r>
        <w:rPr>
          <w:rFonts w:ascii="Arimo Bold" w:hAnsi="Arimo Bold" w:cs="Arimo Bold" w:eastAsia="Arimo Bold"/>
          <w:b/>
          <w:bCs/>
          <w:color w:val="000000"/>
          <w:sz w:val="24"/>
          <w:szCs w:val="24"/>
        </w:rPr>
        <w:t>literary criticism</w:t>
      </w: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biographies</w:t>
      </w:r>
      <w:r>
        <w:rPr>
          <w:rFonts w:ascii="Arimo" w:hAnsi="Arimo" w:cs="Arimo" w:eastAsia="Arimo"/>
          <w:color w:val="000000"/>
          <w:sz w:val="24"/>
          <w:szCs w:val="24"/>
        </w:rPr>
        <w:t xml:space="preserve">, or </w:t>
      </w:r>
      <w:r>
        <w:rPr>
          <w:rFonts w:ascii="Arimo Bold" w:hAnsi="Arimo Bold" w:cs="Arimo Bold" w:eastAsia="Arimo Bold"/>
          <w:b/>
          <w:bCs/>
          <w:color w:val="000000"/>
          <w:sz w:val="24"/>
          <w:szCs w:val="24"/>
        </w:rPr>
        <w:t>scholarly articles</w:t>
      </w:r>
      <w:r>
        <w:rPr>
          <w:rFonts w:ascii="Arimo" w:hAnsi="Arimo" w:cs="Arimo" w:eastAsia="Arimo"/>
          <w:color w:val="000000"/>
          <w:sz w:val="24"/>
          <w:szCs w:val="24"/>
        </w:rPr>
        <w:t xml:space="preserve"> (textbook, article, documentary).
</w:t>
      </w:r>
    </w:p>
    <w:p>
      <w:pPr>
        <w:numPr>
          <w:ilvl w:val="0"/>
          <w:numId w:val="3"/>
        </w:numPr>
        <w:spacing w:after="0" w:before="0" w:line="336" w:lineRule="auto"/>
        <w:jc w:val="start"/>
      </w:pPr>
      <w:r>
        <w:rPr>
          <w:rFonts w:ascii="Arimo Bold" w:hAnsi="Arimo Bold" w:cs="Arimo Bold" w:eastAsia="Arimo Bold"/>
          <w:b/>
          <w:bCs/>
          <w:color w:val="000000"/>
          <w:sz w:val="24"/>
          <w:szCs w:val="24"/>
        </w:rPr>
        <w:t>Tertiary sources:</w:t>
      </w:r>
      <w:r>
        <w:rPr>
          <w:rFonts w:ascii="Arimo" w:hAnsi="Arimo" w:cs="Arimo" w:eastAsia="Arimo"/>
          <w:color w:val="000000"/>
          <w:sz w:val="24"/>
          <w:szCs w:val="24"/>
        </w:rPr>
        <w:t xml:space="preserve"> These sources compile and summarize information from primary and secondary sources. They are often used to provide an overview of a topic or to direct researchers to more detailed sources, for example, </w:t>
      </w:r>
      <w:r>
        <w:rPr>
          <w:rFonts w:ascii="Arimo Bold" w:hAnsi="Arimo Bold" w:cs="Arimo Bold" w:eastAsia="Arimo Bold"/>
          <w:b/>
          <w:bCs/>
          <w:color w:val="000000"/>
          <w:sz w:val="24"/>
          <w:szCs w:val="24"/>
        </w:rPr>
        <w:t>indexes</w:t>
      </w: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bibliographies</w:t>
      </w:r>
      <w:r>
        <w:rPr>
          <w:rFonts w:ascii="Arimo" w:hAnsi="Arimo" w:cs="Arimo" w:eastAsia="Arimo"/>
          <w:color w:val="000000"/>
          <w:sz w:val="24"/>
          <w:szCs w:val="24"/>
        </w:rPr>
        <w:t xml:space="preserve">, and </w:t>
      </w:r>
      <w:r>
        <w:rPr>
          <w:rFonts w:ascii="Arimo Bold" w:hAnsi="Arimo Bold" w:cs="Arimo Bold" w:eastAsia="Arimo Bold"/>
          <w:b/>
          <w:bCs/>
          <w:color w:val="000000"/>
          <w:sz w:val="24"/>
          <w:szCs w:val="24"/>
        </w:rPr>
        <w:t>encyclopedias</w:t>
      </w:r>
      <w:r>
        <w:rPr>
          <w:rFonts w:ascii="Arimo" w:hAnsi="Arimo" w:cs="Arimo" w:eastAsia="Arimo"/>
          <w:color w:val="000000"/>
          <w:sz w:val="24"/>
          <w:szCs w:val="24"/>
        </w:rPr>
        <w:t xml:space="preserve"> (encyclopedia, database).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 Research Tip:</w:t>
            </w:r>
            <w:r>
              <w:rPr>
                <w:rFonts w:ascii="Arimo" w:hAnsi="Arimo" w:cs="Arimo" w:eastAsia="Arimo"/>
                <w:color w:val="000000"/>
                <w:sz w:val="24"/>
                <w:szCs w:val="24"/>
              </w:rPr>
              <w:t xml:space="preserve"> When doing research, look for primary and secondary sources from different places. Read books, websites, and articles. Ask: Is this information true? Does it make sense? Use what you learn to answer your questions.
</w:t>
            </w:r>
          </w:p>
        </w:tc>
      </w:tr>
    </w:tbl>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2257"/>
        <w:gridCol w:w="2257"/>
        <w:gridCol w:w="2257"/>
        <w:gridCol w:w="2257"/>
      </w:tblGrid>
      <w:tr>
        <w:tc>
          <w:tcPr>
            <w:tcW w:w="2257"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Source (Book, Website, Article, etc)
</w:t>
            </w:r>
          </w:p>
        </w:tc>
        <w:tc>
          <w:tcPr>
            <w:tcW w:w="2257"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Information Found
</w:t>
            </w:r>
          </w:p>
        </w:tc>
        <w:tc>
          <w:tcPr>
            <w:tcW w:w="2257"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Question Answered
</w:t>
            </w:r>
          </w:p>
        </w:tc>
        <w:tc>
          <w:tcPr>
            <w:tcW w:w="2257" w:type="dxa"/>
            <w:shd w:val="clear" w:color="auto" w:fill="cb6ce6"/>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 xml:space="preserve">Source Type (Primary, Secondary, or Tertiary)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 Add a row or column</w:t>
            </w:r>
            <w:r>
              <w:rPr>
                <w:rFonts w:ascii="Arimo" w:hAnsi="Arimo" w:cs="Arimo" w:eastAsia="Arimo"/>
                <w:color w:val="000000"/>
                <w:sz w:val="24"/>
                <w:szCs w:val="24"/>
              </w:rPr>
              <w:t xml:space="preserve">* as needed*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dfc6f6"/>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Synthesize Your Findings
</w:t>
            </w:r>
          </w:p>
        </w:tc>
      </w:tr>
    </w:tbl>
    <w:p>
      <w:pPr>
        <w:spacing w:after="120" w:before="120" w:line="336" w:lineRule="auto"/>
        <w:ind w:firstLine="0" w:start="0"/>
        <w:jc w:val="start"/>
      </w:pPr>
      <w:r>
        <w:rPr>
          <w:rFonts w:ascii="Arimo" w:hAnsi="Arimo" w:cs="Arimo" w:eastAsia="Arimo"/>
          <w:color w:val="000000"/>
          <w:sz w:val="24"/>
          <w:szCs w:val="24"/>
        </w:rPr>
        <w:t xml:space="preserve">Design a one-page A4 template for literature notes, including:
</w:t>
      </w:r>
    </w:p>
    <w:p>
      <w:pPr>
        <w:numPr>
          <w:ilvl w:val="0"/>
          <w:numId w:val="4"/>
        </w:numPr>
        <w:spacing w:after="0" w:before="0" w:line="336" w:lineRule="auto"/>
        <w:jc w:val="start"/>
      </w:pPr>
      <w:r>
        <w:rPr>
          <w:rFonts w:ascii="Arimo" w:hAnsi="Arimo" w:cs="Arimo" w:eastAsia="Arimo"/>
          <w:color w:val="000000"/>
          <w:sz w:val="24"/>
          <w:szCs w:val="24"/>
        </w:rPr>
        <w:t xml:space="preserve">Main idea
</w:t>
      </w:r>
    </w:p>
    <w:p>
      <w:pPr>
        <w:numPr>
          <w:ilvl w:val="0"/>
          <w:numId w:val="4"/>
        </w:numPr>
        <w:spacing w:after="0" w:before="0" w:line="336" w:lineRule="auto"/>
        <w:jc w:val="start"/>
      </w:pPr>
      <w:r>
        <w:rPr>
          <w:rFonts w:ascii="Arimo" w:hAnsi="Arimo" w:cs="Arimo" w:eastAsia="Arimo"/>
          <w:color w:val="000000"/>
          <w:sz w:val="24"/>
          <w:szCs w:val="24"/>
        </w:rPr>
        <w:t xml:space="preserve">Three evidence blocks
</w:t>
      </w:r>
    </w:p>
    <w:p>
      <w:pPr>
        <w:numPr>
          <w:ilvl w:val="0"/>
          <w:numId w:val="4"/>
        </w:numPr>
        <w:spacing w:after="0" w:before="0" w:line="336" w:lineRule="auto"/>
        <w:jc w:val="start"/>
      </w:pPr>
      <w:r>
        <w:rPr>
          <w:rFonts w:ascii="Arimo" w:hAnsi="Arimo" w:cs="Arimo" w:eastAsia="Arimo"/>
          <w:color w:val="000000"/>
          <w:sz w:val="24"/>
          <w:szCs w:val="24"/>
        </w:rPr>
        <w:t xml:space="preserve">Visuals
</w:t>
      </w:r>
    </w:p>
    <w:p>
      <w:pPr>
        <w:numPr>
          <w:ilvl w:val="0"/>
          <w:numId w:val="4"/>
        </w:numPr>
        <w:spacing w:after="0" w:before="0" w:line="336" w:lineRule="auto"/>
        <w:jc w:val="start"/>
      </w:pPr>
      <w:r>
        <w:rPr>
          <w:rFonts w:ascii="Arimo" w:hAnsi="Arimo" w:cs="Arimo" w:eastAsia="Arimo"/>
          <w:color w:val="000000"/>
          <w:sz w:val="24"/>
          <w:szCs w:val="24"/>
        </w:rPr>
        <w:t xml:space="preserve">Keywords
</w:t>
      </w:r>
    </w:p>
    <w:p>
      <w:pPr>
        <w:numPr>
          <w:ilvl w:val="0"/>
          <w:numId w:val="4"/>
        </w:numPr>
        <w:spacing w:after="0" w:before="0" w:line="336" w:lineRule="auto"/>
        <w:jc w:val="start"/>
      </w:pPr>
      <w:r>
        <w:rPr>
          <w:rFonts w:ascii="Arimo" w:hAnsi="Arimo" w:cs="Arimo" w:eastAsia="Arimo"/>
          <w:color w:val="000000"/>
          <w:sz w:val="24"/>
          <w:szCs w:val="24"/>
        </w:rPr>
        <w:t xml:space="preserve">Sources
</w:t>
      </w:r>
    </w:p>
    <w:p>
      <w:pPr>
        <w:numPr>
          <w:ilvl w:val="0"/>
          <w:numId w:val="4"/>
        </w:numPr>
        <w:spacing w:after="0" w:before="0" w:line="336" w:lineRule="auto"/>
        <w:jc w:val="start"/>
      </w:pPr>
      <w:r>
        <w:rPr>
          <w:rFonts w:ascii="Arimo" w:hAnsi="Arimo" w:cs="Arimo" w:eastAsia="Arimo"/>
          <w:color w:val="000000"/>
          <w:sz w:val="24"/>
          <w:szCs w:val="24"/>
        </w:rPr>
        <w:t xml:space="preserve">Optional extension
</w:t>
      </w:r>
    </w:p>
    <w:p>
      <w:pPr>
        <w:spacing w:after="120" w:before="120" w:line="336" w:lineRule="auto"/>
        <w:ind w:firstLine="0" w:start="0"/>
        <w:jc w:val="start"/>
      </w:pPr>
      <w:r>
        <w:rPr>
          <w:rFonts w:ascii="Arimo" w:hAnsi="Arimo" w:cs="Arimo" w:eastAsia="Arimo"/>
          <w:color w:val="000000"/>
          <w:sz w:val="24"/>
          <w:szCs w:val="24"/>
        </w:rPr>
        <w:t xml:space="preserve">Follow the steps below to complete your template:
</w:t>
      </w:r>
    </w:p>
    <w:p>
      <w:pPr>
        <w:numPr>
          <w:ilvl w:val="0"/>
          <w:numId w:val="5"/>
        </w:numPr>
        <w:spacing w:after="0" w:before="0" w:line="336" w:lineRule="auto"/>
        <w:jc w:val="start"/>
      </w:pPr>
      <w:r>
        <w:rPr>
          <w:rFonts w:ascii="Arimo" w:hAnsi="Arimo" w:cs="Arimo" w:eastAsia="Arimo"/>
          <w:color w:val="000000"/>
          <w:sz w:val="24"/>
          <w:szCs w:val="24"/>
        </w:rPr>
        <w:t xml:space="preserve">Based on your research and focus, create a layout that includes the elements listed above.
</w:t>
      </w:r>
    </w:p>
    <w:p>
      <w:pPr>
        <w:numPr>
          <w:ilvl w:val="0"/>
          <w:numId w:val="5"/>
        </w:numPr>
        <w:spacing w:after="0" w:before="0" w:line="336" w:lineRule="auto"/>
        <w:jc w:val="start"/>
      </w:pPr>
      <w:r>
        <w:rPr>
          <w:rFonts w:ascii="Arimo" w:hAnsi="Arimo" w:cs="Arimo" w:eastAsia="Arimo"/>
          <w:color w:val="000000"/>
          <w:sz w:val="24"/>
          <w:szCs w:val="24"/>
        </w:rPr>
        <w:t xml:space="preserve">Consider how to visually organize the sections to improve readability and usability.
</w:t>
      </w:r>
    </w:p>
    <w:p>
      <w:pPr>
        <w:numPr>
          <w:ilvl w:val="0"/>
          <w:numId w:val="5"/>
        </w:numPr>
        <w:spacing w:after="0" w:before="0" w:line="336" w:lineRule="auto"/>
        <w:jc w:val="start"/>
      </w:pPr>
      <w:r>
        <w:rPr>
          <w:rFonts w:ascii="Arimo" w:hAnsi="Arimo" w:cs="Arimo" w:eastAsia="Arimo"/>
          <w:color w:val="000000"/>
          <w:sz w:val="24"/>
          <w:szCs w:val="24"/>
        </w:rPr>
        <w:t xml:space="preserve">Incorporate space for visuals, keywords, and sources to support comprehensive note-taking.
</w:t>
      </w:r>
    </w:p>
    <w:p>
      <w:pPr>
        <w:spacing w:after="120" w:before="120"/>
        <w:jc w:val="center"/>
      </w:pPr>
      <w:r>
        <w:drawing>
          <wp:inline>
            <wp:extent cx="5734050" cy="5734050"/>
            <wp:docPr id="1" name="Drawing 1" descr="121d69d73-2bf6-4235-8cd3-47fd95cb9286.png"/>
            <wp:cNvGraphicFramePr>
              <a:graphicFrameLocks noChangeAspect="true"/>
            </wp:cNvGraphicFramePr>
            <a:graphic>
              <a:graphicData uri="http://schemas.openxmlformats.org/drawingml/2006/picture">
                <pic:pic xmlns:pic="http://schemas.openxmlformats.org/drawingml/2006/picture">
                  <pic:nvPicPr>
                    <pic:cNvPr id="0" name="Picture 1" descr="121d69d73-2bf6-4235-8cd3-47fd95cb9286.png"/>
                    <pic:cNvPicPr>
                      <a:picLocks noChangeAspect="true"/>
                    </pic:cNvPicPr>
                  </pic:nvPicPr>
                  <pic:blipFill>
                    <a:blip r:embed="rId5"/>
                    <a:stretch>
                      <a:fillRect/>
                    </a:stretch>
                  </pic:blipFill>
                  <pic:spPr>
                    <a:xfrm>
                      <a:off x="0" y="0"/>
                      <a:ext cx="5734050" cy="5734050"/>
                    </a:xfrm>
                    <a:custGeom>
                      <a:pathLst>
                        <a:path h="5734050" w="5734050">
                          <a:moveTo>
                            <a:pt x="0" y="84949"/>
                          </a:moveTo>
                          <a:lnTo>
                            <a:pt x="0" y="5649101"/>
                          </a:lnTo>
                          <a:cubicBezTo>
                            <a:pt x="0" y="5696017"/>
                            <a:pt x="38032" y="5734050"/>
                            <a:pt x="84949" y="5734050"/>
                          </a:cubicBezTo>
                          <a:lnTo>
                            <a:pt x="5649101" y="5734050"/>
                          </a:lnTo>
                          <a:cubicBezTo>
                            <a:pt x="5696017" y="5734050"/>
                            <a:pt x="5734050" y="5696017"/>
                            <a:pt x="5734050" y="5649101"/>
                          </a:cubicBezTo>
                          <a:lnTo>
                            <a:pt x="5734050" y="84949"/>
                          </a:lnTo>
                          <a:cubicBezTo>
                            <a:pt x="5734050" y="38032"/>
                            <a:pt x="5696017" y="0"/>
                            <a:pt x="5649101" y="0"/>
                          </a:cubicBezTo>
                          <a:lnTo>
                            <a:pt x="84949" y="0"/>
                          </a:lnTo>
                          <a:cubicBezTo>
                            <a:pt x="38032" y="0"/>
                            <a:pt x="0" y="38032"/>
                            <a:pt x="0" y="84949"/>
                          </a:cubicBezTo>
                          <a:close/>
                        </a:path>
                      </a:pathLst>
                    </a:custGeom>
                  </pic:spPr>
                </pic:pic>
              </a:graphicData>
            </a:graphic>
          </wp:inline>
        </w:drawing>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e2a9f1"/>
            <w:tcMar>
              <w:top w:w="0"/>
              <w:start w:w="0"/>
              <w:bottom w:w="0"/>
              <w:end w:w="0"/>
            </w:tcMar>
          </w:tcPr>
          <w:p>
            <w:pPr>
              <w:spacing w:after="120" w:before="120" w:line="336" w:lineRule="auto"/>
              <w:ind w:firstLine="0" w:start="0"/>
              <w:jc w:val="start"/>
            </w:pPr>
            <w:r>
              <w:rPr>
                <w:rFonts w:ascii="Source Serif Pro Bold" w:hAnsi="Source Serif Pro Bold" w:cs="Source Serif Pro Bold" w:eastAsia="Source Serif Pro Bold"/>
                <w:b/>
                <w:bCs/>
                <w:color w:val="000000"/>
                <w:sz w:val="40"/>
                <w:szCs w:val="40"/>
              </w:rPr>
              <w:t xml:space="preserve"> Reflection
</w:t>
            </w:r>
          </w:p>
        </w:tc>
      </w:tr>
    </w:tbl>
    <w:p>
      <w:pPr>
        <w:spacing w:after="120" w:before="120" w:line="336" w:lineRule="auto"/>
        <w:ind w:firstLine="0" w:start="0"/>
        <w:jc w:val="start"/>
      </w:pPr>
      <w:r>
        <w:rPr>
          <w:rFonts w:ascii="Arimo Bold" w:hAnsi="Arimo Bold" w:cs="Arimo Bold" w:eastAsia="Arimo Bold"/>
          <w:b/>
          <w:bCs/>
          <w:color w:val="000000"/>
          <w:sz w:val="24"/>
          <w:szCs w:val="24"/>
        </w:rPr>
        <w:t>How did researching different note-taking strategies influence your design?</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Write your answer here.</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Bold" w:hAnsi="Arimo Bold" w:cs="Arimo Bold" w:eastAsia="Arimo Bold"/>
          <w:b/>
          <w:bCs/>
          <w:color w:val="000000"/>
          <w:sz w:val="24"/>
          <w:szCs w:val="24"/>
        </w:rPr>
        <w:t>What challenges did you encounter while designing the template, and how did you overcome them?</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Bold" w:hAnsi="Arimo Bold" w:cs="Arimo Bold" w:eastAsia="Arimo Bold"/>
          <w:b/>
          <w:bCs/>
          <w:color w:val="000000"/>
          <w:sz w:val="24"/>
          <w:szCs w:val="24"/>
        </w:rPr>
        <w:t>How do you think this template will improve your or others' literature study habits?</w:t>
      </w:r>
      <w:r>
        <w:rPr>
          <w:rFonts w:ascii="Arimo" w:hAnsi="Arimo" w:cs="Arimo" w:eastAsia="Arimo"/>
          <w:color w:val="000000"/>
          <w:sz w:val="24"/>
          <w:szCs w:val="24"/>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
        <w:gridCol w:w="8127"/>
      </w:tblGrid>
      <w:tr>
        <w:tc>
          <w:tcPr>
            <w:tcW w:w="903" w:type="dxa"/>
            <w:tcMar>
              <w:top w:w="0"/>
              <w:start w:w="0"/>
              <w:bottom w:w="0"/>
              <w:end w:w="0"/>
            </w:tcMar>
          </w:tcPr>
          <w:p>
            <w:pPr>
              <w:spacing w:after="120" w:before="120"/>
              <w:jc w:val="center"/>
            </w:pPr>
            <w:r>
              <w:drawing>
                <wp:inline>
                  <wp:extent cx="428625" cy="428625"/>
                  <wp:docPr id="2" name="Drawing 2" descr="be1dc003-e4b4-4571-9f84-bcb4bafd9518.png"/>
                  <wp:cNvGraphicFramePr>
                    <a:graphicFrameLocks noChangeAspect="true"/>
                  </wp:cNvGraphicFramePr>
                  <a:graphic>
                    <a:graphicData uri="http://schemas.openxmlformats.org/drawingml/2006/picture">
                      <pic:pic xmlns:pic="http://schemas.openxmlformats.org/drawingml/2006/picture">
                        <pic:nvPicPr>
                          <pic:cNvPr id="0" name="Picture 2" descr="be1dc003-e4b4-4571-9f84-bcb4bafd9518.png"/>
                          <pic:cNvPicPr>
                            <a:picLocks noChangeAspect="true"/>
                          </pic:cNvPicPr>
                        </pic:nvPicPr>
                        <pic:blipFill>
                          <a:blip r:embed="rId6"/>
                          <a:srcRect l="0" t="0" r="0" b="0"/>
                          <a:stretch>
                            <a:fillRect/>
                          </a:stretch>
                        </pic:blipFill>
                        <pic:spPr>
                          <a:xfrm flipH="false" flipV="false">
                            <a:off x="0" y="0"/>
                            <a:ext cx="428625" cy="428625"/>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8127" w:type="dxa"/>
            <w:tcMar>
              <w:top w:w="0"/>
              <w:start w:w="0"/>
              <w:bottom w:w="0"/>
              <w:end w:w="0"/>
            </w:tcMar>
          </w:tcPr>
          <w:p>
            <w:pPr>
              <w:spacing w:after="120" w:before="120" w:line="336" w:lineRule="auto"/>
              <w:ind w:firstLine="0" w:start="0"/>
              <w:jc w:val="start"/>
            </w:pPr>
            <w:r>
              <w:rPr>
                <w:rFonts w:ascii="Arimo Bold" w:hAnsi="Arimo Bold" w:cs="Arimo Bold" w:eastAsia="Arimo Bold"/>
                <w:b/>
                <w:bCs/>
                <w:color w:val="7731d8"/>
                <w:sz w:val="28"/>
                <w:szCs w:val="28"/>
              </w:rPr>
              <w:t xml:space="preserve">Teaching note
</w:t>
            </w:r>
          </w:p>
          <w:p>
            <w:pPr>
              <w:spacing w:after="120" w:before="120" w:line="336" w:lineRule="auto"/>
              <w:ind w:firstLine="0" w:start="0"/>
              <w:jc w:val="start"/>
            </w:pPr>
            <w:r>
              <w:rPr>
                <w:rFonts w:ascii="Arimo" w:hAnsi="Arimo" w:cs="Arimo" w:eastAsia="Arimo"/>
                <w:color w:val="0d1216"/>
                <w:sz w:val="24"/>
                <w:szCs w:val="24"/>
              </w:rPr>
              <w:t xml:space="preserve">This was generated by AI to give you a head start — not the final word. You know your students best, so give it a once-over and make it yours.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Source Serif Pro Bold">
    <w:panose1 w:val="02040803050405020204"/>
    <w:charset w:characterSet="1"/>
    <w:embedBold r:id="rId5"/>
  </w:font>
  <w:font w:name="Montserrat Extra-Light">
    <w:panose1 w:val="00000300000000000000"/>
    <w:charset w:characterSet="1"/>
    <w:embedRegular r:id="rId6"/>
  </w:font>
  <w:font w:name="Montserrat Heavy Italics">
    <w:panose1 w:val="00000A00000000000000"/>
    <w:charset w:characterSet="1"/>
    <w:embedBoldItalic r:id="rId7"/>
  </w:font>
  <w:font w:name="Montserrat Medium">
    <w:panose1 w:val="00000600000000000000"/>
    <w:charset w:characterSet="1"/>
    <w:embedBold r:id="rId8"/>
  </w:font>
  <w:font w:name="Montserrat Light">
    <w:panose1 w:val="00000400000000000000"/>
    <w:charset w:characterSet="1"/>
    <w:embedRegular r:id="rId9"/>
  </w:font>
  <w:font w:name="Montserrat">
    <w:panose1 w:val="00000500000000000000"/>
    <w:charset w:characterSet="1"/>
    <w:embedRegular r:id="rId10"/>
  </w:font>
  <w:font w:name="Montserrat Medium Italics">
    <w:panose1 w:val="00000600000000000000"/>
    <w:charset w:characterSet="1"/>
    <w:embedBoldItalic r:id="rId11"/>
  </w:font>
  <w:font w:name="Montserrat Bold">
    <w:panose1 w:val="00000800000000000000"/>
    <w:charset w:characterSet="1"/>
    <w:embedBold r:id="rId12"/>
  </w:font>
  <w:font w:name="Montserrat Ultra-Bold">
    <w:panose1 w:val="00000900000000000000"/>
    <w:charset w:characterSet="1"/>
    <w:embedBold r:id="rId13"/>
  </w:font>
  <w:font w:name="Montserrat Thin Italics">
    <w:panose1 w:val="00000300000000000000"/>
    <w:charset w:characterSet="1"/>
    <w:embedItalic r:id="rId14"/>
  </w:font>
  <w:font w:name="Montserrat Thin">
    <w:panose1 w:val="00000300000000000000"/>
    <w:charset w:characterSet="1"/>
    <w:embedRegular r:id="rId15"/>
  </w:font>
  <w:font w:name="Montserrat Light Italics">
    <w:panose1 w:val="00000400000000000000"/>
    <w:charset w:characterSet="1"/>
    <w:embedItalic r:id="rId16"/>
  </w:font>
  <w:font w:name="Montserrat Heavy">
    <w:panose1 w:val="00000A00000000000000"/>
    <w:charset w:characterSet="1"/>
    <w:embedBold r:id="rId17"/>
  </w:font>
  <w:font w:name="Montserrat Ultra-Bold Italics">
    <w:panose1 w:val="00000900000000000000"/>
    <w:charset w:characterSet="1"/>
    <w:embedBoldItalic r:id="rId18"/>
  </w:font>
  <w:font w:name="Montserrat Semi-Bold Italics">
    <w:panose1 w:val="00000700000000000000"/>
    <w:charset w:characterSet="1"/>
    <w:embedBoldItalic r:id="rId19"/>
  </w:font>
  <w:font w:name="Montserrat Extra-Light Italics">
    <w:panose1 w:val="00000300000000000000"/>
    <w:charset w:characterSet="1"/>
    <w:embedItalic r:id="rId20"/>
  </w:font>
  <w:font w:name="Montserrat Bold Italics">
    <w:panose1 w:val="00000800000000000000"/>
    <w:charset w:characterSet="1"/>
    <w:embedBoldItalic r:id="rId21"/>
  </w:font>
  <w:font w:name="Montserrat Semi-Bold">
    <w:panose1 w:val="00000700000000000000"/>
    <w:charset w:characterSet="1"/>
    <w:embedBold r:id="rId22"/>
  </w:font>
  <w:font w:name="Montserrat Italics">
    <w:panose1 w:val="00000500000000000000"/>
    <w:charset w:characterSet="1"/>
    <w:embedItalic r:id="rId23"/>
  </w:font>
  <w:font w:name="DM Sans">
    <w:panose1 w:val="00000000000000000000"/>
    <w:charset w:characterSet="1"/>
    <w:embedRegular r:id="rId24"/>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20" Target="fonts/font20.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2026-04-06T06:36:35Z</dcterms:created>
  <dc:creator>Apache POI</dc:creator>
  <dc:title>Lang Note Template</dc:title>
</cp:coreProperties>
</file>