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bab399e1-65d3-4718-8df0-7d86f20d7ec1.png"/>
            <wp:cNvGraphicFramePr>
              <a:graphicFrameLocks noChangeAspect="true"/>
            </wp:cNvGraphicFramePr>
            <a:graphic>
              <a:graphicData uri="http://schemas.openxmlformats.org/drawingml/2006/picture">
                <pic:pic xmlns:pic="http://schemas.openxmlformats.org/drawingml/2006/picture">
                  <pic:nvPicPr>
                    <pic:cNvPr id="0" name="Picture 0" descr="1bab399e1-65d3-4718-8df0-7d86f20d7ec1.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 xml:space="preserve">🎯 In this activity, you will design and organize templates for literature notes. You'll identify key elements such as plot, character analysis, theme, and literary devices, ensuring clarity and usefulness for future study and revision.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Roboto Bold" w:hAnsi="Roboto Bold" w:cs="Roboto Bold" w:eastAsia="Roboto Bold"/>
                <w:b/>
                <w:bCs/>
                <w:color w:val="ffffff"/>
                <w:sz w:val="40"/>
                <w:szCs w:val="40"/>
              </w:rPr>
              <w:t xml:space="preserve">📖 Read the Given Text
</w:t>
            </w:r>
          </w:p>
        </w:tc>
      </w:tr>
    </w:tbl>
    <w:p>
      <w:pPr>
        <w:spacing w:after="120" w:before="120" w:line="336" w:lineRule="auto"/>
        <w:ind w:firstLine="0" w:start="0"/>
        <w:jc w:val="start"/>
      </w:pPr>
      <w:r>
        <w:rPr>
          <w:rFonts w:ascii="Arimo" w:hAnsi="Arimo" w:cs="Arimo" w:eastAsia="Arimo"/>
          <w:color w:val="000000"/>
          <w:sz w:val="24"/>
          <w:szCs w:val="24"/>
        </w:rPr>
        <w:t xml:space="preserve">Read the following passage.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 xml:space="preserve">In a small village nestled between rolling hills, lived a young woman named Elara. Elara was known for her kindness and her love for old books. One day, while exploring the attic of her grandmother's house, she discovered a hidden journal. The journal belonged to a traveler who had visited the village a century ago. As Elara read through the faded pages, she became captivated by the traveler's tales of faraway lands and mythical creatures. The journal spoke of a hidden portal, located somewhere in the village, that led to a world of endless possibilities. Driven by curiosity and a thirst for adventure, Elara decided to embark on a quest to find the portal. Along her journey, she encountered mysterious figures, solved ancient riddles, and faced daunting challenges. With each step, Elara's determination grew stronger, and she realized that the greatest adventure lies not in the destination, but in the journey itself.
</w:t>
            </w:r>
          </w:p>
          <w:p>
            <w:pPr>
              <w:spacing w:after="120" w:before="120" w:line="336" w:lineRule="auto"/>
              <w:ind w:firstLine="0" w:start="0"/>
              <w:jc w:val="start"/>
            </w:pPr>
            <w:r>
              <w:rPr>
                <w:rFonts w:ascii="Arimo Bold Italics" w:hAnsi="Arimo Bold Italics" w:cs="Arimo Bold Italics" w:eastAsia="Arimo Bold Italics"/>
                <w:b/>
                <w:bCs/>
                <w:i/>
                <w:iCs/>
                <w:color w:val="000000"/>
                <w:sz w:val="24"/>
                <w:szCs w:val="24"/>
              </w:rPr>
              <w:t>📍This passage was created using AI.</w:t>
            </w: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Roboto Bold" w:hAnsi="Roboto Bold" w:cs="Roboto Bold" w:eastAsia="Roboto Bold"/>
                <w:b/>
                <w:bCs/>
                <w:color w:val="ffffff"/>
                <w:sz w:val="40"/>
                <w:szCs w:val="40"/>
              </w:rPr>
              <w:t xml:space="preserve">🧐 Define Your Research Focus
</w:t>
            </w:r>
          </w:p>
        </w:tc>
      </w:tr>
    </w:tbl>
    <w:p>
      <w:pPr>
        <w:spacing w:after="120" w:before="120" w:line="336" w:lineRule="auto"/>
        <w:ind w:firstLine="0" w:start="0"/>
        <w:jc w:val="start"/>
      </w:pPr>
      <w:r>
        <w:rPr>
          <w:rFonts w:ascii="Arimo" w:hAnsi="Arimo" w:cs="Arimo" w:eastAsia="Arimo"/>
          <w:color w:val="000000"/>
          <w:sz w:val="24"/>
          <w:szCs w:val="24"/>
        </w:rPr>
        <w:t xml:space="preserve">Explore the following thematic options and choose a guiding question for your research:
</w:t>
      </w:r>
    </w:p>
    <w:p>
      <w:pPr>
        <w:numPr>
          <w:ilvl w:val="0"/>
          <w:numId w:val="1"/>
        </w:numPr>
        <w:spacing w:after="0" w:before="0" w:line="336" w:lineRule="auto"/>
        <w:jc w:val="start"/>
      </w:pPr>
      <w:r>
        <w:rPr>
          <w:rFonts w:ascii="Arimo Bold" w:hAnsi="Arimo Bold" w:cs="Arimo Bold" w:eastAsia="Arimo Bold"/>
          <w:b/>
          <w:bCs/>
          <w:color w:val="000000"/>
          <w:sz w:val="24"/>
          <w:szCs w:val="24"/>
        </w:rPr>
        <w:t>Character Analysis:</w:t>
      </w:r>
      <w:r>
        <w:rPr>
          <w:rFonts w:ascii="Arimo" w:hAnsi="Arimo" w:cs="Arimo" w:eastAsia="Arimo"/>
          <w:color w:val="000000"/>
          <w:sz w:val="24"/>
          <w:szCs w:val="24"/>
        </w:rPr>
        <w:t xml:space="preserve"> How does Elara's personality drive the plot?
</w:t>
      </w:r>
    </w:p>
    <w:p>
      <w:pPr>
        <w:numPr>
          <w:ilvl w:val="0"/>
          <w:numId w:val="1"/>
        </w:numPr>
        <w:spacing w:after="0" w:before="0" w:line="336" w:lineRule="auto"/>
        <w:jc w:val="start"/>
      </w:pPr>
      <w:r>
        <w:rPr>
          <w:rFonts w:ascii="Arimo Bold" w:hAnsi="Arimo Bold" w:cs="Arimo Bold" w:eastAsia="Arimo Bold"/>
          <w:b/>
          <w:bCs/>
          <w:color w:val="000000"/>
          <w:sz w:val="24"/>
          <w:szCs w:val="24"/>
        </w:rPr>
        <w:t>Theme Identification:</w:t>
      </w:r>
      <w:r>
        <w:rPr>
          <w:rFonts w:ascii="Arimo" w:hAnsi="Arimo" w:cs="Arimo" w:eastAsia="Arimo"/>
          <w:color w:val="000000"/>
          <w:sz w:val="24"/>
          <w:szCs w:val="24"/>
        </w:rPr>
        <w:t xml:space="preserve"> What are the central themes in the passage, and how are they explored?
</w:t>
      </w:r>
    </w:p>
    <w:p>
      <w:pPr>
        <w:numPr>
          <w:ilvl w:val="0"/>
          <w:numId w:val="1"/>
        </w:numPr>
        <w:spacing w:after="0" w:before="0" w:line="336" w:lineRule="auto"/>
        <w:jc w:val="start"/>
      </w:pPr>
      <w:r>
        <w:rPr>
          <w:rFonts w:ascii="Arimo Bold" w:hAnsi="Arimo Bold" w:cs="Arimo Bold" w:eastAsia="Arimo Bold"/>
          <w:b/>
          <w:bCs/>
          <w:color w:val="000000"/>
          <w:sz w:val="24"/>
          <w:szCs w:val="24"/>
        </w:rPr>
        <w:t>Literary Devices:</w:t>
      </w:r>
      <w:r>
        <w:rPr>
          <w:rFonts w:ascii="Arimo" w:hAnsi="Arimo" w:cs="Arimo" w:eastAsia="Arimo"/>
          <w:color w:val="000000"/>
          <w:sz w:val="24"/>
          <w:szCs w:val="24"/>
        </w:rPr>
        <w:t xml:space="preserve"> What literary devices are used, and what impact do they have on the text?
</w:t>
      </w:r>
    </w:p>
    <w:p>
      <w:pPr>
        <w:spacing w:after="120" w:before="120" w:line="336" w:lineRule="auto"/>
        <w:ind w:firstLine="0" w:start="0"/>
        <w:jc w:val="start"/>
      </w:pPr>
      <w:r>
        <w:rPr>
          <w:rFonts w:ascii="Arimo Bold" w:hAnsi="Arimo Bold" w:cs="Arimo Bold" w:eastAsia="Arimo Bold"/>
          <w:b/>
          <w:bCs/>
          <w:color w:val="000000"/>
          <w:sz w:val="24"/>
          <w:szCs w:val="24"/>
        </w:rPr>
        <w:t>Now, write down your research focus as a question:</w:t>
      </w:r>
      <w:r>
        <w:rPr>
          <w:rFonts w:ascii="Arimo" w:hAnsi="Arimo" w:cs="Arimo" w:eastAsia="Arimo"/>
          <w:color w:val="000000"/>
          <w:sz w:val="24"/>
          <w:szCs w:val="24"/>
        </w:rPr>
        <w:t xml:space="preserve">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9030"/>
      </w:tblGrid>
      <w:tr>
        <w:tc>
          <w:tcPr>
            <w:tcW w:w="903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[Write your research question here.]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Roboto Bold" w:hAnsi="Roboto Bold" w:cs="Roboto Bold" w:eastAsia="Roboto Bold"/>
                <w:b/>
                <w:bCs/>
                <w:color w:val="ffffff"/>
                <w:sz w:val="40"/>
                <w:szCs w:val="40"/>
              </w:rPr>
              <w:t xml:space="preserve">❓ Research Questions
</w:t>
            </w:r>
          </w:p>
        </w:tc>
      </w:tr>
    </w:tbl>
    <w:p>
      <w:pPr>
        <w:spacing w:after="120" w:before="120" w:line="336" w:lineRule="auto"/>
        <w:ind w:firstLine="0" w:start="0"/>
        <w:jc w:val="start"/>
      </w:pPr>
      <w:r>
        <w:rPr>
          <w:rFonts w:ascii="Arimo" w:hAnsi="Arimo" w:cs="Arimo" w:eastAsia="Arimo"/>
          <w:color w:val="000000"/>
          <w:sz w:val="24"/>
          <w:szCs w:val="24"/>
        </w:rPr>
        <w:t xml:space="preserve">Follow the steps below to complete this section:
</w:t>
      </w:r>
    </w:p>
    <w:p>
      <w:pPr>
        <w:numPr>
          <w:ilvl w:val="0"/>
          <w:numId w:val="2"/>
        </w:numPr>
        <w:spacing w:after="0" w:before="0" w:line="336" w:lineRule="auto"/>
        <w:jc w:val="start"/>
      </w:pPr>
      <w:r>
        <w:rPr>
          <w:rFonts w:ascii="Arimo" w:hAnsi="Arimo" w:cs="Arimo" w:eastAsia="Arimo"/>
          <w:color w:val="000000"/>
          <w:sz w:val="24"/>
          <w:szCs w:val="24"/>
        </w:rPr>
        <w:t xml:space="preserve">Based on your research focus, create a central question that guides your analysis.
</w:t>
      </w:r>
    </w:p>
    <w:p>
      <w:pPr>
        <w:numPr>
          <w:ilvl w:val="0"/>
          <w:numId w:val="2"/>
        </w:numPr>
        <w:spacing w:after="0" w:before="0" w:line="336" w:lineRule="auto"/>
        <w:jc w:val="start"/>
      </w:pPr>
      <w:r>
        <w:rPr>
          <w:rFonts w:ascii="Arimo" w:hAnsi="Arimo" w:cs="Arimo" w:eastAsia="Arimo"/>
          <w:color w:val="000000"/>
          <w:sz w:val="24"/>
          <w:szCs w:val="24"/>
        </w:rPr>
        <w:t xml:space="preserve">Develop supporting questions that delve deeper into specific aspects of the passage.
</w:t>
      </w:r>
    </w:p>
    <w:p>
      <w:pPr>
        <w:numPr>
          <w:ilvl w:val="0"/>
          <w:numId w:val="2"/>
        </w:numPr>
        <w:spacing w:after="0" w:before="0" w:line="336" w:lineRule="auto"/>
        <w:jc w:val="start"/>
      </w:pPr>
      <w:r>
        <w:rPr>
          <w:rFonts w:ascii="Arimo" w:hAnsi="Arimo" w:cs="Arimo" w:eastAsia="Arimo"/>
          <w:color w:val="000000"/>
          <w:sz w:val="24"/>
          <w:szCs w:val="24"/>
        </w:rPr>
        <w:t xml:space="preserve">Use the table to organize your questions and thoughts.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4515"/>
        <w:gridCol w:w="4515"/>
      </w:tblGrid>
      <w:tr>
        <w:tc>
          <w:tcPr>
            <w:tcW w:w="4515" w:type="dxa"/>
            <w:shd w:val="clear" w:color="auto" w:fill="034939"/>
            <w:tcMar>
              <w:top w:w="180"/>
              <w:start w:w="180"/>
              <w:bottom w:w="180"/>
              <w:end w:w="180"/>
            </w:tcMar>
          </w:tcPr>
          <w:p>
            <w:pPr>
              <w:spacing w:after="120" w:before="120" w:line="336" w:lineRule="auto"/>
              <w:ind w:firstLine="0" w:start="0"/>
              <w:jc w:val="start"/>
            </w:pPr>
            <w:r>
              <w:rPr>
                <w:rFonts w:ascii="Arimo Bold" w:hAnsi="Arimo Bold" w:cs="Arimo Bold" w:eastAsia="Arimo Bold"/>
                <w:b/>
                <w:bCs/>
                <w:color w:val="ffffff"/>
                <w:sz w:val="24"/>
                <w:szCs w:val="24"/>
              </w:rPr>
              <w:t xml:space="preserve">Question Type
</w:t>
            </w:r>
          </w:p>
        </w:tc>
        <w:tc>
          <w:tcPr>
            <w:tcW w:w="4515" w:type="dxa"/>
            <w:shd w:val="clear" w:color="auto" w:fill="034939"/>
            <w:tcMar>
              <w:top w:w="180"/>
              <w:start w:w="180"/>
              <w:bottom w:w="180"/>
              <w:end w:w="180"/>
            </w:tcMar>
          </w:tcPr>
          <w:p>
            <w:pPr>
              <w:spacing w:after="120" w:before="120" w:line="336" w:lineRule="auto"/>
              <w:ind w:firstLine="0" w:start="0"/>
              <w:jc w:val="start"/>
            </w:pPr>
            <w:r>
              <w:rPr>
                <w:rFonts w:ascii="Arimo Bold" w:hAnsi="Arimo Bold" w:cs="Arimo Bold" w:eastAsia="Arimo Bold"/>
                <w:b/>
                <w:bCs/>
                <w:color w:val="ffffff"/>
                <w:sz w:val="24"/>
                <w:szCs w:val="24"/>
              </w:rPr>
              <w:t xml:space="preserve">Your Thinking
</w:t>
            </w:r>
          </w:p>
        </w:tc>
      </w:tr>
      <w:tr>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Central Question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Supporting Question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Arimo Bold Italics" w:hAnsi="Arimo Bold Italics" w:cs="Arimo Bold Italics" w:eastAsia="Arimo Bold Italics"/>
                <w:b/>
                <w:bCs/>
                <w:i/>
                <w:iCs/>
                <w:color w:val="000000"/>
                <w:sz w:val="24"/>
                <w:szCs w:val="24"/>
              </w:rPr>
              <w:t>+ Add a row or column</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Roboto Bold" w:hAnsi="Roboto Bold" w:cs="Roboto Bold" w:eastAsia="Roboto Bold"/>
                <w:b/>
                <w:bCs/>
                <w:color w:val="ffffff"/>
                <w:sz w:val="40"/>
                <w:szCs w:val="40"/>
              </w:rPr>
              <w:t xml:space="preserve">📚 Research and Analyze Sources
</w:t>
            </w:r>
          </w:p>
        </w:tc>
      </w:tr>
    </w:tbl>
    <w:p>
      <w:pPr>
        <w:numPr>
          <w:ilvl w:val="0"/>
          <w:numId w:val="3"/>
        </w:numPr>
        <w:spacing w:after="0" w:before="0" w:line="336" w:lineRule="auto"/>
        <w:jc w:val="start"/>
      </w:pPr>
      <w:r>
        <w:rPr>
          <w:rFonts w:ascii="Arimo Bold" w:hAnsi="Arimo Bold" w:cs="Arimo Bold" w:eastAsia="Arimo Bold"/>
          <w:b/>
          <w:bCs/>
          <w:color w:val="000000"/>
          <w:sz w:val="24"/>
          <w:szCs w:val="24"/>
        </w:rPr>
        <w:t>Primary sources:</w:t>
      </w:r>
      <w:r>
        <w:rPr>
          <w:rFonts w:ascii="Arimo" w:hAnsi="Arimo" w:cs="Arimo" w:eastAsia="Arimo"/>
          <w:color w:val="000000"/>
          <w:sz w:val="24"/>
          <w:szCs w:val="24"/>
        </w:rPr>
        <w:t xml:space="preserve"> These are original materials that provide firsthand accounts or direct evidence concerning a topic. They offer direct insights into the subject of your research (diary, interview, photograph, original record).
</w:t>
      </w:r>
    </w:p>
    <w:p>
      <w:pPr>
        <w:numPr>
          <w:ilvl w:val="0"/>
          <w:numId w:val="3"/>
        </w:numPr>
        <w:spacing w:after="0" w:before="0" w:line="336" w:lineRule="auto"/>
        <w:jc w:val="start"/>
      </w:pPr>
      <w:r>
        <w:rPr>
          <w:rFonts w:ascii="Arimo Bold" w:hAnsi="Arimo Bold" w:cs="Arimo Bold" w:eastAsia="Arimo Bold"/>
          <w:b/>
          <w:bCs/>
          <w:color w:val="000000"/>
          <w:sz w:val="24"/>
          <w:szCs w:val="24"/>
        </w:rPr>
        <w:t>Secondary sources:</w:t>
      </w:r>
      <w:r>
        <w:rPr>
          <w:rFonts w:ascii="Arimo" w:hAnsi="Arimo" w:cs="Arimo" w:eastAsia="Arimo"/>
          <w:color w:val="000000"/>
          <w:sz w:val="24"/>
          <w:szCs w:val="24"/>
        </w:rPr>
        <w:t xml:space="preserve"> These sources analyze, interpret, or evaluate primary sources. They offer commentary and synthesis, providing a broader perspective on the topic (textbook, article, documentary).
</w:t>
      </w:r>
    </w:p>
    <w:p>
      <w:pPr>
        <w:numPr>
          <w:ilvl w:val="0"/>
          <w:numId w:val="3"/>
        </w:numPr>
        <w:spacing w:after="0" w:before="0" w:line="336" w:lineRule="auto"/>
        <w:jc w:val="start"/>
      </w:pPr>
      <w:r>
        <w:rPr>
          <w:rFonts w:ascii="Arimo Bold" w:hAnsi="Arimo Bold" w:cs="Arimo Bold" w:eastAsia="Arimo Bold"/>
          <w:b/>
          <w:bCs/>
          <w:color w:val="000000"/>
          <w:sz w:val="24"/>
          <w:szCs w:val="24"/>
        </w:rPr>
        <w:t>Tertiary sources:</w:t>
      </w:r>
      <w:r>
        <w:rPr>
          <w:rFonts w:ascii="Arimo" w:hAnsi="Arimo" w:cs="Arimo" w:eastAsia="Arimo"/>
          <w:color w:val="000000"/>
          <w:sz w:val="24"/>
          <w:szCs w:val="24"/>
        </w:rPr>
        <w:t xml:space="preserve"> These sources compile and summarize information from primary and secondary sources. They provide an overview of the topic and can help you get started with your research (encyclopedia, database).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 Research Tip:</w:t>
            </w:r>
            <w:r>
              <w:rPr>
                <w:rFonts w:ascii="Arimo" w:hAnsi="Arimo" w:cs="Arimo" w:eastAsia="Arimo"/>
                <w:color w:val="000000"/>
                <w:sz w:val="24"/>
                <w:szCs w:val="24"/>
              </w:rPr>
              <w:t xml:space="preserve"> When doing research, look for primary and secondary sources from different places. Read books, websites, and articles. Ask: Is this information true? Does it make sense? Use what you learn to answer your questions.
</w:t>
            </w:r>
          </w:p>
        </w:tc>
      </w:tr>
    </w:tbl>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2257"/>
        <w:gridCol w:w="2257"/>
        <w:gridCol w:w="2257"/>
        <w:gridCol w:w="2257"/>
      </w:tblGrid>
      <w:tr>
        <w:tc>
          <w:tcPr>
            <w:tcW w:w="2257" w:type="dxa"/>
            <w:shd w:val="clear" w:color="auto" w:fill="034939"/>
            <w:tcMar>
              <w:top w:w="180"/>
              <w:start w:w="180"/>
              <w:bottom w:w="180"/>
              <w:end w:w="180"/>
            </w:tcMar>
          </w:tcPr>
          <w:p>
            <w:pPr>
              <w:spacing w:after="120" w:before="120" w:line="336" w:lineRule="auto"/>
              <w:ind w:firstLine="0" w:start="0"/>
              <w:jc w:val="start"/>
            </w:pPr>
            <w:r>
              <w:rPr>
                <w:rFonts w:ascii="Arimo Bold" w:hAnsi="Arimo Bold" w:cs="Arimo Bold" w:eastAsia="Arimo Bold"/>
                <w:b/>
                <w:bCs/>
                <w:color w:val="ffffff"/>
                <w:sz w:val="24"/>
                <w:szCs w:val="24"/>
              </w:rPr>
              <w:t xml:space="preserve">Source (Book, Website, Article, etc)
</w:t>
            </w:r>
          </w:p>
        </w:tc>
        <w:tc>
          <w:tcPr>
            <w:tcW w:w="2257" w:type="dxa"/>
            <w:shd w:val="clear" w:color="auto" w:fill="034939"/>
            <w:tcMar>
              <w:top w:w="180"/>
              <w:start w:w="180"/>
              <w:bottom w:w="180"/>
              <w:end w:w="180"/>
            </w:tcMar>
          </w:tcPr>
          <w:p>
            <w:pPr>
              <w:spacing w:after="120" w:before="120" w:line="336" w:lineRule="auto"/>
              <w:ind w:firstLine="0" w:start="0"/>
              <w:jc w:val="start"/>
            </w:pPr>
            <w:r>
              <w:rPr>
                <w:rFonts w:ascii="Arimo Bold" w:hAnsi="Arimo Bold" w:cs="Arimo Bold" w:eastAsia="Arimo Bold"/>
                <w:b/>
                <w:bCs/>
                <w:color w:val="ffffff"/>
                <w:sz w:val="24"/>
                <w:szCs w:val="24"/>
              </w:rPr>
              <w:t xml:space="preserve">Information Found
</w:t>
            </w:r>
          </w:p>
        </w:tc>
        <w:tc>
          <w:tcPr>
            <w:tcW w:w="2257" w:type="dxa"/>
            <w:shd w:val="clear" w:color="auto" w:fill="034939"/>
            <w:tcMar>
              <w:top w:w="180"/>
              <w:start w:w="180"/>
              <w:bottom w:w="180"/>
              <w:end w:w="180"/>
            </w:tcMar>
          </w:tcPr>
          <w:p>
            <w:pPr>
              <w:spacing w:after="120" w:before="120" w:line="336" w:lineRule="auto"/>
              <w:ind w:firstLine="0" w:start="0"/>
              <w:jc w:val="start"/>
            </w:pPr>
            <w:r>
              <w:rPr>
                <w:rFonts w:ascii="Arimo Bold" w:hAnsi="Arimo Bold" w:cs="Arimo Bold" w:eastAsia="Arimo Bold"/>
                <w:b/>
                <w:bCs/>
                <w:color w:val="ffffff"/>
                <w:sz w:val="24"/>
                <w:szCs w:val="24"/>
              </w:rPr>
              <w:t xml:space="preserve">Question Answered
</w:t>
            </w:r>
          </w:p>
        </w:tc>
        <w:tc>
          <w:tcPr>
            <w:tcW w:w="2257" w:type="dxa"/>
            <w:shd w:val="clear" w:color="auto" w:fill="034939"/>
            <w:tcMar>
              <w:top w:w="180"/>
              <w:start w:w="180"/>
              <w:bottom w:w="180"/>
              <w:end w:w="180"/>
            </w:tcMar>
          </w:tcPr>
          <w:p>
            <w:pPr>
              <w:spacing w:after="120" w:before="120" w:line="336" w:lineRule="auto"/>
              <w:ind w:firstLine="0" w:start="0"/>
              <w:jc w:val="start"/>
            </w:pPr>
            <w:r>
              <w:rPr>
                <w:rFonts w:ascii="Arimo Bold" w:hAnsi="Arimo Bold" w:cs="Arimo Bold" w:eastAsia="Arimo Bold"/>
                <w:b/>
                <w:bCs/>
                <w:color w:val="ffffff"/>
                <w:sz w:val="24"/>
                <w:szCs w:val="24"/>
              </w:rPr>
              <w:t xml:space="preserve">Source Type (Primary, Secondary, or Tertiary)
</w:t>
            </w:r>
          </w:p>
        </w:tc>
      </w:tr>
      <w:tr>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Arimo Bold Italics" w:hAnsi="Arimo Bold Italics" w:cs="Arimo Bold Italics" w:eastAsia="Arimo Bold Italics"/>
                <w:b/>
                <w:bCs/>
                <w:i/>
                <w:iCs/>
                <w:color w:val="000000"/>
                <w:sz w:val="24"/>
                <w:szCs w:val="24"/>
              </w:rPr>
              <w:t>+ Add a row or column</w:t>
            </w: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Roboto Bold" w:hAnsi="Roboto Bold" w:cs="Roboto Bold" w:eastAsia="Roboto Bold"/>
                <w:b/>
                <w:bCs/>
                <w:color w:val="ffffff"/>
                <w:sz w:val="40"/>
                <w:szCs w:val="40"/>
              </w:rPr>
              <w:t xml:space="preserve">✍️ Synthesize Your Findings
</w:t>
            </w:r>
          </w:p>
        </w:tc>
      </w:tr>
    </w:tbl>
    <w:p>
      <w:pPr>
        <w:spacing w:after="120" w:before="120" w:line="336" w:lineRule="auto"/>
        <w:ind w:firstLine="0" w:start="0"/>
        <w:jc w:val="start"/>
      </w:pPr>
      <w:r>
        <w:rPr>
          <w:rFonts w:ascii="Arimo" w:hAnsi="Arimo" w:cs="Arimo" w:eastAsia="Arimo"/>
          <w:color w:val="000000"/>
          <w:sz w:val="24"/>
          <w:szCs w:val="24"/>
        </w:rPr>
        <w:t xml:space="preserve">Create a one-page infographic that includes the main idea, three evidence blocks, visuals, keywords, sources, and an optional extension.
</w:t>
      </w:r>
    </w:p>
    <w:p>
      <w:pPr>
        <w:spacing w:after="120" w:before="120" w:line="336" w:lineRule="auto"/>
        <w:ind w:firstLine="0" w:start="0"/>
        <w:jc w:val="start"/>
      </w:pPr>
      <w:r>
        <w:rPr>
          <w:rFonts w:ascii="Arimo" w:hAnsi="Arimo" w:cs="Arimo" w:eastAsia="Arimo"/>
          <w:color w:val="000000"/>
          <w:sz w:val="24"/>
          <w:szCs w:val="24"/>
        </w:rPr>
        <w:t xml:space="preserve">Follow the steps below to complete your infographic:
</w:t>
      </w:r>
    </w:p>
    <w:p>
      <w:pPr>
        <w:numPr>
          <w:ilvl w:val="0"/>
          <w:numId w:val="4"/>
        </w:numPr>
        <w:spacing w:after="0" w:before="0" w:line="336" w:lineRule="auto"/>
        <w:jc w:val="start"/>
      </w:pPr>
      <w:r>
        <w:rPr>
          <w:rFonts w:ascii="Arimo" w:hAnsi="Arimo" w:cs="Arimo" w:eastAsia="Arimo"/>
          <w:color w:val="000000"/>
          <w:sz w:val="24"/>
          <w:szCs w:val="24"/>
        </w:rPr>
        <w:t xml:space="preserve">Identify the main idea or argument you want to convey.
</w:t>
      </w:r>
    </w:p>
    <w:p>
      <w:pPr>
        <w:numPr>
          <w:ilvl w:val="0"/>
          <w:numId w:val="4"/>
        </w:numPr>
        <w:spacing w:after="0" w:before="0" w:line="336" w:lineRule="auto"/>
        <w:jc w:val="start"/>
      </w:pPr>
      <w:r>
        <w:rPr>
          <w:rFonts w:ascii="Arimo" w:hAnsi="Arimo" w:cs="Arimo" w:eastAsia="Arimo"/>
          <w:color w:val="000000"/>
          <w:sz w:val="24"/>
          <w:szCs w:val="24"/>
        </w:rPr>
        <w:t xml:space="preserve">Gather evidence from your research to support your main idea.
</w:t>
      </w:r>
    </w:p>
    <w:p>
      <w:pPr>
        <w:numPr>
          <w:ilvl w:val="0"/>
          <w:numId w:val="4"/>
        </w:numPr>
        <w:spacing w:after="0" w:before="0" w:line="336" w:lineRule="auto"/>
        <w:jc w:val="start"/>
      </w:pPr>
      <w:r>
        <w:rPr>
          <w:rFonts w:ascii="Arimo" w:hAnsi="Arimo" w:cs="Arimo" w:eastAsia="Arimo"/>
          <w:color w:val="000000"/>
          <w:sz w:val="24"/>
          <w:szCs w:val="24"/>
        </w:rPr>
        <w:t xml:space="preserve">Select visuals, keywords, and sources to enhance your infographic.
</w:t>
      </w:r>
    </w:p>
    <w:p>
      <w:pPr>
        <w:spacing w:after="120" w:before="120"/>
        <w:jc w:val="center"/>
      </w:pPr>
      <w:r>
        <w:drawing>
          <wp:inline>
            <wp:extent cx="5734050" cy="5734050"/>
            <wp:docPr id="1" name="Drawing 1" descr="1d2cb864c-05e0-487b-8cdb-6b1426631c3f.png"/>
            <wp:cNvGraphicFramePr>
              <a:graphicFrameLocks noChangeAspect="true"/>
            </wp:cNvGraphicFramePr>
            <a:graphic>
              <a:graphicData uri="http://schemas.openxmlformats.org/drawingml/2006/picture">
                <pic:pic xmlns:pic="http://schemas.openxmlformats.org/drawingml/2006/picture">
                  <pic:nvPicPr>
                    <pic:cNvPr id="0" name="Picture 1" descr="1d2cb864c-05e0-487b-8cdb-6b1426631c3f.png"/>
                    <pic:cNvPicPr>
                      <a:picLocks noChangeAspect="true"/>
                    </pic:cNvPicPr>
                  </pic:nvPicPr>
                  <pic:blipFill>
                    <a:blip r:embed="rId5"/>
                    <a:stretch>
                      <a:fillRect/>
                    </a:stretch>
                  </pic:blipFill>
                  <pic:spPr>
                    <a:xfrm>
                      <a:off x="0" y="0"/>
                      <a:ext cx="5734050" cy="5734050"/>
                    </a:xfrm>
                    <a:custGeom>
                      <a:pathLst>
                        <a:path h="5734050" w="5734050">
                          <a:moveTo>
                            <a:pt x="0" y="84949"/>
                          </a:moveTo>
                          <a:lnTo>
                            <a:pt x="0" y="5649101"/>
                          </a:lnTo>
                          <a:cubicBezTo>
                            <a:pt x="0" y="5696017"/>
                            <a:pt x="38032" y="5734050"/>
                            <a:pt x="84949" y="5734050"/>
                          </a:cubicBezTo>
                          <a:lnTo>
                            <a:pt x="5649101" y="5734050"/>
                          </a:lnTo>
                          <a:cubicBezTo>
                            <a:pt x="5696017" y="5734050"/>
                            <a:pt x="5734050" y="5696017"/>
                            <a:pt x="5734050" y="5649101"/>
                          </a:cubicBezTo>
                          <a:lnTo>
                            <a:pt x="5734050" y="84949"/>
                          </a:lnTo>
                          <a:cubicBezTo>
                            <a:pt x="5734050" y="38032"/>
                            <a:pt x="5696017" y="0"/>
                            <a:pt x="5649101" y="0"/>
                          </a:cubicBezTo>
                          <a:lnTo>
                            <a:pt x="84949" y="0"/>
                          </a:lnTo>
                          <a:cubicBezTo>
                            <a:pt x="38032" y="0"/>
                            <a:pt x="0" y="38032"/>
                            <a:pt x="0" y="84949"/>
                          </a:cubicBezTo>
                          <a:close/>
                        </a:path>
                      </a:pathLst>
                    </a:custGeom>
                  </pic:spPr>
                </pic:pic>
              </a:graphicData>
            </a:graphic>
          </wp:inline>
        </w:drawing>
      </w:r>
    </w:p>
    <w:p>
      <w:pPr>
        <w:spacing w:after="120" w:before="120"/>
      </w:pPr>
      <w:r>
        <w:br w:type="page"/>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Roboto Bold" w:hAnsi="Roboto Bold" w:cs="Roboto Bold" w:eastAsia="Roboto Bold"/>
                <w:b/>
                <w:bCs/>
                <w:color w:val="ffffff"/>
                <w:sz w:val="40"/>
                <w:szCs w:val="40"/>
              </w:rPr>
              <w:t xml:space="preserve">🤔 Reflection
</w:t>
            </w:r>
          </w:p>
        </w:tc>
      </w:tr>
    </w:tbl>
    <w:p>
      <w:pPr>
        <w:spacing w:after="120" w:before="120" w:line="336" w:lineRule="auto"/>
        <w:ind w:firstLine="0" w:start="0"/>
        <w:jc w:val="start"/>
      </w:pPr>
      <w:r>
        <w:rPr>
          <w:rFonts w:ascii="Arimo Bold" w:hAnsi="Arimo Bold" w:cs="Arimo Bold" w:eastAsia="Arimo Bold"/>
          <w:b/>
          <w:bCs/>
          <w:color w:val="000000"/>
          <w:sz w:val="24"/>
          <w:szCs w:val="24"/>
        </w:rPr>
        <w:t>How has your understanding of English literature notes improved after completing this activity?</w:t>
      </w:r>
      <w:r>
        <w:rPr>
          <w:rFonts w:ascii="Arimo" w:hAnsi="Arimo" w:cs="Arimo" w:eastAsia="Arimo"/>
          <w:color w:val="000000"/>
          <w:sz w:val="24"/>
          <w:szCs w:val="24"/>
        </w:rPr>
        <w:t xml:space="preserve">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9030"/>
      </w:tblGrid>
      <w:tr>
        <w:tc>
          <w:tcPr>
            <w:tcW w:w="903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[Write your answer here.]
</w:t>
            </w:r>
          </w:p>
        </w:tc>
      </w:tr>
    </w:tbl>
    <w:p>
      <w:pPr>
        <w:spacing w:after="120" w:before="120" w:line="336" w:lineRule="auto"/>
        <w:ind w:firstLine="0" w:start="0"/>
        <w:jc w:val="start"/>
      </w:pPr>
      <w:r>
        <w:rPr>
          <w:rFonts w:ascii="Arimo Bold" w:hAnsi="Arimo Bold" w:cs="Arimo Bold" w:eastAsia="Arimo Bold"/>
          <w:b/>
          <w:bCs/>
          <w:color w:val="000000"/>
          <w:sz w:val="24"/>
          <w:szCs w:val="24"/>
        </w:rPr>
        <w:t>What challenges did you encounter while designing your literature notes template, and how did you overcome them?</w:t>
      </w:r>
      <w:r>
        <w:rPr>
          <w:rFonts w:ascii="Arimo" w:hAnsi="Arimo" w:cs="Arimo" w:eastAsia="Arimo"/>
          <w:color w:val="000000"/>
          <w:sz w:val="24"/>
          <w:szCs w:val="24"/>
        </w:rPr>
        <w:t xml:space="preserve">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9030"/>
      </w:tblGrid>
      <w:tr>
        <w:tc>
          <w:tcPr>
            <w:tcW w:w="903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Bold" w:hAnsi="Arimo Bold" w:cs="Arimo Bold" w:eastAsia="Arimo Bold"/>
          <w:b/>
          <w:bCs/>
          <w:color w:val="000000"/>
          <w:sz w:val="24"/>
          <w:szCs w:val="24"/>
        </w:rPr>
        <w:t>How can you apply the skills you learned in this activity to future English literature assignments?</w:t>
      </w:r>
      <w:r>
        <w:rPr>
          <w:rFonts w:ascii="Arimo" w:hAnsi="Arimo" w:cs="Arimo" w:eastAsia="Arimo"/>
          <w:color w:val="000000"/>
          <w:sz w:val="24"/>
          <w:szCs w:val="24"/>
        </w:rPr>
        <w:t xml:space="preserve">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9030"/>
      </w:tblGrid>
      <w:tr>
        <w:tc>
          <w:tcPr>
            <w:tcW w:w="903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
        <w:gridCol w:w="8127"/>
      </w:tblGrid>
      <w:tr>
        <w:tc>
          <w:tcPr>
            <w:tcW w:w="903" w:type="dxa"/>
            <w:tcMar>
              <w:top w:w="0"/>
              <w:start w:w="0"/>
              <w:bottom w:w="0"/>
              <w:end w:w="0"/>
            </w:tcMar>
          </w:tcPr>
          <w:p>
            <w:pPr>
              <w:spacing w:after="120" w:before="120"/>
              <w:jc w:val="center"/>
            </w:pPr>
            <w:r>
              <w:drawing>
                <wp:inline>
                  <wp:extent cx="428625" cy="428625"/>
                  <wp:docPr id="2" name="Drawing 2" descr="4b443629-74e1-4391-a196-0ece1211234f.png"/>
                  <wp:cNvGraphicFramePr>
                    <a:graphicFrameLocks noChangeAspect="true"/>
                  </wp:cNvGraphicFramePr>
                  <a:graphic>
                    <a:graphicData uri="http://schemas.openxmlformats.org/drawingml/2006/picture">
                      <pic:pic xmlns:pic="http://schemas.openxmlformats.org/drawingml/2006/picture">
                        <pic:nvPicPr>
                          <pic:cNvPr id="0" name="Picture 2" descr="4b443629-74e1-4391-a196-0ece1211234f.png"/>
                          <pic:cNvPicPr>
                            <a:picLocks noChangeAspect="true"/>
                          </pic:cNvPicPr>
                        </pic:nvPicPr>
                        <pic:blipFill>
                          <a:blip r:embed="rId6"/>
                          <a:srcRect l="0" t="0" r="0" b="0"/>
                          <a:stretch>
                            <a:fillRect/>
                          </a:stretch>
                        </pic:blipFill>
                        <pic:spPr>
                          <a:xfrm flipH="false" flipV="false">
                            <a:off x="0" y="0"/>
                            <a:ext cx="428625" cy="428625"/>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000000"/>
                <w:sz w:val="24"/>
                <w:szCs w:val="24"/>
              </w:rPr>
              <w:t xml:space="preserve">
</w:t>
            </w:r>
          </w:p>
        </w:tc>
        <w:tc>
          <w:tcPr>
            <w:tcW w:w="8127" w:type="dxa"/>
            <w:tcMar>
              <w:top w:w="0"/>
              <w:start w:w="0"/>
              <w:bottom w:w="0"/>
              <w:end w:w="0"/>
            </w:tcMar>
          </w:tcPr>
          <w:p>
            <w:pPr>
              <w:spacing w:after="120" w:before="120" w:line="336" w:lineRule="auto"/>
              <w:ind w:firstLine="0" w:start="0"/>
              <w:jc w:val="start"/>
            </w:pPr>
            <w:r>
              <w:rPr>
                <w:rFonts w:ascii="Arimo Bold" w:hAnsi="Arimo Bold" w:cs="Arimo Bold" w:eastAsia="Arimo Bold"/>
                <w:b/>
                <w:bCs/>
                <w:color w:val="7731d8"/>
                <w:sz w:val="28"/>
                <w:szCs w:val="28"/>
              </w:rPr>
              <w:t xml:space="preserve">Teaching note
</w:t>
            </w:r>
          </w:p>
          <w:p>
            <w:pPr>
              <w:spacing w:after="120" w:before="120" w:line="336" w:lineRule="auto"/>
              <w:ind w:firstLine="0" w:start="0"/>
              <w:jc w:val="start"/>
            </w:pPr>
            <w:r>
              <w:rPr>
                <w:rFonts w:ascii="Arimo" w:hAnsi="Arimo" w:cs="Arimo" w:eastAsia="Arimo"/>
                <w:color w:val="0d1216"/>
                <w:sz w:val="24"/>
                <w:szCs w:val="24"/>
              </w:rPr>
              <w:t xml:space="preserve">This was generated by AI to give you a head start — not the final word. You know your students best, so give it a once-over and make it yours.
</w:t>
            </w:r>
          </w:p>
        </w:tc>
      </w:tr>
    </w:tbl>
    <w:p>
      <w:pPr>
        <w:spacing w:after="120" w:before="12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Italics">
    <w:panose1 w:val="020B0604020202090204"/>
    <w:charset w:characterSet="1"/>
    <w:embedItalic r:id="rId3"/>
  </w:font>
  <w:font w:name="Arimo">
    <w:panose1 w:val="020B0604020202020204"/>
    <w:charset w:characterSet="1"/>
    <w:embedRegular r:id="rId4"/>
  </w:font>
  <w:font w:name="Canva Sans">
    <w:panose1 w:val="020B0503030501040103"/>
    <w:charset w:characterSet="1"/>
    <w:embedRegular r:id="rId5"/>
  </w:font>
  <w:font w:name="Roboto Bold">
    <w:panose1 w:val="02000000000000000000"/>
    <w:charset w:characterSet="1"/>
    <w:embedBold r:id="rId6"/>
  </w:font>
  <w:font w:name="Roboto">
    <w:panose1 w:val="02000000000000000000"/>
    <w:charset w:characterSet="1"/>
    <w:embedRegular r:id="rId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 Id="rId5" Target="media/image2.png" Type="http://schemas.openxmlformats.org/officeDocument/2006/relationships/image"/><Relationship Id="rId6" Target="media/image3.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2026-04-06T06:34:56Z</dcterms:created>
  <dc:creator>Apache POI</dc:creator>
  <dc:title>Research Common Elements in Literature Notes</dc:title>
</cp:coreProperties>
</file>