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center"/>
        <w:rPr>
          <w:sz w:val="36"/>
          <w:szCs w:val="36"/>
        </w:rPr>
      </w:pPr>
      <w:r>
        <w:rPr>
          <w:sz w:val="36"/>
          <w:szCs w:val="36"/>
        </w:rPr>
        <w:t>PALMORIA GROUP HR REVIEW REPORT</w:t>
      </w:r>
    </w:p>
    <w:p>
      <w:pPr>
        <w:pStyle w:val="style0"/>
        <w:rPr>
          <w:b/>
          <w:bCs/>
        </w:rPr>
      </w:pPr>
      <w:r>
        <w:rPr>
          <w:b/>
          <w:bCs/>
        </w:rPr>
        <w:t>1. Workforce Gender Composition</w:t>
      </w:r>
    </w:p>
    <w:p>
      <w:pPr>
        <w:pStyle w:val="style0"/>
        <w:numPr>
          <w:ilvl w:val="0"/>
          <w:numId w:val="1"/>
        </w:numPr>
        <w:rPr/>
      </w:pPr>
      <w:r>
        <w:rPr>
          <w:b/>
          <w:bCs/>
        </w:rPr>
        <w:t>Organization-wide Breakdown</w:t>
      </w:r>
      <w:r>
        <w:t>:</w:t>
      </w:r>
    </w:p>
    <w:p>
      <w:pPr>
        <w:pStyle w:val="style0"/>
        <w:numPr>
          <w:ilvl w:val="1"/>
          <w:numId w:val="1"/>
        </w:numPr>
        <w:rPr/>
      </w:pPr>
      <w:r>
        <w:t>Male employees constitute approximately 58%</w:t>
      </w:r>
    </w:p>
    <w:p>
      <w:pPr>
        <w:pStyle w:val="style0"/>
        <w:numPr>
          <w:ilvl w:val="1"/>
          <w:numId w:val="1"/>
        </w:numPr>
        <w:rPr/>
      </w:pPr>
      <w:r>
        <w:t>Female employees make up 39%</w:t>
      </w:r>
    </w:p>
    <w:p>
      <w:pPr>
        <w:pStyle w:val="style0"/>
        <w:numPr>
          <w:ilvl w:val="1"/>
          <w:numId w:val="1"/>
        </w:numPr>
        <w:rPr/>
      </w:pPr>
      <w:r>
        <w:t>3% of staff did not disclose their gender and are classified under a neutral category</w:t>
      </w:r>
    </w:p>
    <w:p>
      <w:pPr>
        <w:pStyle w:val="style0"/>
        <w:numPr>
          <w:ilvl w:val="0"/>
          <w:numId w:val="1"/>
        </w:numPr>
        <w:rPr/>
      </w:pPr>
      <w:r>
        <w:rPr>
          <w:b/>
          <w:bCs/>
        </w:rPr>
        <w:t>Distribution by Region</w:t>
      </w:r>
      <w:r>
        <w:t>:</w:t>
      </w:r>
    </w:p>
    <w:p>
      <w:pPr>
        <w:pStyle w:val="style0"/>
        <w:numPr>
          <w:ilvl w:val="1"/>
          <w:numId w:val="1"/>
        </w:numPr>
        <w:rPr/>
      </w:pPr>
      <w:r>
        <w:rPr>
          <w:b/>
          <w:bCs/>
        </w:rPr>
        <w:t>Northern Region</w:t>
      </w:r>
      <w:r>
        <w:t>: Predominantly male (65%)</w:t>
      </w:r>
    </w:p>
    <w:p>
      <w:pPr>
        <w:pStyle w:val="style0"/>
        <w:numPr>
          <w:ilvl w:val="1"/>
          <w:numId w:val="1"/>
        </w:numPr>
        <w:rPr/>
      </w:pPr>
      <w:r>
        <w:rPr>
          <w:b/>
          <w:bCs/>
        </w:rPr>
        <w:t>Central Region</w:t>
      </w:r>
      <w:r>
        <w:t>: Nearly balanced gender ratio</w:t>
      </w:r>
    </w:p>
    <w:p>
      <w:pPr>
        <w:pStyle w:val="style0"/>
        <w:numPr>
          <w:ilvl w:val="1"/>
          <w:numId w:val="1"/>
        </w:numPr>
        <w:rPr/>
      </w:pPr>
      <w:r>
        <w:rPr>
          <w:b/>
          <w:bCs/>
        </w:rPr>
        <w:t>Southern Region</w:t>
      </w:r>
      <w:r>
        <w:t>: Female employees are in the majority (55%)</w:t>
      </w:r>
    </w:p>
    <w:p>
      <w:pPr>
        <w:pStyle w:val="style0"/>
        <w:numPr>
          <w:ilvl w:val="0"/>
          <w:numId w:val="1"/>
        </w:numPr>
        <w:rPr/>
      </w:pPr>
      <w:r>
        <w:rPr>
          <w:b/>
          <w:bCs/>
        </w:rPr>
        <w:t>Distribution by Department</w:t>
      </w:r>
      <w:r>
        <w:t>:</w:t>
      </w:r>
    </w:p>
    <w:p>
      <w:pPr>
        <w:pStyle w:val="style0"/>
        <w:numPr>
          <w:ilvl w:val="1"/>
          <w:numId w:val="1"/>
        </w:numPr>
        <w:rPr/>
      </w:pPr>
      <w:r>
        <w:t>Male staff dominate in core operational roles such as manufacturing and engineering</w:t>
      </w:r>
    </w:p>
    <w:p>
      <w:pPr>
        <w:pStyle w:val="style0"/>
        <w:numPr>
          <w:ilvl w:val="1"/>
          <w:numId w:val="1"/>
        </w:numPr>
        <w:rPr/>
      </w:pPr>
      <w:r>
        <w:t>Female representation is higher in HR and support-related functions</w:t>
      </w:r>
    </w:p>
    <w:p>
      <w:pPr>
        <w:pStyle w:val="style0"/>
        <w:numPr>
          <w:ilvl w:val="1"/>
          <w:numId w:val="1"/>
        </w:numPr>
        <w:rPr/>
      </w:pPr>
      <w:r>
        <w:t>Mixed gender presence in finance and tech departments</w:t>
      </w:r>
    </w:p>
    <w:p>
      <w:pPr>
        <w:pStyle w:val="style0"/>
        <w:numPr>
          <w:ilvl w:val="1"/>
          <w:numId w:val="1"/>
        </w:numPr>
        <w:rPr/>
      </w:pPr>
      <w:r>
        <w:t>Incomplete department entries ("NULL") were excluded from analysis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2. Performance Ratings Across Genders</w:t>
      </w:r>
    </w:p>
    <w:p>
      <w:pPr>
        <w:pStyle w:val="style0"/>
        <w:numPr>
          <w:ilvl w:val="0"/>
          <w:numId w:val="2"/>
        </w:numPr>
        <w:rPr/>
      </w:pPr>
      <w:r>
        <w:rPr>
          <w:b/>
          <w:bCs/>
        </w:rPr>
        <w:t>Average Rating by Gender Group</w:t>
      </w:r>
      <w:r>
        <w:t>:</w:t>
      </w:r>
    </w:p>
    <w:p>
      <w:pPr>
        <w:pStyle w:val="style0"/>
        <w:numPr>
          <w:ilvl w:val="1"/>
          <w:numId w:val="2"/>
        </w:numPr>
        <w:rPr/>
      </w:pPr>
      <w:r>
        <w:t>Male: 3.4</w:t>
      </w:r>
    </w:p>
    <w:p>
      <w:pPr>
        <w:pStyle w:val="style0"/>
        <w:numPr>
          <w:ilvl w:val="1"/>
          <w:numId w:val="2"/>
        </w:numPr>
        <w:rPr/>
      </w:pPr>
      <w:r>
        <w:t>Female: 3.7</w:t>
      </w:r>
    </w:p>
    <w:p>
      <w:pPr>
        <w:pStyle w:val="style0"/>
        <w:numPr>
          <w:ilvl w:val="1"/>
          <w:numId w:val="2"/>
        </w:numPr>
        <w:rPr/>
      </w:pPr>
      <w:r>
        <w:t>Undisclosed: 2.9</w:t>
      </w:r>
    </w:p>
    <w:p>
      <w:pPr>
        <w:pStyle w:val="style0"/>
        <w:rPr/>
      </w:pPr>
      <w:r>
        <w:rPr>
          <w:b/>
          <w:bCs/>
        </w:rPr>
        <w:t>Observation</w:t>
      </w:r>
      <w:r>
        <w:t>: Female employees, on average, received higher performance scores, indicating strong contributions to organizational objectives.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3. Salary Comparison &amp; Gender Gap Analysis</w:t>
      </w:r>
    </w:p>
    <w:p>
      <w:pPr>
        <w:pStyle w:val="style0"/>
        <w:numPr>
          <w:ilvl w:val="0"/>
          <w:numId w:val="3"/>
        </w:numPr>
        <w:rPr/>
      </w:pPr>
      <w:r>
        <w:rPr>
          <w:b/>
          <w:bCs/>
        </w:rPr>
        <w:t>Mean Salary Comparison</w:t>
      </w:r>
      <w:r>
        <w:t>:</w:t>
      </w:r>
    </w:p>
    <w:p>
      <w:pPr>
        <w:pStyle w:val="style0"/>
        <w:numPr>
          <w:ilvl w:val="1"/>
          <w:numId w:val="3"/>
        </w:numPr>
        <w:rPr/>
      </w:pPr>
      <w:r>
        <w:t>Male: $87,500</w:t>
      </w:r>
    </w:p>
    <w:p>
      <w:pPr>
        <w:pStyle w:val="style0"/>
        <w:numPr>
          <w:ilvl w:val="1"/>
          <w:numId w:val="3"/>
        </w:numPr>
        <w:rPr/>
      </w:pPr>
      <w:r>
        <w:t>Female: $79,200</w:t>
      </w:r>
    </w:p>
    <w:p>
      <w:pPr>
        <w:pStyle w:val="style0"/>
        <w:numPr>
          <w:ilvl w:val="1"/>
          <w:numId w:val="3"/>
        </w:numPr>
        <w:rPr/>
      </w:pPr>
      <w:r>
        <w:t>The observed gap is $8,300, favoring male employees</w:t>
      </w:r>
    </w:p>
    <w:p>
      <w:pPr>
        <w:pStyle w:val="style0"/>
        <w:numPr>
          <w:ilvl w:val="0"/>
          <w:numId w:val="3"/>
        </w:numPr>
        <w:rPr/>
      </w:pPr>
      <w:r>
        <w:rPr>
          <w:b/>
          <w:bCs/>
        </w:rPr>
        <w:t>By Region</w:t>
      </w:r>
      <w:r>
        <w:t>:</w:t>
      </w:r>
    </w:p>
    <w:p>
      <w:pPr>
        <w:pStyle w:val="style0"/>
        <w:numPr>
          <w:ilvl w:val="1"/>
          <w:numId w:val="3"/>
        </w:numPr>
        <w:rPr/>
      </w:pPr>
      <w:r>
        <w:rPr>
          <w:b/>
          <w:bCs/>
        </w:rPr>
        <w:t>North</w:t>
      </w:r>
      <w:r>
        <w:t>: The largest disparity (~$10,000)</w:t>
      </w:r>
    </w:p>
    <w:p>
      <w:pPr>
        <w:pStyle w:val="style0"/>
        <w:numPr>
          <w:ilvl w:val="1"/>
          <w:numId w:val="3"/>
        </w:numPr>
        <w:rPr/>
      </w:pPr>
      <w:r>
        <w:rPr>
          <w:b/>
          <w:bCs/>
        </w:rPr>
        <w:t>Central</w:t>
      </w:r>
      <w:r>
        <w:t>: Moderate gap (~$5,000)</w:t>
      </w:r>
    </w:p>
    <w:p>
      <w:pPr>
        <w:pStyle w:val="style0"/>
        <w:numPr>
          <w:ilvl w:val="1"/>
          <w:numId w:val="3"/>
        </w:numPr>
        <w:rPr/>
      </w:pPr>
      <w:r>
        <w:rPr>
          <w:b/>
          <w:bCs/>
        </w:rPr>
        <w:t>South</w:t>
      </w:r>
      <w:r>
        <w:t>: Minimal variation (~$1,800)</w:t>
      </w:r>
    </w:p>
    <w:p>
      <w:pPr>
        <w:pStyle w:val="style0"/>
        <w:numPr>
          <w:ilvl w:val="0"/>
          <w:numId w:val="3"/>
        </w:numPr>
        <w:rPr/>
      </w:pPr>
      <w:r>
        <w:rPr>
          <w:b/>
          <w:bCs/>
        </w:rPr>
        <w:t>By Department</w:t>
      </w:r>
      <w:r>
        <w:t>:</w:t>
      </w:r>
    </w:p>
    <w:p>
      <w:pPr>
        <w:pStyle w:val="style0"/>
        <w:numPr>
          <w:ilvl w:val="1"/>
          <w:numId w:val="3"/>
        </w:numPr>
        <w:rPr/>
      </w:pPr>
      <w:r>
        <w:t>Notable gaps in engineering and production roles</w:t>
      </w:r>
    </w:p>
    <w:p>
      <w:pPr>
        <w:pStyle w:val="style0"/>
        <w:numPr>
          <w:ilvl w:val="1"/>
          <w:numId w:val="3"/>
        </w:numPr>
        <w:rPr/>
      </w:pPr>
      <w:r>
        <w:t>HR and administrative areas slightly favor female staff</w:t>
      </w:r>
    </w:p>
    <w:p>
      <w:pPr>
        <w:pStyle w:val="style0"/>
        <w:numPr>
          <w:ilvl w:val="1"/>
          <w:numId w:val="3"/>
        </w:numPr>
        <w:rPr/>
      </w:pPr>
      <w:r>
        <w:t>Finance and IT roles show equitable pay levels</w:t>
      </w:r>
    </w:p>
    <w:p>
      <w:pPr>
        <w:pStyle w:val="style0"/>
        <w:rPr/>
      </w:pPr>
      <w:r>
        <w:rPr>
          <w:b/>
          <w:bCs/>
        </w:rPr>
        <w:t>Recommendation</w:t>
      </w:r>
      <w:r>
        <w:t xml:space="preserve">: Focus attention on the </w:t>
      </w:r>
      <w:r>
        <w:rPr>
          <w:b/>
          <w:bCs/>
        </w:rPr>
        <w:t>Northern region</w:t>
      </w:r>
      <w:r>
        <w:t xml:space="preserve"> and </w:t>
      </w:r>
      <w:r>
        <w:rPr>
          <w:b/>
          <w:bCs/>
        </w:rPr>
        <w:t>technical departments</w:t>
      </w:r>
      <w:r>
        <w:t xml:space="preserve"> to address salary inequities.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4. Salary Structure Evaluation Against Minimum Pay Policy</w:t>
      </w:r>
    </w:p>
    <w:p>
      <w:pPr>
        <w:pStyle w:val="style0"/>
        <w:numPr>
          <w:ilvl w:val="0"/>
          <w:numId w:val="4"/>
        </w:numPr>
        <w:rPr/>
      </w:pPr>
      <w:r>
        <w:rPr>
          <w:b/>
          <w:bCs/>
        </w:rPr>
        <w:t>Policy Benchmark</w:t>
      </w:r>
      <w:r>
        <w:t xml:space="preserve">: A new industry standard requires a </w:t>
      </w:r>
      <w:r>
        <w:rPr>
          <w:b/>
          <w:bCs/>
        </w:rPr>
        <w:t>minimum annual pay of $90,000</w:t>
      </w:r>
    </w:p>
    <w:p>
      <w:pPr>
        <w:pStyle w:val="style0"/>
        <w:numPr>
          <w:ilvl w:val="0"/>
          <w:numId w:val="4"/>
        </w:numPr>
        <w:rPr/>
      </w:pPr>
      <w:r>
        <w:rPr>
          <w:b/>
          <w:bCs/>
        </w:rPr>
        <w:t>Compliance Status</w:t>
      </w:r>
      <w:r>
        <w:t>:</w:t>
      </w:r>
    </w:p>
    <w:p>
      <w:pPr>
        <w:pStyle w:val="style0"/>
        <w:numPr>
          <w:ilvl w:val="1"/>
          <w:numId w:val="4"/>
        </w:numPr>
        <w:rPr/>
      </w:pPr>
      <w:r>
        <w:t>Around 63% of employees earn less than the benchmark</w:t>
      </w:r>
    </w:p>
    <w:p>
      <w:pPr>
        <w:pStyle w:val="style0"/>
        <w:numPr>
          <w:ilvl w:val="1"/>
          <w:numId w:val="4"/>
        </w:numPr>
        <w:rPr/>
      </w:pPr>
      <w:r>
        <w:t>Affected roles include support and production-level positions</w:t>
      </w:r>
    </w:p>
    <w:p>
      <w:pPr>
        <w:pStyle w:val="style0"/>
        <w:numPr>
          <w:ilvl w:val="1"/>
          <w:numId w:val="4"/>
        </w:numPr>
        <w:rPr/>
      </w:pPr>
      <w:r>
        <w:rPr>
          <w:b/>
          <w:bCs/>
        </w:rPr>
        <w:t>North and Central</w:t>
      </w:r>
      <w:r>
        <w:t xml:space="preserve"> regions have the most affected staff</w:t>
      </w:r>
    </w:p>
    <w:p>
      <w:pPr>
        <w:pStyle w:val="style0"/>
        <w:numPr>
          <w:ilvl w:val="0"/>
          <w:numId w:val="4"/>
        </w:numPr>
        <w:rPr/>
      </w:pPr>
      <w:r>
        <w:rPr>
          <w:b/>
          <w:bCs/>
        </w:rPr>
        <w:t>Salary Range Distribution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1705"/>
      </w:tblGrid>
      <w:tr>
        <w:trPr>
          <w:tblHeader/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Salary Band ($)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Employee Count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/>
            </w:pPr>
            <w:r>
              <w:t>10,000 – 20,000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/>
            </w:pPr>
            <w:r>
              <w:t>25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/>
            </w:pPr>
            <w:r>
              <w:t>20,001 – 30,000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/>
            </w:pPr>
            <w:r>
              <w:t>52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/>
            </w:pPr>
            <w:r>
              <w:t>30,001 – 40,000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/>
            </w:pPr>
            <w:r>
              <w:t>60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/>
            </w:pPr>
            <w:r>
              <w:t>40,001 – 50,000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/>
            </w:pPr>
            <w:r>
              <w:t>45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/>
            </w:pPr>
            <w:r>
              <w:t>50,001 – 60,000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/>
            </w:pPr>
            <w:r>
              <w:t>30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/>
            </w:pPr>
            <w:r>
              <w:t>60,001 – 70,000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/>
            </w:pPr>
            <w:r>
              <w:t>22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/>
            </w:pPr>
            <w:r>
              <w:t>70,001 – 80,000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/>
            </w:pPr>
            <w:r>
              <w:t>18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/>
            </w:pPr>
            <w:r>
              <w:t>80,001 – 90,000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/>
            </w:pPr>
            <w:r>
              <w:t>12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/>
            </w:pPr>
            <w:r>
              <w:t>Above 90,000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/>
            </w:pPr>
            <w:r>
              <w:t>36</w:t>
            </w:r>
          </w:p>
        </w:tc>
      </w:tr>
    </w:tbl>
    <w:p>
      <w:pPr>
        <w:pStyle w:val="style0"/>
        <w:numPr>
          <w:ilvl w:val="0"/>
          <w:numId w:val="5"/>
        </w:numPr>
        <w:rPr/>
      </w:pPr>
      <w:r>
        <w:rPr>
          <w:b/>
          <w:bCs/>
        </w:rPr>
        <w:t>Regional Trends</w:t>
      </w:r>
      <w:r>
        <w:t>: Southern region shows stronger compliance with the $90,000 minimum policy</w:t>
      </w:r>
    </w:p>
    <w:p>
      <w:pPr>
        <w:pStyle w:val="style0"/>
        <w:rPr/>
      </w:pPr>
      <w:r>
        <w:rPr>
          <w:b/>
          <w:bCs/>
        </w:rPr>
        <w:t>Action Point</w:t>
      </w:r>
      <w:r>
        <w:t>: Consider adjusting compensation, especially for staff in lower salary bands and high-gap regions.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5. Bonus Allocation Based on Performance Metrics</w:t>
      </w:r>
    </w:p>
    <w:p>
      <w:pPr>
        <w:pStyle w:val="style0"/>
        <w:numPr>
          <w:ilvl w:val="0"/>
          <w:numId w:val="6"/>
        </w:numPr>
        <w:rPr/>
      </w:pPr>
      <w:r>
        <w:rPr>
          <w:b/>
          <w:bCs/>
        </w:rPr>
        <w:t>Bonus Structure Used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5"/>
        <w:gridCol w:w="1852"/>
      </w:tblGrid>
      <w:tr>
        <w:trPr>
          <w:tblHeader/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Performance Rating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Bonus Percentage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/>
            </w:pPr>
            <w:r>
              <w:t>1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/>
            </w:pPr>
            <w:r>
              <w:t>0%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/>
            </w:pPr>
            <w:r>
              <w:t>5%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/>
            </w:pPr>
            <w:r>
              <w:t>3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/>
            </w:pPr>
            <w:r>
              <w:t>10%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/>
            </w:pPr>
            <w:r>
              <w:t>4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/>
            </w:pPr>
            <w:r>
              <w:t>15%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/>
            </w:pPr>
            <w:r>
              <w:t>5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/>
            </w:pPr>
            <w:r>
              <w:t>20%</w:t>
            </w:r>
          </w:p>
        </w:tc>
      </w:tr>
    </w:tbl>
    <w:p>
      <w:pPr>
        <w:pStyle w:val="style0"/>
        <w:numPr>
          <w:ilvl w:val="0"/>
          <w:numId w:val="7"/>
        </w:numPr>
        <w:rPr/>
      </w:pPr>
      <w:r>
        <w:rPr>
          <w:b/>
          <w:bCs/>
        </w:rPr>
        <w:t>Calculations</w:t>
      </w:r>
      <w:r>
        <w:t>:</w:t>
      </w:r>
    </w:p>
    <w:p>
      <w:pPr>
        <w:pStyle w:val="style0"/>
        <w:numPr>
          <w:ilvl w:val="1"/>
          <w:numId w:val="7"/>
        </w:numPr>
        <w:rPr/>
      </w:pPr>
      <w:r>
        <w:t>Bonuses were computed as a percentage of individual salaries</w:t>
      </w:r>
    </w:p>
    <w:p>
      <w:pPr>
        <w:pStyle w:val="style0"/>
        <w:numPr>
          <w:ilvl w:val="1"/>
          <w:numId w:val="7"/>
        </w:numPr>
        <w:rPr/>
      </w:pPr>
      <w:r>
        <w:t>A new field for total compensation (base salary + bonus) was created</w:t>
      </w:r>
    </w:p>
    <w:p>
      <w:pPr>
        <w:pStyle w:val="style0"/>
        <w:numPr>
          <w:ilvl w:val="0"/>
          <w:numId w:val="7"/>
        </w:numPr>
        <w:rPr/>
      </w:pPr>
      <w:r>
        <w:rPr>
          <w:b/>
          <w:bCs/>
        </w:rPr>
        <w:t>Bonus Payment Summary</w:t>
      </w:r>
      <w:r>
        <w:t>:</w:t>
      </w:r>
    </w:p>
    <w:p>
      <w:pPr>
        <w:pStyle w:val="style0"/>
        <w:numPr>
          <w:ilvl w:val="1"/>
          <w:numId w:val="7"/>
        </w:numPr>
        <w:rPr/>
      </w:pPr>
      <w:r>
        <w:rPr>
          <w:b/>
          <w:bCs/>
        </w:rPr>
        <w:t>Total Bonus Paid Across Company</w:t>
      </w:r>
      <w:r>
        <w:t>: $1,845,000</w:t>
      </w:r>
    </w:p>
    <w:p>
      <w:pPr>
        <w:pStyle w:val="style0"/>
        <w:numPr>
          <w:ilvl w:val="1"/>
          <w:numId w:val="7"/>
        </w:numPr>
        <w:rPr/>
      </w:pPr>
      <w:r>
        <w:rPr>
          <w:b/>
          <w:bCs/>
        </w:rPr>
        <w:t>Top Individual Bonus</w:t>
      </w:r>
      <w:r>
        <w:t>: $24,000</w:t>
      </w:r>
    </w:p>
    <w:p>
      <w:pPr>
        <w:pStyle w:val="style0"/>
        <w:numPr>
          <w:ilvl w:val="1"/>
          <w:numId w:val="7"/>
        </w:numPr>
        <w:rPr/>
      </w:pPr>
      <w:r>
        <w:rPr>
          <w:b/>
          <w:bCs/>
        </w:rPr>
        <w:t>Bonus by Region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6"/>
        <w:gridCol w:w="1716"/>
      </w:tblGrid>
      <w:tr>
        <w:trPr>
          <w:tblHeader/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Region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Total Bonus Paid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/>
            </w:pPr>
            <w:r>
              <w:t>North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/>
            </w:pPr>
            <w:r>
              <w:t>$532,000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/>
            </w:pPr>
            <w:r>
              <w:t>Central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/>
            </w:pPr>
            <w:r>
              <w:t>$490,000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/>
            </w:pPr>
            <w:r>
              <w:t>South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/>
            </w:pPr>
            <w:r>
              <w:t>$823,000</w:t>
            </w:r>
          </w:p>
        </w:tc>
      </w:tr>
    </w:tbl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Key Takeaways and Proposed Actions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1"/>
        <w:gridCol w:w="6809"/>
      </w:tblGrid>
      <w:tr>
        <w:trPr>
          <w:tblHeader/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Focus Area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Recommendation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/>
            </w:pPr>
            <w:r>
              <w:t>Gender Representation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/>
            </w:pPr>
            <w:r>
              <w:t>Encourage balanced recruitment, especially in underrepresented departments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/>
            </w:pPr>
            <w:r>
              <w:t>Pay Equity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/>
            </w:pPr>
            <w:r>
              <w:t>Conduct internal reviews in North and technical teams to bridge pay differences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/>
            </w:pPr>
            <w:r>
              <w:t>Salary Compliance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/>
            </w:pPr>
            <w:r>
              <w:t>Ensure all employees earn above the $90,000 minimum threshold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/>
            </w:pPr>
            <w:r>
              <w:t>Performance &amp; Recognition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/>
            </w:pPr>
            <w:r>
              <w:t>Regularly assess bonus policy to maintain fairness and alignment with output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  <w:r>
        <w:rPr>
          <w:b/>
          <w:bCs/>
        </w:rPr>
        <w:t>Prepared by</w:t>
      </w:r>
      <w:r>
        <w:t>:</w:t>
      </w:r>
      <w:r>
        <w:br/>
      </w:r>
      <w:r>
        <w:t xml:space="preserve">Chris </w:t>
      </w:r>
      <w:r>
        <w:t>Ozien</w:t>
      </w:r>
      <w:r>
        <w:t>i</w:t>
      </w:r>
      <w:r>
        <w:t>kpe</w:t>
      </w:r>
    </w:p>
    <w:p>
      <w:pPr>
        <w:pStyle w:val="style0"/>
        <w:rPr/>
      </w:pPr>
      <w:r>
        <w:t>Data Analyst</w:t>
      </w:r>
      <w:r>
        <w:br/>
      </w:r>
      <w:r>
        <w:rPr>
          <w:b/>
          <w:bCs/>
        </w:rPr>
        <w:t>Date</w:t>
      </w:r>
      <w:r>
        <w:t>: June 29, 2025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8602884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multilevel"/>
    <w:tmpl w:val="3F38A89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EE8AC6B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multilevel"/>
    <w:tmpl w:val="C452353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multilevel"/>
    <w:tmpl w:val="493E471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B77454A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multilevel"/>
    <w:tmpl w:val="5270F16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宋体" w:eastAsia="Calibri" w:hAnsi="Calibri"/>
        <w:kern w:val="2"/>
        <w:sz w:val="24"/>
        <w:szCs w:val="24"/>
        <w:lang w:val="en-US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78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a484f5e4-97b3-45f9-9731-6a0263940dd7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8765a5b0-d867-407f-a5a4-22038b7e1c74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d01440f8-0f59-4869-b5a2-26ab0582695e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44611cff-e942-426d-ae72-2896af76bfe9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8ccb6445-8896-439e-93a2-deb30b6448fa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43b5aba8-aa5d-4fe6-a038-a27db425ef17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a25ebc78-7c45-4312-9d2f-7f9bfaa10727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99979918-a358-4290-b3b7-bd0e474c3b0a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14143087-2bbd-4c84-bcc6-eaff627d84b3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8df9114b-b143-42eb-a412-d916b6262b51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9f4d0f2d-2e5d-4bf0-a9d6-c7b1ee8f35f3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5fac3eb0-fb1e-45e1-825b-064212f7ca16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454</Words>
  <Characters>2774</Characters>
  <Application>WPS Office</Application>
  <DocSecurity>0</DocSecurity>
  <Paragraphs>138</Paragraphs>
  <ScaleCrop>false</ScaleCrop>
  <LinksUpToDate>false</LinksUpToDate>
  <CharactersWithSpaces>3130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2025-07-02T07:54:32Z</dcterms:created>
  <dc:creator>CHARLES IFEANYI</dc:creator>
  <lastModifiedBy>TECNO CD7</lastModifiedBy>
  <dcterms:modified xsi:type="dcterms:W3CDTF">2025-07-02T07:54:32Z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