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mc:Ignorable="w14 wp14">
  <w:body>
    <w:p>
      <w:pPr>
        <w:pStyle w:val="style0"/>
        <w:jc w:val="center"/>
        <w:rPr>
          <w:sz w:val="32"/>
          <w:szCs w:val="32"/>
        </w:rPr>
      </w:pPr>
      <w:r>
        <w:rPr>
          <w:sz w:val="32"/>
          <w:szCs w:val="32"/>
        </w:rPr>
        <w:t>RETAILTECH INSIGHTS: AMAZON PRODUCT REVIEW DATA ANALYSIS</w:t>
      </w:r>
    </w:p>
    <w:p>
      <w:pPr>
        <w:pStyle w:val="style0"/>
        <w:rPr/>
      </w:pPr>
      <w:r>
        <w:rPr>
          <w:b/>
          <w:bCs/>
        </w:rPr>
        <w:t>Analyst</w:t>
      </w:r>
      <w:r>
        <w:t xml:space="preserve">: </w:t>
      </w:r>
      <w:r>
        <w:t>Chris O</w:t>
      </w:r>
      <w:r>
        <w:t>zien</w:t>
      </w:r>
      <w:r>
        <w:t>i</w:t>
      </w:r>
      <w:r>
        <w:t>kpe</w:t>
      </w:r>
      <w:r>
        <w:br/>
      </w:r>
      <w:r>
        <w:rPr>
          <w:b/>
          <w:bCs/>
        </w:rPr>
        <w:t>Date</w:t>
      </w:r>
      <w:r>
        <w:t>: June 29, 2025</w:t>
      </w:r>
    </w:p>
    <w:p>
      <w:pPr>
        <w:pStyle w:val="style0"/>
        <w:rPr/>
      </w:pPr>
    </w:p>
    <w:p>
      <w:pPr>
        <w:pStyle w:val="style0"/>
        <w:rPr>
          <w:b/>
          <w:bCs/>
        </w:rPr>
      </w:pPr>
      <w:r>
        <w:rPr>
          <w:b/>
          <w:bCs/>
        </w:rPr>
        <w:t>1. Project Summary</w:t>
      </w:r>
    </w:p>
    <w:p>
      <w:pPr>
        <w:pStyle w:val="style0"/>
        <w:rPr/>
      </w:pPr>
      <w:r>
        <w:t>This analysis was conducted to uncover patterns and performance indicators within product and customer review data collected from Amazon. The objective was to extract insights that could assist sellers with product development, promotional strategies, and customer retention decisions.</w:t>
      </w:r>
    </w:p>
    <w:p>
      <w:pPr>
        <w:pStyle w:val="style0"/>
        <w:rPr/>
      </w:pPr>
    </w:p>
    <w:p>
      <w:pPr>
        <w:pStyle w:val="style0"/>
        <w:rPr>
          <w:b/>
          <w:bCs/>
        </w:rPr>
      </w:pPr>
      <w:r>
        <w:rPr>
          <w:b/>
          <w:bCs/>
        </w:rPr>
        <w:t>2. Dataset Summary</w:t>
      </w:r>
    </w:p>
    <w:p>
      <w:pPr>
        <w:pStyle w:val="style0"/>
        <w:numPr>
          <w:ilvl w:val="0"/>
          <w:numId w:val="1"/>
        </w:numPr>
        <w:rPr/>
      </w:pPr>
      <w:r>
        <w:rPr>
          <w:b/>
          <w:bCs/>
        </w:rPr>
        <w:t>Total Records</w:t>
      </w:r>
      <w:r>
        <w:t>: 1,465 unique product entries</w:t>
      </w:r>
    </w:p>
    <w:p>
      <w:pPr>
        <w:pStyle w:val="style0"/>
        <w:numPr>
          <w:ilvl w:val="0"/>
          <w:numId w:val="1"/>
        </w:numPr>
        <w:rPr/>
      </w:pPr>
      <w:r>
        <w:rPr>
          <w:b/>
          <w:bCs/>
        </w:rPr>
        <w:t>Fields Provided</w:t>
      </w:r>
      <w:r>
        <w:t>: 16, including product names, categories, pricing details, review summaries, discount percentages, ratings, and more</w:t>
      </w:r>
    </w:p>
    <w:p>
      <w:pPr>
        <w:pStyle w:val="style0"/>
        <w:numPr>
          <w:ilvl w:val="0"/>
          <w:numId w:val="1"/>
        </w:numPr>
        <w:rPr/>
      </w:pPr>
      <w:r>
        <w:rPr>
          <w:b/>
          <w:bCs/>
        </w:rPr>
        <w:t>Structure</w:t>
      </w:r>
      <w:r>
        <w:t>: Each row represents a product with aggregated data</w:t>
      </w:r>
    </w:p>
    <w:p>
      <w:pPr>
        <w:pStyle w:val="style0"/>
        <w:rPr/>
      </w:pPr>
    </w:p>
    <w:p>
      <w:pPr>
        <w:pStyle w:val="style0"/>
        <w:rPr>
          <w:b/>
          <w:bCs/>
        </w:rPr>
      </w:pPr>
      <w:r>
        <w:rPr>
          <w:b/>
          <w:bCs/>
        </w:rPr>
        <w:t>3. Key Analytical Findings</w:t>
      </w:r>
    </w:p>
    <w:p>
      <w:pPr>
        <w:pStyle w:val="style0"/>
        <w:rPr>
          <w:b/>
          <w:bCs/>
        </w:rPr>
      </w:pPr>
      <w:r>
        <w:rPr>
          <w:b/>
          <w:bCs/>
        </w:rPr>
        <w:t>1. Average Discount Percentage by Product Type</w:t>
      </w:r>
    </w:p>
    <w:p>
      <w:pPr>
        <w:pStyle w:val="style0"/>
        <w:rPr/>
      </w:pPr>
      <w:r>
        <w:t>Each product category showed different average discount levels:</w:t>
      </w:r>
    </w:p>
    <w:p>
      <w:pPr>
        <w:pStyle w:val="style0"/>
        <w:numPr>
          <w:ilvl w:val="0"/>
          <w:numId w:val="2"/>
        </w:numPr>
        <w:rPr/>
      </w:pPr>
      <w:r>
        <w:rPr>
          <w:b/>
          <w:bCs/>
        </w:rPr>
        <w:t>Fashion</w:t>
      </w:r>
      <w:r>
        <w:t>: 28.9%</w:t>
      </w:r>
    </w:p>
    <w:p>
      <w:pPr>
        <w:pStyle w:val="style0"/>
        <w:numPr>
          <w:ilvl w:val="0"/>
          <w:numId w:val="2"/>
        </w:numPr>
        <w:rPr/>
      </w:pPr>
      <w:r>
        <w:rPr>
          <w:b/>
          <w:bCs/>
        </w:rPr>
        <w:t>Beauty Products</w:t>
      </w:r>
      <w:r>
        <w:t>: 24.7%</w:t>
      </w:r>
    </w:p>
    <w:p>
      <w:pPr>
        <w:pStyle w:val="style0"/>
        <w:numPr>
          <w:ilvl w:val="0"/>
          <w:numId w:val="2"/>
        </w:numPr>
        <w:rPr/>
      </w:pPr>
      <w:r>
        <w:rPr>
          <w:b/>
          <w:bCs/>
        </w:rPr>
        <w:t>Home Essentials</w:t>
      </w:r>
      <w:r>
        <w:t>: 21.3%</w:t>
      </w:r>
    </w:p>
    <w:p>
      <w:pPr>
        <w:pStyle w:val="style0"/>
        <w:numPr>
          <w:ilvl w:val="0"/>
          <w:numId w:val="2"/>
        </w:numPr>
        <w:rPr/>
      </w:pPr>
      <w:r>
        <w:rPr>
          <w:b/>
          <w:bCs/>
        </w:rPr>
        <w:t>Electronics</w:t>
      </w:r>
      <w:r>
        <w:t>: 18.2%</w:t>
      </w:r>
    </w:p>
    <w:p>
      <w:pPr>
        <w:pStyle w:val="style0"/>
        <w:numPr>
          <w:ilvl w:val="0"/>
          <w:numId w:val="2"/>
        </w:numPr>
        <w:rPr/>
      </w:pPr>
      <w:r>
        <w:rPr>
          <w:b/>
          <w:bCs/>
        </w:rPr>
        <w:t>Books</w:t>
      </w:r>
      <w:r>
        <w:t>: 12.5%</w:t>
      </w:r>
    </w:p>
    <w:p>
      <w:pPr>
        <w:pStyle w:val="style0"/>
        <w:rPr/>
      </w:pPr>
      <w:r>
        <w:rPr>
          <w:b/>
          <w:bCs/>
        </w:rPr>
        <w:t>Insight</w:t>
      </w:r>
      <w:r>
        <w:t>: Fashion and beauty-related items tend to receive more aggressive pricing cuts.</w:t>
      </w:r>
    </w:p>
    <w:p>
      <w:pPr>
        <w:pStyle w:val="style0"/>
        <w:rPr/>
      </w:pPr>
    </w:p>
    <w:p>
      <w:pPr>
        <w:pStyle w:val="style0"/>
        <w:rPr>
          <w:b/>
          <w:bCs/>
        </w:rPr>
      </w:pPr>
      <w:r>
        <w:rPr>
          <w:b/>
          <w:bCs/>
        </w:rPr>
        <w:t>2. Product Count by Category</w:t>
      </w:r>
    </w:p>
    <w:p>
      <w:pPr>
        <w:pStyle w:val="style0"/>
        <w:rPr/>
      </w:pPr>
      <w:r>
        <w:t>Based on frequency distribution:</w:t>
      </w:r>
    </w:p>
    <w:p>
      <w:pPr>
        <w:pStyle w:val="style0"/>
        <w:numPr>
          <w:ilvl w:val="0"/>
          <w:numId w:val="3"/>
        </w:numPr>
        <w:rPr/>
      </w:pPr>
      <w:r>
        <w:rPr>
          <w:b/>
          <w:bCs/>
        </w:rPr>
        <w:t>Electronics</w:t>
      </w:r>
      <w:r>
        <w:t>: 420 products</w:t>
      </w:r>
    </w:p>
    <w:p>
      <w:pPr>
        <w:pStyle w:val="style0"/>
        <w:numPr>
          <w:ilvl w:val="0"/>
          <w:numId w:val="3"/>
        </w:numPr>
        <w:rPr/>
      </w:pPr>
      <w:r>
        <w:rPr>
          <w:b/>
          <w:bCs/>
        </w:rPr>
        <w:t>Books</w:t>
      </w:r>
      <w:r>
        <w:t>: 310</w:t>
      </w:r>
    </w:p>
    <w:p>
      <w:pPr>
        <w:pStyle w:val="style0"/>
        <w:numPr>
          <w:ilvl w:val="0"/>
          <w:numId w:val="3"/>
        </w:numPr>
        <w:rPr/>
      </w:pPr>
      <w:r>
        <w:rPr>
          <w:b/>
          <w:bCs/>
        </w:rPr>
        <w:t>Home &amp; Kitchen</w:t>
      </w:r>
      <w:r>
        <w:t>: 275</w:t>
      </w:r>
    </w:p>
    <w:p>
      <w:pPr>
        <w:pStyle w:val="style0"/>
        <w:numPr>
          <w:ilvl w:val="0"/>
          <w:numId w:val="3"/>
        </w:numPr>
        <w:rPr/>
      </w:pPr>
      <w:r>
        <w:rPr>
          <w:b/>
          <w:bCs/>
        </w:rPr>
        <w:t>Fashion</w:t>
      </w:r>
      <w:r>
        <w:t>: 245</w:t>
      </w:r>
    </w:p>
    <w:p>
      <w:pPr>
        <w:pStyle w:val="style0"/>
        <w:numPr>
          <w:ilvl w:val="0"/>
          <w:numId w:val="3"/>
        </w:numPr>
        <w:rPr/>
      </w:pPr>
      <w:r>
        <w:rPr>
          <w:b/>
          <w:bCs/>
        </w:rPr>
        <w:t>Beauty</w:t>
      </w:r>
      <w:r>
        <w:t>: 215</w:t>
      </w:r>
    </w:p>
    <w:p>
      <w:pPr>
        <w:pStyle w:val="style0"/>
        <w:rPr/>
      </w:pPr>
    </w:p>
    <w:p>
      <w:pPr>
        <w:pStyle w:val="style0"/>
        <w:rPr>
          <w:b/>
          <w:bCs/>
        </w:rPr>
      </w:pPr>
      <w:r>
        <w:rPr>
          <w:b/>
          <w:bCs/>
        </w:rPr>
        <w:t>3. Total Review Volume per Category</w:t>
      </w:r>
    </w:p>
    <w:p>
      <w:pPr>
        <w:pStyle w:val="style0"/>
        <w:rPr/>
      </w:pPr>
      <w:r>
        <w:t>By aggregating review counts:</w:t>
      </w:r>
    </w:p>
    <w:p>
      <w:pPr>
        <w:pStyle w:val="style0"/>
        <w:numPr>
          <w:ilvl w:val="0"/>
          <w:numId w:val="4"/>
        </w:numPr>
        <w:rPr/>
      </w:pPr>
      <w:r>
        <w:rPr>
          <w:b/>
          <w:bCs/>
        </w:rPr>
        <w:t>Electronics</w:t>
      </w:r>
      <w:r>
        <w:t>: 124,560</w:t>
      </w:r>
    </w:p>
    <w:p>
      <w:pPr>
        <w:pStyle w:val="style0"/>
        <w:numPr>
          <w:ilvl w:val="0"/>
          <w:numId w:val="4"/>
        </w:numPr>
        <w:rPr/>
      </w:pPr>
      <w:r>
        <w:rPr>
          <w:b/>
          <w:bCs/>
        </w:rPr>
        <w:t>Books</w:t>
      </w:r>
      <w:r>
        <w:t>: 98,430</w:t>
      </w:r>
    </w:p>
    <w:p>
      <w:pPr>
        <w:pStyle w:val="style0"/>
        <w:numPr>
          <w:ilvl w:val="0"/>
          <w:numId w:val="4"/>
        </w:numPr>
        <w:rPr/>
      </w:pPr>
      <w:r>
        <w:rPr>
          <w:b/>
          <w:bCs/>
        </w:rPr>
        <w:t>Home &amp; Kitchen</w:t>
      </w:r>
      <w:r>
        <w:t>: 75,890</w:t>
      </w:r>
    </w:p>
    <w:p>
      <w:pPr>
        <w:pStyle w:val="style0"/>
        <w:numPr>
          <w:ilvl w:val="0"/>
          <w:numId w:val="4"/>
        </w:numPr>
        <w:rPr/>
      </w:pPr>
      <w:r>
        <w:rPr>
          <w:b/>
          <w:bCs/>
        </w:rPr>
        <w:t>Fashion</w:t>
      </w:r>
      <w:r>
        <w:t>: 68,120</w:t>
      </w:r>
    </w:p>
    <w:p>
      <w:pPr>
        <w:pStyle w:val="style0"/>
        <w:numPr>
          <w:ilvl w:val="0"/>
          <w:numId w:val="4"/>
        </w:numPr>
        <w:rPr/>
      </w:pPr>
      <w:r>
        <w:rPr>
          <w:b/>
          <w:bCs/>
        </w:rPr>
        <w:t>Beauty</w:t>
      </w:r>
      <w:r>
        <w:t>: 55,480</w:t>
      </w:r>
    </w:p>
    <w:p>
      <w:pPr>
        <w:pStyle w:val="style0"/>
        <w:rPr/>
      </w:pPr>
    </w:p>
    <w:p>
      <w:pPr>
        <w:pStyle w:val="style0"/>
        <w:rPr>
          <w:b/>
          <w:bCs/>
        </w:rPr>
      </w:pPr>
      <w:r>
        <w:rPr>
          <w:b/>
          <w:bCs/>
        </w:rPr>
        <w:t>4. Highest Rated Products</w:t>
      </w:r>
    </w:p>
    <w:p>
      <w:pPr>
        <w:pStyle w:val="style0"/>
        <w:rPr/>
      </w:pPr>
      <w:r>
        <w:t>Products achieving the maximum average user rating of 5.0 include:</w:t>
      </w:r>
    </w:p>
    <w:p>
      <w:pPr>
        <w:pStyle w:val="style0"/>
        <w:numPr>
          <w:ilvl w:val="0"/>
          <w:numId w:val="5"/>
        </w:numPr>
        <w:rPr/>
      </w:pPr>
      <w:r>
        <w:t>A premium noise-cancelling headphone</w:t>
      </w:r>
    </w:p>
    <w:p>
      <w:pPr>
        <w:pStyle w:val="style0"/>
        <w:numPr>
          <w:ilvl w:val="0"/>
          <w:numId w:val="5"/>
        </w:numPr>
        <w:rPr/>
      </w:pPr>
      <w:r>
        <w:t>A leather-bound personal journal</w:t>
      </w:r>
    </w:p>
    <w:p>
      <w:pPr>
        <w:pStyle w:val="style0"/>
        <w:numPr>
          <w:ilvl w:val="0"/>
          <w:numId w:val="5"/>
        </w:numPr>
        <w:rPr/>
      </w:pPr>
      <w:r>
        <w:t>A top-selling non-stick cookware set</w:t>
      </w:r>
    </w:p>
    <w:p>
      <w:pPr>
        <w:pStyle w:val="style0"/>
        <w:rPr/>
      </w:pPr>
    </w:p>
    <w:p>
      <w:pPr>
        <w:pStyle w:val="style0"/>
        <w:rPr>
          <w:b/>
          <w:bCs/>
        </w:rPr>
      </w:pPr>
      <w:r>
        <w:rPr>
          <w:b/>
          <w:bCs/>
        </w:rPr>
        <w:t>5. Price vs. Discounted Price by Category</w:t>
      </w:r>
    </w:p>
    <w:p>
      <w:pPr>
        <w:pStyle w:val="style0"/>
        <w:rPr/>
      </w:pPr>
      <w:r>
        <w:t>The average original price compared to the promotional price for each category: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5"/>
        <w:gridCol w:w="1876"/>
        <w:gridCol w:w="1769"/>
      </w:tblGrid>
      <w:tr>
        <w:trPr>
          <w:tblHeader/>
          <w:tblCellSpacing w:w="15" w:type="dxa"/>
        </w:trPr>
        <w:tc>
          <w:tcPr>
            <w:tcW w:w="0" w:type="auto"/>
            <w:tcBorders/>
            <w:tcFitText w:val="false"/>
            <w:vAlign w:val="center"/>
            <w:hideMark/>
          </w:tcPr>
          <w:p>
            <w:pPr>
              <w:pStyle w:val="style0"/>
              <w:rPr>
                <w:b/>
                <w:bCs/>
              </w:rPr>
            </w:pPr>
            <w:r>
              <w:rPr>
                <w:b/>
                <w:bCs/>
              </w:rPr>
              <w:t>Category</w:t>
            </w:r>
          </w:p>
        </w:tc>
        <w:tc>
          <w:tcPr>
            <w:tcW w:w="0" w:type="auto"/>
            <w:tcBorders/>
            <w:tcFitText w:val="false"/>
            <w:vAlign w:val="center"/>
            <w:hideMark/>
          </w:tcPr>
          <w:p>
            <w:pPr>
              <w:pStyle w:val="style0"/>
              <w:rPr>
                <w:b/>
                <w:bCs/>
              </w:rPr>
            </w:pPr>
            <w:r>
              <w:rPr>
                <w:b/>
                <w:bCs/>
              </w:rPr>
              <w:t>Avg. Original Price</w:t>
            </w:r>
          </w:p>
        </w:tc>
        <w:tc>
          <w:tcPr>
            <w:tcW w:w="0" w:type="auto"/>
            <w:tcBorders/>
            <w:tcFitText w:val="false"/>
            <w:vAlign w:val="center"/>
            <w:hideMark/>
          </w:tcPr>
          <w:p>
            <w:pPr>
              <w:pStyle w:val="style0"/>
              <w:rPr>
                <w:b/>
                <w:bCs/>
              </w:rPr>
            </w:pPr>
            <w:r>
              <w:rPr>
                <w:b/>
                <w:bCs/>
              </w:rPr>
              <w:t>Avg. Promo Price</w:t>
            </w:r>
          </w:p>
        </w:tc>
      </w:tr>
      <w:tr>
        <w:tblPrEx/>
        <w:trPr>
          <w:tblCellSpacing w:w="15" w:type="dxa"/>
        </w:trPr>
        <w:tc>
          <w:tcPr>
            <w:tcW w:w="0" w:type="auto"/>
            <w:tcBorders/>
            <w:tcFitText w:val="false"/>
            <w:vAlign w:val="center"/>
            <w:hideMark/>
          </w:tcPr>
          <w:p>
            <w:pPr>
              <w:pStyle w:val="style0"/>
              <w:rPr/>
            </w:pPr>
            <w:r>
              <w:t>Electronics</w:t>
            </w:r>
          </w:p>
        </w:tc>
        <w:tc>
          <w:tcPr>
            <w:tcW w:w="0" w:type="auto"/>
            <w:tcBorders/>
            <w:tcFitText w:val="false"/>
            <w:vAlign w:val="center"/>
            <w:hideMark/>
          </w:tcPr>
          <w:p>
            <w:pPr>
              <w:pStyle w:val="style0"/>
              <w:rPr/>
            </w:pPr>
            <w:r>
              <w:t>₹2,100</w:t>
            </w:r>
          </w:p>
        </w:tc>
        <w:tc>
          <w:tcPr>
            <w:tcW w:w="0" w:type="auto"/>
            <w:tcBorders/>
            <w:tcFitText w:val="false"/>
            <w:vAlign w:val="center"/>
            <w:hideMark/>
          </w:tcPr>
          <w:p>
            <w:pPr>
              <w:pStyle w:val="style0"/>
              <w:rPr/>
            </w:pPr>
            <w:r>
              <w:t>₹1,725</w:t>
            </w:r>
          </w:p>
        </w:tc>
      </w:tr>
      <w:tr>
        <w:tblPrEx/>
        <w:trPr>
          <w:tblCellSpacing w:w="15" w:type="dxa"/>
        </w:trPr>
        <w:tc>
          <w:tcPr>
            <w:tcW w:w="0" w:type="auto"/>
            <w:tcBorders/>
            <w:tcFitText w:val="false"/>
            <w:vAlign w:val="center"/>
            <w:hideMark/>
          </w:tcPr>
          <w:p>
            <w:pPr>
              <w:pStyle w:val="style0"/>
              <w:rPr/>
            </w:pPr>
            <w:r>
              <w:t>Books</w:t>
            </w:r>
          </w:p>
        </w:tc>
        <w:tc>
          <w:tcPr>
            <w:tcW w:w="0" w:type="auto"/>
            <w:tcBorders/>
            <w:tcFitText w:val="false"/>
            <w:vAlign w:val="center"/>
            <w:hideMark/>
          </w:tcPr>
          <w:p>
            <w:pPr>
              <w:pStyle w:val="style0"/>
              <w:rPr/>
            </w:pPr>
            <w:r>
              <w:t>₹600</w:t>
            </w:r>
          </w:p>
        </w:tc>
        <w:tc>
          <w:tcPr>
            <w:tcW w:w="0" w:type="auto"/>
            <w:tcBorders/>
            <w:tcFitText w:val="false"/>
            <w:vAlign w:val="center"/>
            <w:hideMark/>
          </w:tcPr>
          <w:p>
            <w:pPr>
              <w:pStyle w:val="style0"/>
              <w:rPr/>
            </w:pPr>
            <w:r>
              <w:t>₹525</w:t>
            </w:r>
          </w:p>
        </w:tc>
      </w:tr>
      <w:tr>
        <w:tblPrEx/>
        <w:trPr>
          <w:tblCellSpacing w:w="15" w:type="dxa"/>
        </w:trPr>
        <w:tc>
          <w:tcPr>
            <w:tcW w:w="0" w:type="auto"/>
            <w:tcBorders/>
            <w:tcFitText w:val="false"/>
            <w:vAlign w:val="center"/>
            <w:hideMark/>
          </w:tcPr>
          <w:p>
            <w:pPr>
              <w:pStyle w:val="style0"/>
              <w:rPr/>
            </w:pPr>
            <w:r>
              <w:t>Home &amp; Kitchen</w:t>
            </w:r>
          </w:p>
        </w:tc>
        <w:tc>
          <w:tcPr>
            <w:tcW w:w="0" w:type="auto"/>
            <w:tcBorders/>
            <w:tcFitText w:val="false"/>
            <w:vAlign w:val="center"/>
            <w:hideMark/>
          </w:tcPr>
          <w:p>
            <w:pPr>
              <w:pStyle w:val="style0"/>
              <w:rPr/>
            </w:pPr>
            <w:r>
              <w:t>₹1,250</w:t>
            </w:r>
          </w:p>
        </w:tc>
        <w:tc>
          <w:tcPr>
            <w:tcW w:w="0" w:type="auto"/>
            <w:tcBorders/>
            <w:tcFitText w:val="false"/>
            <w:vAlign w:val="center"/>
            <w:hideMark/>
          </w:tcPr>
          <w:p>
            <w:pPr>
              <w:pStyle w:val="style0"/>
              <w:rPr/>
            </w:pPr>
            <w:r>
              <w:t>₹985</w:t>
            </w:r>
          </w:p>
        </w:tc>
      </w:tr>
      <w:tr>
        <w:tblPrEx/>
        <w:trPr>
          <w:tblCellSpacing w:w="15" w:type="dxa"/>
        </w:trPr>
        <w:tc>
          <w:tcPr>
            <w:tcW w:w="0" w:type="auto"/>
            <w:tcBorders/>
            <w:tcFitText w:val="false"/>
            <w:vAlign w:val="center"/>
            <w:hideMark/>
          </w:tcPr>
          <w:p>
            <w:pPr>
              <w:pStyle w:val="style0"/>
              <w:rPr/>
            </w:pPr>
            <w:r>
              <w:t>Fashion</w:t>
            </w:r>
          </w:p>
        </w:tc>
        <w:tc>
          <w:tcPr>
            <w:tcW w:w="0" w:type="auto"/>
            <w:tcBorders/>
            <w:tcFitText w:val="false"/>
            <w:vAlign w:val="center"/>
            <w:hideMark/>
          </w:tcPr>
          <w:p>
            <w:pPr>
              <w:pStyle w:val="style0"/>
              <w:rPr/>
            </w:pPr>
            <w:r>
              <w:t>₹950</w:t>
            </w:r>
          </w:p>
        </w:tc>
        <w:tc>
          <w:tcPr>
            <w:tcW w:w="0" w:type="auto"/>
            <w:tcBorders/>
            <w:tcFitText w:val="false"/>
            <w:vAlign w:val="center"/>
            <w:hideMark/>
          </w:tcPr>
          <w:p>
            <w:pPr>
              <w:pStyle w:val="style0"/>
              <w:rPr/>
            </w:pPr>
            <w:r>
              <w:t>₹675</w:t>
            </w:r>
          </w:p>
        </w:tc>
      </w:tr>
      <w:tr>
        <w:tblPrEx/>
        <w:trPr>
          <w:tblCellSpacing w:w="15" w:type="dxa"/>
        </w:trPr>
        <w:tc>
          <w:tcPr>
            <w:tcW w:w="0" w:type="auto"/>
            <w:tcBorders/>
            <w:tcFitText w:val="false"/>
            <w:vAlign w:val="center"/>
            <w:hideMark/>
          </w:tcPr>
          <w:p>
            <w:pPr>
              <w:pStyle w:val="style0"/>
              <w:rPr/>
            </w:pPr>
            <w:r>
              <w:t>Beauty</w:t>
            </w:r>
          </w:p>
        </w:tc>
        <w:tc>
          <w:tcPr>
            <w:tcW w:w="0" w:type="auto"/>
            <w:tcBorders/>
            <w:tcFitText w:val="false"/>
            <w:vAlign w:val="center"/>
            <w:hideMark/>
          </w:tcPr>
          <w:p>
            <w:pPr>
              <w:pStyle w:val="style0"/>
              <w:rPr/>
            </w:pPr>
            <w:r>
              <w:t>₹820</w:t>
            </w:r>
          </w:p>
        </w:tc>
        <w:tc>
          <w:tcPr>
            <w:tcW w:w="0" w:type="auto"/>
            <w:tcBorders/>
            <w:tcFitText w:val="false"/>
            <w:vAlign w:val="center"/>
            <w:hideMark/>
          </w:tcPr>
          <w:p>
            <w:pPr>
              <w:pStyle w:val="style0"/>
              <w:rPr/>
            </w:pPr>
            <w:r>
              <w:t>₹620</w:t>
            </w:r>
          </w:p>
        </w:tc>
      </w:tr>
    </w:tbl>
    <w:p>
      <w:pPr>
        <w:pStyle w:val="style0"/>
        <w:rPr/>
      </w:pPr>
    </w:p>
    <w:p>
      <w:pPr>
        <w:pStyle w:val="style0"/>
        <w:rPr>
          <w:b/>
          <w:bCs/>
        </w:rPr>
      </w:pPr>
      <w:r>
        <w:rPr>
          <w:b/>
          <w:bCs/>
        </w:rPr>
        <w:t>6. Most Reviewed Products</w:t>
      </w:r>
    </w:p>
    <w:p>
      <w:pPr>
        <w:pStyle w:val="style0"/>
        <w:rPr/>
      </w:pPr>
      <w:r>
        <w:t>Top products by total number of reviews:</w:t>
      </w:r>
    </w:p>
    <w:p>
      <w:pPr>
        <w:pStyle w:val="style0"/>
        <w:numPr>
          <w:ilvl w:val="0"/>
          <w:numId w:val="6"/>
        </w:numPr>
        <w:rPr/>
      </w:pPr>
      <w:r>
        <w:t>Smart fitness watch: ~6,320 reviews</w:t>
      </w:r>
    </w:p>
    <w:p>
      <w:pPr>
        <w:pStyle w:val="style0"/>
        <w:numPr>
          <w:ilvl w:val="0"/>
          <w:numId w:val="6"/>
        </w:numPr>
        <w:rPr/>
      </w:pPr>
      <w:r>
        <w:t>Self-help bestseller: ~5,870 reviews</w:t>
      </w:r>
    </w:p>
    <w:p>
      <w:pPr>
        <w:pStyle w:val="style0"/>
        <w:numPr>
          <w:ilvl w:val="0"/>
          <w:numId w:val="6"/>
        </w:numPr>
        <w:rPr/>
      </w:pPr>
      <w:r>
        <w:t>Multi-cooker kitchen device: ~5,600 reviews</w:t>
      </w:r>
    </w:p>
    <w:p>
      <w:pPr>
        <w:pStyle w:val="style0"/>
        <w:rPr/>
      </w:pPr>
    </w:p>
    <w:p>
      <w:pPr>
        <w:pStyle w:val="style0"/>
        <w:rPr>
          <w:b/>
          <w:bCs/>
        </w:rPr>
      </w:pPr>
      <w:r>
        <w:rPr>
          <w:b/>
          <w:bCs/>
        </w:rPr>
        <w:t>7. Products with 50%+ Discount</w:t>
      </w:r>
    </w:p>
    <w:p>
      <w:pPr>
        <w:pStyle w:val="style0"/>
        <w:rPr/>
      </w:pPr>
      <w:r>
        <w:t xml:space="preserve">There are </w:t>
      </w:r>
      <w:r>
        <w:rPr>
          <w:b/>
          <w:bCs/>
        </w:rPr>
        <w:t>192</w:t>
      </w:r>
      <w:r>
        <w:t xml:space="preserve"> items offering discounts of </w:t>
      </w:r>
      <w:r>
        <w:rPr>
          <w:b/>
          <w:bCs/>
        </w:rPr>
        <w:t>50% or more</w:t>
      </w:r>
      <w:r>
        <w:t>, most notably in Fashion and Beauty segments.</w:t>
      </w:r>
    </w:p>
    <w:p>
      <w:pPr>
        <w:pStyle w:val="style0"/>
        <w:rPr/>
      </w:pPr>
    </w:p>
    <w:p>
      <w:pPr>
        <w:pStyle w:val="style0"/>
        <w:rPr>
          <w:b/>
          <w:bCs/>
        </w:rPr>
      </w:pPr>
      <w:r>
        <w:rPr>
          <w:b/>
          <w:bCs/>
        </w:rPr>
        <w:t>8. Ratings Breakdown Across Products</w:t>
      </w:r>
    </w:p>
    <w:p>
      <w:pPr>
        <w:pStyle w:val="style0"/>
        <w:rPr/>
      </w:pPr>
      <w:r>
        <w:t>The number of products by rating score: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0"/>
        <w:gridCol w:w="670"/>
      </w:tblGrid>
      <w:tr>
        <w:trPr>
          <w:tblHeader/>
          <w:tblCellSpacing w:w="15" w:type="dxa"/>
        </w:trPr>
        <w:tc>
          <w:tcPr>
            <w:tcW w:w="0" w:type="auto"/>
            <w:tcBorders/>
            <w:tcFitText w:val="false"/>
            <w:vAlign w:val="center"/>
            <w:hideMark/>
          </w:tcPr>
          <w:p>
            <w:pPr>
              <w:pStyle w:val="style0"/>
              <w:rPr>
                <w:b/>
                <w:bCs/>
              </w:rPr>
            </w:pPr>
            <w:r>
              <w:rPr>
                <w:b/>
                <w:bCs/>
              </w:rPr>
              <w:t>Rating</w:t>
            </w:r>
          </w:p>
        </w:tc>
        <w:tc>
          <w:tcPr>
            <w:tcW w:w="0" w:type="auto"/>
            <w:tcBorders/>
            <w:tcFitText w:val="false"/>
            <w:vAlign w:val="center"/>
            <w:hideMark/>
          </w:tcPr>
          <w:p>
            <w:pPr>
              <w:pStyle w:val="style0"/>
              <w:rPr>
                <w:b/>
                <w:bCs/>
              </w:rPr>
            </w:pPr>
            <w:r>
              <w:rPr>
                <w:b/>
                <w:bCs/>
              </w:rPr>
              <w:t>Count</w:t>
            </w:r>
          </w:p>
        </w:tc>
      </w:tr>
      <w:tr>
        <w:tblPrEx/>
        <w:trPr>
          <w:tblCellSpacing w:w="15" w:type="dxa"/>
        </w:trPr>
        <w:tc>
          <w:tcPr>
            <w:tcW w:w="0" w:type="auto"/>
            <w:tcBorders/>
            <w:tcFitText w:val="false"/>
            <w:vAlign w:val="center"/>
            <w:hideMark/>
          </w:tcPr>
          <w:p>
            <w:pPr>
              <w:pStyle w:val="style0"/>
              <w:rPr/>
            </w:pPr>
            <w:r>
              <w:t>2.0</w:t>
            </w:r>
          </w:p>
        </w:tc>
        <w:tc>
          <w:tcPr>
            <w:tcW w:w="0" w:type="auto"/>
            <w:tcBorders/>
            <w:tcFitText w:val="false"/>
            <w:vAlign w:val="center"/>
            <w:hideMark/>
          </w:tcPr>
          <w:p>
            <w:pPr>
              <w:pStyle w:val="style0"/>
              <w:rPr/>
            </w:pPr>
            <w:r>
              <w:t>48</w:t>
            </w:r>
          </w:p>
        </w:tc>
      </w:tr>
      <w:tr>
        <w:tblPrEx/>
        <w:trPr>
          <w:tblCellSpacing w:w="15" w:type="dxa"/>
        </w:trPr>
        <w:tc>
          <w:tcPr>
            <w:tcW w:w="0" w:type="auto"/>
            <w:tcBorders/>
            <w:tcFitText w:val="false"/>
            <w:vAlign w:val="center"/>
            <w:hideMark/>
          </w:tcPr>
          <w:p>
            <w:pPr>
              <w:pStyle w:val="style0"/>
              <w:rPr/>
            </w:pPr>
            <w:r>
              <w:t>2.5</w:t>
            </w:r>
          </w:p>
        </w:tc>
        <w:tc>
          <w:tcPr>
            <w:tcW w:w="0" w:type="auto"/>
            <w:tcBorders/>
            <w:tcFitText w:val="false"/>
            <w:vAlign w:val="center"/>
            <w:hideMark/>
          </w:tcPr>
          <w:p>
            <w:pPr>
              <w:pStyle w:val="style0"/>
              <w:rPr/>
            </w:pPr>
            <w:r>
              <w:t>72</w:t>
            </w:r>
          </w:p>
        </w:tc>
      </w:tr>
      <w:tr>
        <w:tblPrEx/>
        <w:trPr>
          <w:tblCellSpacing w:w="15" w:type="dxa"/>
        </w:trPr>
        <w:tc>
          <w:tcPr>
            <w:tcW w:w="0" w:type="auto"/>
            <w:tcBorders/>
            <w:tcFitText w:val="false"/>
            <w:vAlign w:val="center"/>
            <w:hideMark/>
          </w:tcPr>
          <w:p>
            <w:pPr>
              <w:pStyle w:val="style0"/>
              <w:rPr/>
            </w:pPr>
            <w:r>
              <w:t>3.0</w:t>
            </w:r>
          </w:p>
        </w:tc>
        <w:tc>
          <w:tcPr>
            <w:tcW w:w="0" w:type="auto"/>
            <w:tcBorders/>
            <w:tcFitText w:val="false"/>
            <w:vAlign w:val="center"/>
            <w:hideMark/>
          </w:tcPr>
          <w:p>
            <w:pPr>
              <w:pStyle w:val="style0"/>
              <w:rPr/>
            </w:pPr>
            <w:r>
              <w:t>210</w:t>
            </w:r>
          </w:p>
        </w:tc>
      </w:tr>
      <w:tr>
        <w:tblPrEx/>
        <w:trPr>
          <w:tblCellSpacing w:w="15" w:type="dxa"/>
        </w:trPr>
        <w:tc>
          <w:tcPr>
            <w:tcW w:w="0" w:type="auto"/>
            <w:tcBorders/>
            <w:tcFitText w:val="false"/>
            <w:vAlign w:val="center"/>
            <w:hideMark/>
          </w:tcPr>
          <w:p>
            <w:pPr>
              <w:pStyle w:val="style0"/>
              <w:rPr/>
            </w:pPr>
            <w:r>
              <w:t>3.5</w:t>
            </w:r>
          </w:p>
        </w:tc>
        <w:tc>
          <w:tcPr>
            <w:tcW w:w="0" w:type="auto"/>
            <w:tcBorders/>
            <w:tcFitText w:val="false"/>
            <w:vAlign w:val="center"/>
            <w:hideMark/>
          </w:tcPr>
          <w:p>
            <w:pPr>
              <w:pStyle w:val="style0"/>
              <w:rPr/>
            </w:pPr>
            <w:r>
              <w:t>260</w:t>
            </w:r>
          </w:p>
        </w:tc>
      </w:tr>
      <w:tr>
        <w:tblPrEx/>
        <w:trPr>
          <w:tblCellSpacing w:w="15" w:type="dxa"/>
        </w:trPr>
        <w:tc>
          <w:tcPr>
            <w:tcW w:w="0" w:type="auto"/>
            <w:tcBorders/>
            <w:tcFitText w:val="false"/>
            <w:vAlign w:val="center"/>
            <w:hideMark/>
          </w:tcPr>
          <w:p>
            <w:pPr>
              <w:pStyle w:val="style0"/>
              <w:rPr/>
            </w:pPr>
            <w:r>
              <w:t>4.0</w:t>
            </w:r>
          </w:p>
        </w:tc>
        <w:tc>
          <w:tcPr>
            <w:tcW w:w="0" w:type="auto"/>
            <w:tcBorders/>
            <w:tcFitText w:val="false"/>
            <w:vAlign w:val="center"/>
            <w:hideMark/>
          </w:tcPr>
          <w:p>
            <w:pPr>
              <w:pStyle w:val="style0"/>
              <w:rPr/>
            </w:pPr>
            <w:r>
              <w:t>430</w:t>
            </w:r>
          </w:p>
        </w:tc>
      </w:tr>
      <w:tr>
        <w:tblPrEx/>
        <w:trPr>
          <w:tblCellSpacing w:w="15" w:type="dxa"/>
        </w:trPr>
        <w:tc>
          <w:tcPr>
            <w:tcW w:w="0" w:type="auto"/>
            <w:tcBorders/>
            <w:tcFitText w:val="false"/>
            <w:vAlign w:val="center"/>
            <w:hideMark/>
          </w:tcPr>
          <w:p>
            <w:pPr>
              <w:pStyle w:val="style0"/>
              <w:rPr/>
            </w:pPr>
            <w:r>
              <w:t>4.5</w:t>
            </w:r>
          </w:p>
        </w:tc>
        <w:tc>
          <w:tcPr>
            <w:tcW w:w="0" w:type="auto"/>
            <w:tcBorders/>
            <w:tcFitText w:val="false"/>
            <w:vAlign w:val="center"/>
            <w:hideMark/>
          </w:tcPr>
          <w:p>
            <w:pPr>
              <w:pStyle w:val="style0"/>
              <w:rPr/>
            </w:pPr>
            <w:r>
              <w:t>300</w:t>
            </w:r>
          </w:p>
        </w:tc>
      </w:tr>
      <w:tr>
        <w:tblPrEx/>
        <w:trPr>
          <w:tblCellSpacing w:w="15" w:type="dxa"/>
        </w:trPr>
        <w:tc>
          <w:tcPr>
            <w:tcW w:w="0" w:type="auto"/>
            <w:tcBorders/>
            <w:tcFitText w:val="false"/>
            <w:vAlign w:val="center"/>
            <w:hideMark/>
          </w:tcPr>
          <w:p>
            <w:pPr>
              <w:pStyle w:val="style0"/>
              <w:rPr/>
            </w:pPr>
            <w:r>
              <w:t>5.0</w:t>
            </w:r>
          </w:p>
        </w:tc>
        <w:tc>
          <w:tcPr>
            <w:tcW w:w="0" w:type="auto"/>
            <w:tcBorders/>
            <w:tcFitText w:val="false"/>
            <w:vAlign w:val="center"/>
            <w:hideMark/>
          </w:tcPr>
          <w:p>
            <w:pPr>
              <w:pStyle w:val="style0"/>
              <w:rPr/>
            </w:pPr>
            <w:r>
              <w:t>145</w:t>
            </w:r>
          </w:p>
        </w:tc>
      </w:tr>
    </w:tbl>
    <w:p>
      <w:pPr>
        <w:pStyle w:val="style0"/>
        <w:rPr/>
      </w:pPr>
      <w:r>
        <w:t xml:space="preserve">Most products are rated between </w:t>
      </w:r>
      <w:r>
        <w:rPr>
          <w:b/>
          <w:bCs/>
        </w:rPr>
        <w:t>3.5 and 4.5</w:t>
      </w:r>
      <w:r>
        <w:t>, suggesting general customer approval.</w:t>
      </w:r>
    </w:p>
    <w:p>
      <w:pPr>
        <w:pStyle w:val="style0"/>
        <w:rPr/>
      </w:pPr>
    </w:p>
    <w:p>
      <w:pPr>
        <w:pStyle w:val="style0"/>
        <w:rPr>
          <w:b/>
          <w:bCs/>
        </w:rPr>
      </w:pPr>
      <w:r>
        <w:rPr>
          <w:b/>
          <w:bCs/>
        </w:rPr>
        <w:t>9. Estimated Revenue Potential by Category</w:t>
      </w:r>
    </w:p>
    <w:p>
      <w:pPr>
        <w:pStyle w:val="style0"/>
        <w:rPr/>
      </w:pPr>
      <w:r>
        <w:t>Calculated by multiplying each product's price with the number of user ratings: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5"/>
        <w:gridCol w:w="2180"/>
      </w:tblGrid>
      <w:tr>
        <w:trPr>
          <w:tblHeader/>
          <w:tblCellSpacing w:w="15" w:type="dxa"/>
        </w:trPr>
        <w:tc>
          <w:tcPr>
            <w:tcW w:w="0" w:type="auto"/>
            <w:tcBorders/>
            <w:tcFitText w:val="false"/>
            <w:vAlign w:val="center"/>
            <w:hideMark/>
          </w:tcPr>
          <w:p>
            <w:pPr>
              <w:pStyle w:val="style0"/>
              <w:rPr>
                <w:b/>
                <w:bCs/>
              </w:rPr>
            </w:pPr>
            <w:r>
              <w:rPr>
                <w:b/>
                <w:bCs/>
              </w:rPr>
              <w:t>Category</w:t>
            </w:r>
          </w:p>
        </w:tc>
        <w:tc>
          <w:tcPr>
            <w:tcW w:w="0" w:type="auto"/>
            <w:tcBorders/>
            <w:tcFitText w:val="false"/>
            <w:vAlign w:val="center"/>
            <w:hideMark/>
          </w:tcPr>
          <w:p>
            <w:pPr>
              <w:pStyle w:val="style0"/>
              <w:rPr>
                <w:b/>
                <w:bCs/>
              </w:rPr>
            </w:pPr>
            <w:r>
              <w:rPr>
                <w:b/>
                <w:bCs/>
              </w:rPr>
              <w:t>Revenue Estimate (₹)</w:t>
            </w:r>
          </w:p>
        </w:tc>
      </w:tr>
      <w:tr>
        <w:tblPrEx/>
        <w:trPr>
          <w:tblCellSpacing w:w="15" w:type="dxa"/>
        </w:trPr>
        <w:tc>
          <w:tcPr>
            <w:tcW w:w="0" w:type="auto"/>
            <w:tcBorders/>
            <w:tcFitText w:val="false"/>
            <w:vAlign w:val="center"/>
            <w:hideMark/>
          </w:tcPr>
          <w:p>
            <w:pPr>
              <w:pStyle w:val="style0"/>
              <w:rPr/>
            </w:pPr>
            <w:r>
              <w:t>Electronics</w:t>
            </w:r>
          </w:p>
        </w:tc>
        <w:tc>
          <w:tcPr>
            <w:tcW w:w="0" w:type="auto"/>
            <w:tcBorders/>
            <w:tcFitText w:val="false"/>
            <w:vAlign w:val="center"/>
            <w:hideMark/>
          </w:tcPr>
          <w:p>
            <w:pPr>
              <w:pStyle w:val="style0"/>
              <w:rPr/>
            </w:pPr>
            <w:r>
              <w:t>262,500,000</w:t>
            </w:r>
          </w:p>
        </w:tc>
      </w:tr>
      <w:tr>
        <w:tblPrEx/>
        <w:trPr>
          <w:tblCellSpacing w:w="15" w:type="dxa"/>
        </w:trPr>
        <w:tc>
          <w:tcPr>
            <w:tcW w:w="0" w:type="auto"/>
            <w:tcBorders/>
            <w:tcFitText w:val="false"/>
            <w:vAlign w:val="center"/>
            <w:hideMark/>
          </w:tcPr>
          <w:p>
            <w:pPr>
              <w:pStyle w:val="style0"/>
              <w:rPr/>
            </w:pPr>
            <w:r>
              <w:t>Books</w:t>
            </w:r>
          </w:p>
        </w:tc>
        <w:tc>
          <w:tcPr>
            <w:tcW w:w="0" w:type="auto"/>
            <w:tcBorders/>
            <w:tcFitText w:val="false"/>
            <w:vAlign w:val="center"/>
            <w:hideMark/>
          </w:tcPr>
          <w:p>
            <w:pPr>
              <w:pStyle w:val="style0"/>
              <w:rPr/>
            </w:pPr>
            <w:r>
              <w:t>59,058,000</w:t>
            </w:r>
          </w:p>
        </w:tc>
      </w:tr>
      <w:tr>
        <w:tblPrEx/>
        <w:trPr>
          <w:tblCellSpacing w:w="15" w:type="dxa"/>
        </w:trPr>
        <w:tc>
          <w:tcPr>
            <w:tcW w:w="0" w:type="auto"/>
            <w:tcBorders/>
            <w:tcFitText w:val="false"/>
            <w:vAlign w:val="center"/>
            <w:hideMark/>
          </w:tcPr>
          <w:p>
            <w:pPr>
              <w:pStyle w:val="style0"/>
              <w:rPr/>
            </w:pPr>
            <w:r>
              <w:t>Home &amp; Kitchen</w:t>
            </w:r>
          </w:p>
        </w:tc>
        <w:tc>
          <w:tcPr>
            <w:tcW w:w="0" w:type="auto"/>
            <w:tcBorders/>
            <w:tcFitText w:val="false"/>
            <w:vAlign w:val="center"/>
            <w:hideMark/>
          </w:tcPr>
          <w:p>
            <w:pPr>
              <w:pStyle w:val="style0"/>
              <w:rPr/>
            </w:pPr>
            <w:r>
              <w:t>95,875,000</w:t>
            </w:r>
          </w:p>
        </w:tc>
      </w:tr>
      <w:tr>
        <w:tblPrEx/>
        <w:trPr>
          <w:tblCellSpacing w:w="15" w:type="dxa"/>
        </w:trPr>
        <w:tc>
          <w:tcPr>
            <w:tcW w:w="0" w:type="auto"/>
            <w:tcBorders/>
            <w:tcFitText w:val="false"/>
            <w:vAlign w:val="center"/>
            <w:hideMark/>
          </w:tcPr>
          <w:p>
            <w:pPr>
              <w:pStyle w:val="style0"/>
              <w:rPr/>
            </w:pPr>
            <w:r>
              <w:t>Fashion</w:t>
            </w:r>
          </w:p>
        </w:tc>
        <w:tc>
          <w:tcPr>
            <w:tcW w:w="0" w:type="auto"/>
            <w:tcBorders/>
            <w:tcFitText w:val="false"/>
            <w:vAlign w:val="center"/>
            <w:hideMark/>
          </w:tcPr>
          <w:p>
            <w:pPr>
              <w:pStyle w:val="style0"/>
              <w:rPr/>
            </w:pPr>
            <w:r>
              <w:t>64,320,000</w:t>
            </w:r>
          </w:p>
        </w:tc>
      </w:tr>
      <w:tr>
        <w:tblPrEx/>
        <w:trPr>
          <w:tblCellSpacing w:w="15" w:type="dxa"/>
        </w:trPr>
        <w:tc>
          <w:tcPr>
            <w:tcW w:w="0" w:type="auto"/>
            <w:tcBorders/>
            <w:tcFitText w:val="false"/>
            <w:vAlign w:val="center"/>
            <w:hideMark/>
          </w:tcPr>
          <w:p>
            <w:pPr>
              <w:pStyle w:val="style0"/>
              <w:rPr/>
            </w:pPr>
            <w:r>
              <w:t>Beauty</w:t>
            </w:r>
          </w:p>
        </w:tc>
        <w:tc>
          <w:tcPr>
            <w:tcW w:w="0" w:type="auto"/>
            <w:tcBorders/>
            <w:tcFitText w:val="false"/>
            <w:vAlign w:val="center"/>
            <w:hideMark/>
          </w:tcPr>
          <w:p>
            <w:pPr>
              <w:pStyle w:val="style0"/>
              <w:rPr/>
            </w:pPr>
            <w:r>
              <w:t>45,285,000</w:t>
            </w:r>
          </w:p>
        </w:tc>
      </w:tr>
    </w:tbl>
    <w:p>
      <w:pPr>
        <w:pStyle w:val="style0"/>
        <w:rPr/>
      </w:pPr>
      <w:r>
        <w:t>Electronics leads in potential revenue based on engagement and pricing.</w:t>
      </w:r>
    </w:p>
    <w:p>
      <w:pPr>
        <w:pStyle w:val="style0"/>
        <w:rPr/>
      </w:pPr>
    </w:p>
    <w:p>
      <w:pPr>
        <w:pStyle w:val="style0"/>
        <w:rPr>
          <w:b/>
          <w:bCs/>
        </w:rPr>
      </w:pPr>
      <w:r>
        <w:rPr>
          <w:b/>
          <w:bCs/>
        </w:rPr>
        <w:t>10. Product Counts by Price Tier</w:t>
      </w:r>
    </w:p>
    <w:p>
      <w:pPr>
        <w:pStyle w:val="style0"/>
        <w:rPr/>
      </w:pPr>
      <w:r>
        <w:t>Classifying products into price groups:</w:t>
      </w:r>
    </w:p>
    <w:p>
      <w:pPr>
        <w:pStyle w:val="style0"/>
        <w:numPr>
          <w:ilvl w:val="0"/>
          <w:numId w:val="7"/>
        </w:numPr>
        <w:rPr/>
      </w:pPr>
      <w:r>
        <w:rPr>
          <w:b/>
          <w:bCs/>
        </w:rPr>
        <w:t>Under ₹200</w:t>
      </w:r>
      <w:r>
        <w:t>: 112 products</w:t>
      </w:r>
    </w:p>
    <w:p>
      <w:pPr>
        <w:pStyle w:val="style0"/>
        <w:numPr>
          <w:ilvl w:val="0"/>
          <w:numId w:val="7"/>
        </w:numPr>
        <w:rPr/>
      </w:pPr>
      <w:r>
        <w:rPr>
          <w:b/>
          <w:bCs/>
        </w:rPr>
        <w:t>₹200 – ₹500</w:t>
      </w:r>
      <w:r>
        <w:t>: 395 products</w:t>
      </w:r>
    </w:p>
    <w:p>
      <w:pPr>
        <w:pStyle w:val="style0"/>
        <w:numPr>
          <w:ilvl w:val="0"/>
          <w:numId w:val="7"/>
        </w:numPr>
        <w:rPr/>
      </w:pPr>
      <w:r>
        <w:rPr>
          <w:b/>
          <w:bCs/>
        </w:rPr>
        <w:t>Above ₹500</w:t>
      </w:r>
      <w:r>
        <w:t>: 958 products</w:t>
      </w:r>
    </w:p>
    <w:p>
      <w:pPr>
        <w:pStyle w:val="style0"/>
        <w:rPr/>
      </w:pPr>
      <w:r>
        <w:t>Most items are priced above ₹500, indicating a focus on mid- to high-value goods.</w:t>
      </w:r>
    </w:p>
    <w:p>
      <w:pPr>
        <w:pStyle w:val="style0"/>
        <w:rPr/>
      </w:pPr>
    </w:p>
    <w:p>
      <w:pPr>
        <w:pStyle w:val="style0"/>
        <w:rPr>
          <w:b/>
          <w:bCs/>
        </w:rPr>
      </w:pPr>
      <w:r>
        <w:rPr>
          <w:b/>
          <w:bCs/>
        </w:rPr>
        <w:t>11. Discount and Rating Relationship</w:t>
      </w:r>
    </w:p>
    <w:p>
      <w:pPr>
        <w:pStyle w:val="style0"/>
        <w:rPr/>
      </w:pPr>
      <w:r>
        <w:t xml:space="preserve">A trend comparison shows </w:t>
      </w:r>
      <w:r>
        <w:rPr>
          <w:b/>
          <w:bCs/>
        </w:rPr>
        <w:t>no direct relationship</w:t>
      </w:r>
      <w:r>
        <w:t xml:space="preserve"> between the size of the discount and the product rating. High- and low-rated products are distributed across all discount ranges.</w:t>
      </w:r>
    </w:p>
    <w:p>
      <w:pPr>
        <w:pStyle w:val="style0"/>
        <w:rPr/>
      </w:pPr>
    </w:p>
    <w:p>
      <w:pPr>
        <w:pStyle w:val="style0"/>
        <w:rPr>
          <w:b/>
          <w:bCs/>
        </w:rPr>
      </w:pPr>
      <w:r>
        <w:rPr>
          <w:b/>
          <w:bCs/>
        </w:rPr>
        <w:t>12. Products with Low Engagement (Under 1,000 Reviews)</w:t>
      </w:r>
    </w:p>
    <w:p>
      <w:pPr>
        <w:pStyle w:val="style0"/>
        <w:rPr/>
      </w:pPr>
      <w:r>
        <w:t xml:space="preserve">There are </w:t>
      </w:r>
      <w:r>
        <w:rPr>
          <w:b/>
          <w:bCs/>
        </w:rPr>
        <w:t>982</w:t>
      </w:r>
      <w:r>
        <w:t xml:space="preserve"> products that have not yet surpassed the 1,000-review threshold. These may benefit from visibility campaigns or customer feedback initiatives.</w:t>
      </w:r>
    </w:p>
    <w:p>
      <w:pPr>
        <w:pStyle w:val="style0"/>
        <w:rPr/>
      </w:pPr>
    </w:p>
    <w:p>
      <w:pPr>
        <w:pStyle w:val="style0"/>
        <w:rPr>
          <w:b/>
          <w:bCs/>
        </w:rPr>
      </w:pPr>
      <w:r>
        <w:rPr>
          <w:b/>
          <w:bCs/>
        </w:rPr>
        <w:t>13. Highest Discount Categories</w:t>
      </w:r>
    </w:p>
    <w:p>
      <w:pPr>
        <w:pStyle w:val="style0"/>
        <w:rPr/>
      </w:pPr>
      <w:r>
        <w:t>Categories with the most generous average discounts:</w:t>
      </w:r>
    </w:p>
    <w:p>
      <w:pPr>
        <w:pStyle w:val="style0"/>
        <w:numPr>
          <w:ilvl w:val="0"/>
          <w:numId w:val="8"/>
        </w:numPr>
        <w:rPr/>
      </w:pPr>
      <w:r>
        <w:rPr>
          <w:b/>
          <w:bCs/>
        </w:rPr>
        <w:t>Fashion</w:t>
      </w:r>
    </w:p>
    <w:p>
      <w:pPr>
        <w:pStyle w:val="style0"/>
        <w:numPr>
          <w:ilvl w:val="0"/>
          <w:numId w:val="8"/>
        </w:numPr>
        <w:rPr/>
      </w:pPr>
      <w:r>
        <w:rPr>
          <w:b/>
          <w:bCs/>
        </w:rPr>
        <w:t>Beauty</w:t>
      </w:r>
    </w:p>
    <w:p>
      <w:pPr>
        <w:pStyle w:val="style0"/>
        <w:numPr>
          <w:ilvl w:val="0"/>
          <w:numId w:val="8"/>
        </w:numPr>
        <w:rPr/>
      </w:pPr>
      <w:r>
        <w:rPr>
          <w:b/>
          <w:bCs/>
        </w:rPr>
        <w:t>Home Essentials</w:t>
      </w:r>
    </w:p>
    <w:p>
      <w:pPr>
        <w:pStyle w:val="style0"/>
        <w:rPr/>
      </w:pPr>
      <w:r>
        <w:t>These categories likely face stronger competition and price sensitivity.</w:t>
      </w:r>
    </w:p>
    <w:p>
      <w:pPr>
        <w:pStyle w:val="style0"/>
        <w:rPr/>
      </w:pPr>
    </w:p>
    <w:p>
      <w:pPr>
        <w:pStyle w:val="style0"/>
        <w:rPr>
          <w:b/>
          <w:bCs/>
        </w:rPr>
      </w:pPr>
      <w:r>
        <w:rPr>
          <w:b/>
          <w:bCs/>
        </w:rPr>
        <w:t>14. Top 5 Products by Rating and Review Count (Combined Score)</w:t>
      </w:r>
    </w:p>
    <w:p>
      <w:pPr>
        <w:pStyle w:val="style0"/>
        <w:rPr/>
      </w:pPr>
      <w:r>
        <w:t>Using a scoring model that weighs both ratings and engagement:</w:t>
      </w:r>
    </w:p>
    <w:p>
      <w:pPr>
        <w:pStyle w:val="style0"/>
        <w:numPr>
          <w:ilvl w:val="0"/>
          <w:numId w:val="9"/>
        </w:numPr>
        <w:rPr/>
      </w:pPr>
      <w:r>
        <w:t>Smart Fitness Watch</w:t>
      </w:r>
    </w:p>
    <w:p>
      <w:pPr>
        <w:pStyle w:val="style0"/>
        <w:numPr>
          <w:ilvl w:val="0"/>
          <w:numId w:val="9"/>
        </w:numPr>
        <w:rPr/>
      </w:pPr>
      <w:r>
        <w:t>7-in-1 Cooking Appliance</w:t>
      </w:r>
    </w:p>
    <w:p>
      <w:pPr>
        <w:pStyle w:val="style0"/>
        <w:numPr>
          <w:ilvl w:val="0"/>
          <w:numId w:val="9"/>
        </w:numPr>
        <w:rPr/>
      </w:pPr>
      <w:r>
        <w:t>Premium Headphones</w:t>
      </w:r>
    </w:p>
    <w:p>
      <w:pPr>
        <w:pStyle w:val="style0"/>
        <w:numPr>
          <w:ilvl w:val="0"/>
          <w:numId w:val="9"/>
        </w:numPr>
        <w:rPr/>
      </w:pPr>
      <w:r>
        <w:t>Leather Journal</w:t>
      </w:r>
    </w:p>
    <w:p>
      <w:pPr>
        <w:pStyle w:val="style0"/>
        <w:numPr>
          <w:ilvl w:val="0"/>
          <w:numId w:val="9"/>
        </w:numPr>
        <w:rPr/>
      </w:pPr>
      <w:r>
        <w:t>Digital Air Fryer</w:t>
      </w:r>
    </w:p>
    <w:p>
      <w:pPr>
        <w:pStyle w:val="style0"/>
        <w:rPr/>
      </w:pPr>
      <w:r>
        <w:t>These products combine both user satisfaction and high visibility.</w:t>
      </w:r>
    </w:p>
    <w:p>
      <w:pPr>
        <w:pStyle w:val="style0"/>
        <w:rPr/>
      </w:pPr>
    </w:p>
    <w:p>
      <w:pPr>
        <w:pStyle w:val="style0"/>
        <w:rPr>
          <w:b/>
          <w:bCs/>
        </w:rPr>
      </w:pPr>
      <w:r>
        <w:rPr>
          <w:b/>
          <w:bCs/>
        </w:rPr>
        <w:t>4. Dashboard Overview</w:t>
      </w:r>
    </w:p>
    <w:p>
      <w:pPr>
        <w:pStyle w:val="style0"/>
        <w:rPr/>
      </w:pPr>
      <w:r>
        <w:t>An Excel dashboard was built to support dynamic exploration of the dataset. Features include:</w:t>
      </w:r>
    </w:p>
    <w:p>
      <w:pPr>
        <w:pStyle w:val="style0"/>
        <w:numPr>
          <w:ilvl w:val="0"/>
          <w:numId w:val="10"/>
        </w:numPr>
        <w:rPr/>
      </w:pPr>
      <w:r>
        <w:rPr>
          <w:b/>
          <w:bCs/>
        </w:rPr>
        <w:t>Category Summary Cards</w:t>
      </w:r>
      <w:r>
        <w:t>: Showing count, average price, and rating</w:t>
      </w:r>
    </w:p>
    <w:p>
      <w:pPr>
        <w:pStyle w:val="style0"/>
        <w:numPr>
          <w:ilvl w:val="0"/>
          <w:numId w:val="10"/>
        </w:numPr>
        <w:rPr/>
      </w:pPr>
      <w:r>
        <w:rPr>
          <w:b/>
          <w:bCs/>
        </w:rPr>
        <w:t>Charts</w:t>
      </w:r>
      <w:r>
        <w:t>: Bar graphs, pie charts, and histograms illustrating discounts, reviews, and pricing</w:t>
      </w:r>
    </w:p>
    <w:p>
      <w:pPr>
        <w:pStyle w:val="style0"/>
        <w:numPr>
          <w:ilvl w:val="0"/>
          <w:numId w:val="10"/>
        </w:numPr>
        <w:rPr/>
      </w:pPr>
      <w:r>
        <w:rPr>
          <w:b/>
          <w:bCs/>
        </w:rPr>
        <w:t>Filters</w:t>
      </w:r>
      <w:r>
        <w:t>: Slicers for category, rating range, and discount range</w:t>
      </w:r>
    </w:p>
    <w:p>
      <w:pPr>
        <w:pStyle w:val="style0"/>
        <w:numPr>
          <w:ilvl w:val="0"/>
          <w:numId w:val="10"/>
        </w:numPr>
        <w:rPr/>
      </w:pPr>
      <w:r>
        <w:rPr>
          <w:b/>
          <w:bCs/>
        </w:rPr>
        <w:t>Revenue Tracker</w:t>
      </w:r>
      <w:r>
        <w:t>: Visual summary of category revenue estimates</w:t>
      </w:r>
    </w:p>
    <w:p>
      <w:pPr>
        <w:pStyle w:val="style0"/>
        <w:rPr/>
      </w:pPr>
    </w:p>
    <w:p>
      <w:pPr>
        <w:pStyle w:val="style0"/>
        <w:rPr>
          <w:b/>
          <w:bCs/>
        </w:rPr>
      </w:pPr>
      <w:r>
        <w:rPr>
          <w:b/>
          <w:bCs/>
        </w:rPr>
        <w:t>5. Recommendations</w:t>
      </w:r>
    </w:p>
    <w:p>
      <w:pPr>
        <w:pStyle w:val="style0"/>
        <w:numPr>
          <w:ilvl w:val="0"/>
          <w:numId w:val="11"/>
        </w:numPr>
        <w:rPr/>
      </w:pPr>
      <w:r>
        <w:rPr>
          <w:b/>
          <w:bCs/>
        </w:rPr>
        <w:t>Increase Visibility of Low-Reviewed Products</w:t>
      </w:r>
      <w:r>
        <w:t>: Focus marketing on items with limited user feedback.</w:t>
      </w:r>
    </w:p>
    <w:p>
      <w:pPr>
        <w:pStyle w:val="style0"/>
        <w:numPr>
          <w:ilvl w:val="0"/>
          <w:numId w:val="11"/>
        </w:numPr>
        <w:rPr/>
      </w:pPr>
      <w:r>
        <w:rPr>
          <w:b/>
          <w:bCs/>
        </w:rPr>
        <w:t>Monitor High Discount Items</w:t>
      </w:r>
      <w:r>
        <w:t>: Ensure margins remain healthy in Fashion and Beauty segments.</w:t>
      </w:r>
    </w:p>
    <w:p>
      <w:pPr>
        <w:pStyle w:val="style0"/>
        <w:numPr>
          <w:ilvl w:val="0"/>
          <w:numId w:val="11"/>
        </w:numPr>
        <w:rPr/>
      </w:pPr>
      <w:r>
        <w:rPr>
          <w:b/>
          <w:bCs/>
        </w:rPr>
        <w:t>Promote High-Performing SKUs</w:t>
      </w:r>
      <w:r>
        <w:t>: Feature top-rated and most-reviewed items in sales campaigns.</w:t>
      </w:r>
    </w:p>
    <w:p>
      <w:pPr>
        <w:pStyle w:val="style0"/>
        <w:numPr>
          <w:ilvl w:val="0"/>
          <w:numId w:val="11"/>
        </w:numPr>
        <w:rPr/>
      </w:pPr>
      <w:r>
        <w:rPr>
          <w:b/>
          <w:bCs/>
        </w:rPr>
        <w:t>Review Pricing Strategy</w:t>
      </w:r>
      <w:r>
        <w:t>: Consider product bundles or tiered discounts to drive higher conversions in underperforming price segments.</w:t>
      </w:r>
    </w:p>
    <w:p>
      <w:pPr>
        <w:pStyle w:val="style0"/>
        <w:rPr/>
      </w:pPr>
    </w:p>
    <w:p>
      <w:pPr>
        <w:pStyle w:val="style0"/>
        <w:rPr/>
      </w:pPr>
      <w:r>
        <w:rPr>
          <w:b/>
          <w:bCs/>
        </w:rPr>
        <w:t>Prepared by</w:t>
      </w:r>
      <w:r>
        <w:t>:</w:t>
      </w:r>
      <w:r>
        <w:br/>
      </w:r>
      <w:r>
        <w:t xml:space="preserve">Chris </w:t>
      </w:r>
      <w:r>
        <w:t>Ozien</w:t>
      </w:r>
      <w:r>
        <w:t>i</w:t>
      </w:r>
      <w:r>
        <w:t>kpe</w:t>
      </w:r>
      <w:r>
        <w:br/>
      </w:r>
      <w:r>
        <w:t xml:space="preserve">Junior Data Analyst, </w:t>
      </w:r>
      <w:r>
        <w:t>RetailTech</w:t>
      </w:r>
      <w:r>
        <w:t xml:space="preserve"> Insights</w:t>
      </w:r>
      <w:r>
        <w:br/>
      </w:r>
      <w:r>
        <w:rPr>
          <w:b/>
          <w:bCs/>
        </w:rPr>
        <w:t>Date</w:t>
      </w:r>
      <w:r>
        <w:t>: June 29, 2025</w:t>
      </w: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4002EFF" w:usb1="C200247B" w:usb2="00000009" w:usb3="00000000" w:csb0="000001FF" w:csb1="00000000"/>
  </w:font>
  <w:font w:name="Calibri Light">
    <w:altName w:val="Calibri Light"/>
    <w:panose1 w:val="020f0302020000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F9B2CB9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
    <w:nsid w:val="00000001"/>
    <w:multiLevelType w:val="multilevel"/>
    <w:tmpl w:val="F23A351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
    <w:nsid w:val="00000002"/>
    <w:multiLevelType w:val="multilevel"/>
    <w:tmpl w:val="289C51C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
    <w:nsid w:val="00000003"/>
    <w:multiLevelType w:val="multilevel"/>
    <w:tmpl w:val="8DDA4A8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
    <w:nsid w:val="00000004"/>
    <w:multiLevelType w:val="multilevel"/>
    <w:tmpl w:val="20604FC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5">
    <w:nsid w:val="00000005"/>
    <w:multiLevelType w:val="multilevel"/>
    <w:tmpl w:val="D5B28E7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6">
    <w:nsid w:val="00000006"/>
    <w:multiLevelType w:val="multilevel"/>
    <w:tmpl w:val="AF24AA9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7">
    <w:nsid w:val="00000007"/>
    <w:multiLevelType w:val="multilevel"/>
    <w:tmpl w:val="037619DE"/>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8">
    <w:nsid w:val="00000008"/>
    <w:multiLevelType w:val="multilevel"/>
    <w:tmpl w:val="51B6137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9">
    <w:nsid w:val="00000009"/>
    <w:multiLevelType w:val="multilevel"/>
    <w:tmpl w:val="AB9CEB1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0">
    <w:nsid w:val="0000000A"/>
    <w:multiLevelType w:val="multilevel"/>
    <w:tmpl w:val="903CC26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num w:numId="1">
    <w:abstractNumId w:val="4"/>
  </w:num>
  <w:num w:numId="2">
    <w:abstractNumId w:val="1"/>
  </w:num>
  <w:num w:numId="3">
    <w:abstractNumId w:val="8"/>
  </w:num>
  <w:num w:numId="4">
    <w:abstractNumId w:val="0"/>
  </w:num>
  <w:num w:numId="5">
    <w:abstractNumId w:val="3"/>
  </w:num>
  <w:num w:numId="6">
    <w:abstractNumId w:val="5"/>
  </w:num>
  <w:num w:numId="7">
    <w:abstractNumId w:val="10"/>
  </w:num>
  <w:num w:numId="8">
    <w:abstractNumId w:val="6"/>
  </w:num>
  <w:num w:numId="9">
    <w:abstractNumId w:val="7"/>
  </w:num>
  <w:num w:numId="10">
    <w:abstractNumId w:val="2"/>
  </w:num>
  <w:num w:numId="11">
    <w:abstractNumId w:val="9"/>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cumentProtection w:edit="none"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Calibri" w:cs="宋体" w:eastAsia="Calibri" w:hAnsi="Calibri"/>
        <w:kern w:val="2"/>
        <w:sz w:val="24"/>
        <w:szCs w:val="24"/>
        <w:lang w:val="en-US" w:bidi="ar-SA" w:eastAsia="en-US"/>
        <w14:ligatures xmlns:w14="http://schemas.microsoft.com/office/word/2010/wordml" w14:val="standardContextual"/>
      </w:rPr>
    </w:rPrDefault>
    <w:pPrDefault>
      <w:pPr>
        <w:spacing w:after="160" w:lineRule="auto" w:line="278"/>
      </w:pPr>
    </w:pPrDefault>
  </w:docDefaults>
  <w:style w:type="paragraph" w:default="1" w:styleId="style0">
    <w:name w:val="Normal"/>
    <w:next w:val="style0"/>
    <w:qFormat/>
    <w:pPr/>
  </w:style>
  <w:style w:type="paragraph" w:styleId="style1">
    <w:name w:val="heading 1"/>
    <w:basedOn w:val="style0"/>
    <w:next w:val="style0"/>
    <w:link w:val="style4097"/>
    <w:qFormat/>
    <w:uiPriority w:val="9"/>
    <w:pPr>
      <w:keepNext/>
      <w:keepLines/>
      <w:spacing w:before="360" w:after="80"/>
      <w:outlineLvl w:val="0"/>
    </w:pPr>
    <w:rPr>
      <w:rFonts w:ascii="Calibri Light" w:cs="宋体" w:eastAsia="宋体" w:hAnsi="Calibri Light"/>
      <w:color w:val="2f5496"/>
      <w:sz w:val="40"/>
      <w:szCs w:val="40"/>
    </w:rPr>
  </w:style>
  <w:style w:type="paragraph" w:styleId="style2">
    <w:name w:val="heading 2"/>
    <w:basedOn w:val="style0"/>
    <w:next w:val="style0"/>
    <w:link w:val="style4098"/>
    <w:qFormat/>
    <w:uiPriority w:val="9"/>
    <w:pPr>
      <w:keepNext/>
      <w:keepLines/>
      <w:spacing w:before="160" w:after="80"/>
      <w:outlineLvl w:val="1"/>
    </w:pPr>
    <w:rPr>
      <w:rFonts w:ascii="Calibri Light" w:cs="宋体" w:eastAsia="宋体" w:hAnsi="Calibri Light"/>
      <w:color w:val="2f5496"/>
      <w:sz w:val="32"/>
      <w:szCs w:val="32"/>
    </w:rPr>
  </w:style>
  <w:style w:type="paragraph" w:styleId="style3">
    <w:name w:val="heading 3"/>
    <w:basedOn w:val="style0"/>
    <w:next w:val="style0"/>
    <w:link w:val="style4099"/>
    <w:qFormat/>
    <w:uiPriority w:val="9"/>
    <w:pPr>
      <w:keepNext/>
      <w:keepLines/>
      <w:spacing w:before="160" w:after="80"/>
      <w:outlineLvl w:val="2"/>
    </w:pPr>
    <w:rPr>
      <w:rFonts w:cs="宋体" w:eastAsia="宋体"/>
      <w:color w:val="2f5496"/>
      <w:sz w:val="28"/>
      <w:szCs w:val="28"/>
    </w:rPr>
  </w:style>
  <w:style w:type="paragraph" w:styleId="style4">
    <w:name w:val="heading 4"/>
    <w:basedOn w:val="style0"/>
    <w:next w:val="style0"/>
    <w:link w:val="style4100"/>
    <w:qFormat/>
    <w:uiPriority w:val="9"/>
    <w:pPr>
      <w:keepNext/>
      <w:keepLines/>
      <w:spacing w:before="80" w:after="40"/>
      <w:outlineLvl w:val="3"/>
    </w:pPr>
    <w:rPr>
      <w:rFonts w:cs="宋体" w:eastAsia="宋体"/>
      <w:i/>
      <w:iCs/>
      <w:color w:val="2f5496"/>
    </w:rPr>
  </w:style>
  <w:style w:type="paragraph" w:styleId="style5">
    <w:name w:val="heading 5"/>
    <w:basedOn w:val="style0"/>
    <w:next w:val="style0"/>
    <w:link w:val="style4101"/>
    <w:qFormat/>
    <w:uiPriority w:val="9"/>
    <w:pPr>
      <w:keepNext/>
      <w:keepLines/>
      <w:spacing w:before="80" w:after="40"/>
      <w:outlineLvl w:val="4"/>
    </w:pPr>
    <w:rPr>
      <w:rFonts w:cs="宋体" w:eastAsia="宋体"/>
      <w:color w:val="2f5496"/>
    </w:rPr>
  </w:style>
  <w:style w:type="paragraph" w:styleId="style6">
    <w:name w:val="heading 6"/>
    <w:basedOn w:val="style0"/>
    <w:next w:val="style0"/>
    <w:link w:val="style4102"/>
    <w:qFormat/>
    <w:uiPriority w:val="9"/>
    <w:pPr>
      <w:keepNext/>
      <w:keepLines/>
      <w:spacing w:before="40" w:after="0"/>
      <w:outlineLvl w:val="5"/>
    </w:pPr>
    <w:rPr>
      <w:rFonts w:cs="宋体" w:eastAsia="宋体"/>
      <w:i/>
      <w:iCs/>
      <w:color w:val="595959"/>
    </w:rPr>
  </w:style>
  <w:style w:type="paragraph" w:styleId="style7">
    <w:name w:val="heading 7"/>
    <w:basedOn w:val="style0"/>
    <w:next w:val="style0"/>
    <w:link w:val="style4103"/>
    <w:qFormat/>
    <w:uiPriority w:val="9"/>
    <w:pPr>
      <w:keepNext/>
      <w:keepLines/>
      <w:spacing w:before="40" w:after="0"/>
      <w:outlineLvl w:val="6"/>
    </w:pPr>
    <w:rPr>
      <w:rFonts w:cs="宋体" w:eastAsia="宋体"/>
      <w:color w:val="595959"/>
    </w:rPr>
  </w:style>
  <w:style w:type="paragraph" w:styleId="style8">
    <w:name w:val="heading 8"/>
    <w:basedOn w:val="style0"/>
    <w:next w:val="style0"/>
    <w:link w:val="style4104"/>
    <w:qFormat/>
    <w:uiPriority w:val="9"/>
    <w:pPr>
      <w:keepNext/>
      <w:keepLines/>
      <w:spacing w:after="0"/>
      <w:outlineLvl w:val="7"/>
    </w:pPr>
    <w:rPr>
      <w:rFonts w:cs="宋体" w:eastAsia="宋体"/>
      <w:i/>
      <w:iCs/>
      <w:color w:val="272727"/>
    </w:rPr>
  </w:style>
  <w:style w:type="paragraph" w:styleId="style9">
    <w:name w:val="heading 9"/>
    <w:basedOn w:val="style0"/>
    <w:next w:val="style0"/>
    <w:link w:val="style4105"/>
    <w:qFormat/>
    <w:uiPriority w:val="9"/>
    <w:pPr>
      <w:keepNext/>
      <w:keepLines/>
      <w:spacing w:after="0"/>
      <w:outlineLvl w:val="8"/>
    </w:pPr>
    <w:rPr>
      <w:rFonts w:cs="宋体" w:eastAsia="宋体"/>
      <w:color w:val="272727"/>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81685be4-0f00-4db9-a594-c6b8f08def02"/>
    <w:basedOn w:val="style65"/>
    <w:next w:val="style4097"/>
    <w:link w:val="style1"/>
    <w:uiPriority w:val="9"/>
    <w:rPr>
      <w:rFonts w:ascii="Calibri Light" w:cs="宋体" w:eastAsia="宋体" w:hAnsi="Calibri Light"/>
      <w:color w:val="2f5496"/>
      <w:sz w:val="40"/>
      <w:szCs w:val="40"/>
    </w:rPr>
  </w:style>
  <w:style w:type="character" w:customStyle="1" w:styleId="style4098">
    <w:name w:val="Heading 2 Char_2740c83d-90fb-4cc2-bfab-2c4ae4394be5"/>
    <w:basedOn w:val="style65"/>
    <w:next w:val="style4098"/>
    <w:link w:val="style2"/>
    <w:uiPriority w:val="9"/>
    <w:rPr>
      <w:rFonts w:ascii="Calibri Light" w:cs="宋体" w:eastAsia="宋体" w:hAnsi="Calibri Light"/>
      <w:color w:val="2f5496"/>
      <w:sz w:val="32"/>
      <w:szCs w:val="32"/>
    </w:rPr>
  </w:style>
  <w:style w:type="character" w:customStyle="1" w:styleId="style4099">
    <w:name w:val="Heading 3 Char_bf2b7594-d02d-4988-9056-55e1d7e14f0c"/>
    <w:basedOn w:val="style65"/>
    <w:next w:val="style4099"/>
    <w:link w:val="style3"/>
    <w:uiPriority w:val="9"/>
    <w:rPr>
      <w:rFonts w:cs="宋体" w:eastAsia="宋体"/>
      <w:color w:val="2f5496"/>
      <w:sz w:val="28"/>
      <w:szCs w:val="28"/>
    </w:rPr>
  </w:style>
  <w:style w:type="character" w:customStyle="1" w:styleId="style4100">
    <w:name w:val="Heading 4 Char_b44f68ce-a829-4b4f-ad99-392d2e4ee819"/>
    <w:basedOn w:val="style65"/>
    <w:next w:val="style4100"/>
    <w:link w:val="style4"/>
    <w:uiPriority w:val="9"/>
    <w:rPr>
      <w:rFonts w:cs="宋体" w:eastAsia="宋体"/>
      <w:i/>
      <w:iCs/>
      <w:color w:val="2f5496"/>
    </w:rPr>
  </w:style>
  <w:style w:type="character" w:customStyle="1" w:styleId="style4101">
    <w:name w:val="Heading 5 Char_11ce9414-8764-4a82-9529-661d18da3639"/>
    <w:basedOn w:val="style65"/>
    <w:next w:val="style4101"/>
    <w:link w:val="style5"/>
    <w:uiPriority w:val="9"/>
    <w:rPr>
      <w:rFonts w:cs="宋体" w:eastAsia="宋体"/>
      <w:color w:val="2f5496"/>
    </w:rPr>
  </w:style>
  <w:style w:type="character" w:customStyle="1" w:styleId="style4102">
    <w:name w:val="Heading 6 Char_2f12189c-a6f7-4718-b716-381a8f91ac81"/>
    <w:basedOn w:val="style65"/>
    <w:next w:val="style4102"/>
    <w:link w:val="style6"/>
    <w:uiPriority w:val="9"/>
    <w:rPr>
      <w:rFonts w:cs="宋体" w:eastAsia="宋体"/>
      <w:i/>
      <w:iCs/>
      <w:color w:val="595959"/>
    </w:rPr>
  </w:style>
  <w:style w:type="character" w:customStyle="1" w:styleId="style4103">
    <w:name w:val="Heading 7 Char_ae4d93f3-30d1-4e55-9cc1-a149144156f1"/>
    <w:basedOn w:val="style65"/>
    <w:next w:val="style4103"/>
    <w:link w:val="style7"/>
    <w:uiPriority w:val="9"/>
    <w:rPr>
      <w:rFonts w:cs="宋体" w:eastAsia="宋体"/>
      <w:color w:val="595959"/>
    </w:rPr>
  </w:style>
  <w:style w:type="character" w:customStyle="1" w:styleId="style4104">
    <w:name w:val="Heading 8 Char_4b75a1e6-051e-4f1c-86cf-cd471fcf42f1"/>
    <w:basedOn w:val="style65"/>
    <w:next w:val="style4104"/>
    <w:link w:val="style8"/>
    <w:uiPriority w:val="9"/>
    <w:rPr>
      <w:rFonts w:cs="宋体" w:eastAsia="宋体"/>
      <w:i/>
      <w:iCs/>
      <w:color w:val="272727"/>
    </w:rPr>
  </w:style>
  <w:style w:type="character" w:customStyle="1" w:styleId="style4105">
    <w:name w:val="Heading 9 Char_8ad85fee-59ad-45fc-b074-f16ab951b7d8"/>
    <w:basedOn w:val="style65"/>
    <w:next w:val="style4105"/>
    <w:link w:val="style9"/>
    <w:uiPriority w:val="9"/>
    <w:rPr>
      <w:rFonts w:cs="宋体" w:eastAsia="宋体"/>
      <w:color w:val="272727"/>
    </w:rPr>
  </w:style>
  <w:style w:type="paragraph" w:styleId="style62">
    <w:name w:val="Title"/>
    <w:basedOn w:val="style0"/>
    <w:next w:val="style0"/>
    <w:link w:val="style4106"/>
    <w:qFormat/>
    <w:uiPriority w:val="10"/>
    <w:pPr>
      <w:spacing w:after="80" w:lineRule="auto" w:line="240"/>
      <w:contextualSpacing/>
    </w:pPr>
    <w:rPr>
      <w:rFonts w:ascii="Calibri Light" w:cs="宋体" w:eastAsia="宋体" w:hAnsi="Calibri Light"/>
      <w:spacing w:val="-10"/>
      <w:kern w:val="28"/>
      <w:sz w:val="56"/>
      <w:szCs w:val="56"/>
    </w:rPr>
  </w:style>
  <w:style w:type="character" w:customStyle="1" w:styleId="style4106">
    <w:name w:val="Title Char_e2fba9bd-c6e5-4a33-b56d-c7b321801c0f"/>
    <w:basedOn w:val="style65"/>
    <w:next w:val="style4106"/>
    <w:link w:val="style62"/>
    <w:uiPriority w:val="10"/>
    <w:rPr>
      <w:rFonts w:ascii="Calibri Light" w:cs="宋体" w:eastAsia="宋体" w:hAnsi="Calibri Light"/>
      <w:spacing w:val="-10"/>
      <w:kern w:val="28"/>
      <w:sz w:val="56"/>
      <w:szCs w:val="56"/>
    </w:rPr>
  </w:style>
  <w:style w:type="paragraph" w:styleId="style74">
    <w:name w:val="Subtitle"/>
    <w:basedOn w:val="style0"/>
    <w:next w:val="style0"/>
    <w:link w:val="style4107"/>
    <w:qFormat/>
    <w:uiPriority w:val="11"/>
    <w:pPr>
      <w:numPr>
        <w:ilvl w:val="1"/>
        <w:numId w:val="0"/>
      </w:numPr>
    </w:pPr>
    <w:rPr>
      <w:rFonts w:cs="宋体" w:eastAsia="宋体"/>
      <w:color w:val="595959"/>
      <w:spacing w:val="15"/>
      <w:sz w:val="28"/>
      <w:szCs w:val="28"/>
    </w:rPr>
  </w:style>
  <w:style w:type="character" w:customStyle="1" w:styleId="style4107">
    <w:name w:val="Subtitle Char"/>
    <w:basedOn w:val="style65"/>
    <w:next w:val="style4107"/>
    <w:link w:val="style74"/>
    <w:uiPriority w:val="11"/>
    <w:rPr>
      <w:rFonts w:cs="宋体" w:eastAsia="宋体"/>
      <w:color w:val="595959"/>
      <w:spacing w:val="15"/>
      <w:sz w:val="28"/>
      <w:szCs w:val="28"/>
    </w:rPr>
  </w:style>
  <w:style w:type="paragraph" w:styleId="style180">
    <w:name w:val="Quote"/>
    <w:basedOn w:val="style0"/>
    <w:next w:val="style0"/>
    <w:link w:val="style4108"/>
    <w:qFormat/>
    <w:uiPriority w:val="29"/>
    <w:pPr>
      <w:spacing w:before="160"/>
      <w:jc w:val="center"/>
    </w:pPr>
    <w:rPr>
      <w:i/>
      <w:iCs/>
      <w:color w:val="404040"/>
    </w:rPr>
  </w:style>
  <w:style w:type="character" w:customStyle="1" w:styleId="style4108">
    <w:name w:val="Quote Char_cffdaeba-67bd-4ecc-9de7-039a56bbe636"/>
    <w:basedOn w:val="style65"/>
    <w:next w:val="style4108"/>
    <w:link w:val="style180"/>
    <w:uiPriority w:val="29"/>
    <w:rPr>
      <w:i/>
      <w:iCs/>
      <w:color w:val="404040"/>
    </w:rPr>
  </w:style>
  <w:style w:type="paragraph" w:styleId="style179">
    <w:name w:val="List Paragraph"/>
    <w:basedOn w:val="style0"/>
    <w:next w:val="style179"/>
    <w:qFormat/>
    <w:uiPriority w:val="34"/>
    <w:pPr>
      <w:ind w:left="720"/>
      <w:contextualSpacing/>
    </w:pPr>
    <w:rPr/>
  </w:style>
  <w:style w:type="character" w:styleId="style261">
    <w:name w:val="Intense Emphasis"/>
    <w:basedOn w:val="style65"/>
    <w:next w:val="style261"/>
    <w:qFormat/>
    <w:uiPriority w:val="21"/>
    <w:rPr>
      <w:i/>
      <w:iCs/>
      <w:color w:val="2f5496"/>
    </w:rPr>
  </w:style>
  <w:style w:type="paragraph" w:styleId="style181">
    <w:name w:val="Intense Quote"/>
    <w:basedOn w:val="style0"/>
    <w:next w:val="style0"/>
    <w:link w:val="style4109"/>
    <w:qFormat/>
    <w:uiPriority w:val="30"/>
    <w:pPr>
      <w:pBdr>
        <w:top w:val="single" w:sz="4" w:space="10" w:color="2f5496"/>
        <w:bottom w:val="single" w:sz="4" w:space="10" w:color="2f5496"/>
      </w:pBdr>
      <w:spacing w:before="360" w:after="360"/>
      <w:ind w:left="864" w:right="864"/>
      <w:jc w:val="center"/>
    </w:pPr>
    <w:rPr>
      <w:i/>
      <w:iCs/>
      <w:color w:val="2f5496"/>
    </w:rPr>
  </w:style>
  <w:style w:type="character" w:customStyle="1" w:styleId="style4109">
    <w:name w:val="Intense Quote Char_77de4af2-c1c5-4557-a5d3-1151bc9233ab"/>
    <w:basedOn w:val="style65"/>
    <w:next w:val="style4109"/>
    <w:link w:val="style181"/>
    <w:uiPriority w:val="30"/>
    <w:rPr>
      <w:i/>
      <w:iCs/>
      <w:color w:val="2f5496"/>
    </w:rPr>
  </w:style>
  <w:style w:type="character" w:styleId="style263">
    <w:name w:val="Intense Reference"/>
    <w:basedOn w:val="style65"/>
    <w:next w:val="style263"/>
    <w:qFormat/>
    <w:uiPriority w:val="32"/>
    <w:rPr>
      <w:b/>
      <w:bCs/>
      <w:smallCaps/>
      <w:color w:val="2f5496"/>
      <w:spacing w:val="5"/>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667</Words>
  <Characters>4019</Characters>
  <Application>WPS Office</Application>
  <DocSecurity>0</DocSecurity>
  <Paragraphs>173</Paragraphs>
  <ScaleCrop>false</ScaleCrop>
  <LinksUpToDate>false</LinksUpToDate>
  <CharactersWithSpaces>4554</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2025-07-07T00:29:56Z</dcterms:created>
  <dc:creator>CHARLES IFEANYI</dc:creator>
  <lastModifiedBy>TECNO CD7</lastModifiedBy>
  <dcterms:modified xsi:type="dcterms:W3CDTF">2025-07-07T00:29:56Z</dcterms:modified>
  <revision>2</revision>
</coreProperties>
</file>

<file path=docProps/custom.xml><?xml version="1.0" encoding="utf-8"?>
<Properties xmlns="http://schemas.openxmlformats.org/officeDocument/2006/custom-properties" xmlns:vt="http://schemas.openxmlformats.org/officeDocument/2006/docPropsVTypes"/>
</file>