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91B" w:rsidRPr="0092091B" w:rsidRDefault="0092091B" w:rsidP="0092091B">
      <w:pPr>
        <w:rPr>
          <w:b/>
          <w:sz w:val="32"/>
          <w:szCs w:val="32"/>
        </w:rPr>
      </w:pPr>
      <w:r w:rsidRPr="0092091B">
        <w:rPr>
          <w:b/>
          <w:sz w:val="32"/>
          <w:szCs w:val="32"/>
        </w:rPr>
        <w:t>Monetary and Fiscal Policy</w:t>
      </w:r>
    </w:p>
    <w:p w:rsidR="0092091B" w:rsidRPr="0092091B" w:rsidRDefault="0092091B" w:rsidP="0092091B">
      <w:pPr>
        <w:jc w:val="left"/>
        <w:rPr>
          <w:rFonts w:cs="Times New Roman"/>
          <w:b/>
          <w:bCs/>
          <w:color w:val="16192B"/>
          <w:sz w:val="28"/>
          <w:szCs w:val="28"/>
          <w:shd w:val="clear" w:color="auto" w:fill="FFFFFF"/>
        </w:rPr>
      </w:pPr>
      <w:r w:rsidRPr="0092091B">
        <w:rPr>
          <w:rFonts w:cs="Times New Roman"/>
          <w:b/>
          <w:bCs/>
          <w:color w:val="16192B"/>
          <w:sz w:val="28"/>
          <w:szCs w:val="28"/>
          <w:shd w:val="clear" w:color="auto" w:fill="FFFFFF"/>
        </w:rPr>
        <w:t>Task Requirement (Question)</w:t>
      </w:r>
    </w:p>
    <w:p w:rsidR="0092091B" w:rsidRPr="0092091B" w:rsidRDefault="0092091B" w:rsidP="0092091B">
      <w:pPr>
        <w:jc w:val="left"/>
        <w:rPr>
          <w:rFonts w:cs="Times New Roman"/>
          <w:b/>
          <w:bCs/>
          <w:color w:val="16192B"/>
          <w:sz w:val="28"/>
          <w:szCs w:val="28"/>
          <w:shd w:val="clear" w:color="auto" w:fill="FFFFFF"/>
        </w:rPr>
      </w:pPr>
      <w:r w:rsidRPr="0092091B">
        <w:rPr>
          <w:rFonts w:cs="Times New Roman"/>
          <w:b/>
          <w:bCs/>
          <w:color w:val="16192B"/>
          <w:sz w:val="28"/>
          <w:szCs w:val="28"/>
          <w:shd w:val="clear" w:color="auto" w:fill="FFFFFF"/>
        </w:rPr>
        <w:t>Assignment # 2 -ECON 1250</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 xml:space="preserve">Q1. </w:t>
      </w:r>
      <w:r w:rsidRPr="00947912">
        <w:rPr>
          <w:rFonts w:eastAsia="Times New Roman" w:cs="Times New Roman"/>
          <w:color w:val="373D3F"/>
          <w:szCs w:val="24"/>
        </w:rPr>
        <w:t xml:space="preserve">In this module we learned about </w:t>
      </w:r>
      <w:r w:rsidRPr="00E07A34">
        <w:rPr>
          <w:rFonts w:eastAsia="Times New Roman" w:cs="Times New Roman"/>
          <w:color w:val="373D3F"/>
          <w:szCs w:val="24"/>
        </w:rPr>
        <w:t>several</w:t>
      </w:r>
      <w:r w:rsidRPr="00947912">
        <w:rPr>
          <w:rFonts w:eastAsia="Times New Roman" w:cs="Times New Roman"/>
          <w:color w:val="373D3F"/>
          <w:szCs w:val="24"/>
        </w:rPr>
        <w:t xml:space="preserve"> </w:t>
      </w:r>
      <w:r w:rsidRPr="00E07A34">
        <w:rPr>
          <w:rFonts w:eastAsia="Times New Roman" w:cs="Times New Roman"/>
          <w:color w:val="373D3F"/>
          <w:szCs w:val="24"/>
        </w:rPr>
        <w:t>real-world</w:t>
      </w:r>
      <w:r w:rsidRPr="00947912">
        <w:rPr>
          <w:rFonts w:eastAsia="Times New Roman" w:cs="Times New Roman"/>
          <w:color w:val="373D3F"/>
          <w:szCs w:val="24"/>
        </w:rPr>
        <w:t xml:space="preserve"> complications that make monetary and fiscal policy more challenging than simple theory would suggest. Given the state of the </w:t>
      </w:r>
      <w:r w:rsidRPr="00E07A34">
        <w:rPr>
          <w:rFonts w:eastAsia="Times New Roman" w:cs="Times New Roman"/>
          <w:color w:val="373D3F"/>
          <w:szCs w:val="24"/>
        </w:rPr>
        <w:t xml:space="preserve">Canadian </w:t>
      </w:r>
      <w:r w:rsidRPr="00947912">
        <w:rPr>
          <w:rFonts w:eastAsia="Times New Roman" w:cs="Times New Roman"/>
          <w:color w:val="373D3F"/>
          <w:szCs w:val="24"/>
        </w:rPr>
        <w:t xml:space="preserve">economy and the causes of that state—think back to earlier discussions about the current economy—what should be the appropriate mix of fiscal and monetary policy, from a Keynesian perspective? </w:t>
      </w:r>
      <w:proofErr w:type="gramStart"/>
      <w:r w:rsidRPr="00947912">
        <w:rPr>
          <w:rFonts w:eastAsia="Times New Roman" w:cs="Times New Roman"/>
          <w:color w:val="373D3F"/>
          <w:szCs w:val="24"/>
        </w:rPr>
        <w:t>From a neoclassical perspective?</w:t>
      </w:r>
      <w:proofErr w:type="gramEnd"/>
      <w:r w:rsidRPr="00947912">
        <w:rPr>
          <w:rFonts w:eastAsia="Times New Roman" w:cs="Times New Roman"/>
          <w:color w:val="373D3F"/>
          <w:szCs w:val="24"/>
        </w:rPr>
        <w:t xml:space="preserve"> Which makes the most sense to you? Provide evidence (include and least one link/citation) to provide support to your conclusion.</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 xml:space="preserve">Q2. Visit the following link of Bank of Canada </w:t>
      </w:r>
      <w:r>
        <w:rPr>
          <w:rFonts w:eastAsia="Times New Roman" w:cs="Times New Roman"/>
          <w:color w:val="373D3F"/>
          <w:szCs w:val="24"/>
        </w:rPr>
        <w:t xml:space="preserve">to </w:t>
      </w:r>
      <w:r w:rsidRPr="00E07A34">
        <w:rPr>
          <w:rFonts w:eastAsia="Times New Roman" w:cs="Times New Roman"/>
          <w:color w:val="373D3F"/>
          <w:szCs w:val="24"/>
        </w:rPr>
        <w:t xml:space="preserve">prepare the </w:t>
      </w:r>
      <w:r>
        <w:rPr>
          <w:rFonts w:eastAsia="Times New Roman" w:cs="Times New Roman"/>
          <w:color w:val="373D3F"/>
          <w:szCs w:val="24"/>
        </w:rPr>
        <w:t>tables</w:t>
      </w:r>
      <w:r w:rsidRPr="00E07A34">
        <w:rPr>
          <w:rFonts w:eastAsia="Times New Roman" w:cs="Times New Roman"/>
          <w:color w:val="373D3F"/>
          <w:szCs w:val="24"/>
        </w:rPr>
        <w:t xml:space="preserve"> and graphs using the following information. </w:t>
      </w:r>
    </w:p>
    <w:p w:rsidR="0092091B" w:rsidRPr="0092091B" w:rsidRDefault="0092091B" w:rsidP="0092091B">
      <w:pPr>
        <w:rPr>
          <w:rFonts w:cs="Times New Roman"/>
          <w:color w:val="16192B"/>
          <w:szCs w:val="24"/>
          <w:shd w:val="clear" w:color="auto" w:fill="FFFFFF"/>
        </w:rPr>
      </w:pPr>
      <w:hyperlink r:id="rId6" w:history="1">
        <w:r w:rsidRPr="00E07A34">
          <w:rPr>
            <w:rStyle w:val="Hyperlink"/>
            <w:rFonts w:eastAsia="Times New Roman" w:cs="Times New Roman"/>
            <w:szCs w:val="24"/>
          </w:rPr>
          <w:t>https://tradingeconomics.com/canada/gdp-deflator</w:t>
        </w:r>
      </w:hyperlink>
      <w:r w:rsidRPr="00E07A34">
        <w:rPr>
          <w:rFonts w:eastAsia="Times New Roman" w:cs="Times New Roman"/>
          <w:color w:val="373D3F"/>
          <w:szCs w:val="24"/>
        </w:rPr>
        <w:t xml:space="preserve">  </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1. GDP Deflator% (Jul 2019-Jan 2022)</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2. Unemployment rate % (Jul 2021-June 2022)</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 xml:space="preserve">3. Interbank rate % (Bank of Canada rate) </w:t>
      </w:r>
      <w:proofErr w:type="gramStart"/>
      <w:r w:rsidRPr="00E07A34">
        <w:rPr>
          <w:rFonts w:eastAsia="Times New Roman" w:cs="Times New Roman"/>
          <w:color w:val="373D3F"/>
          <w:szCs w:val="24"/>
        </w:rPr>
        <w:t>[ Jan</w:t>
      </w:r>
      <w:proofErr w:type="gramEnd"/>
      <w:r w:rsidRPr="00E07A34">
        <w:rPr>
          <w:rFonts w:eastAsia="Times New Roman" w:cs="Times New Roman"/>
          <w:color w:val="373D3F"/>
          <w:szCs w:val="24"/>
        </w:rPr>
        <w:t xml:space="preserve"> 2021-Jul 2022] </w:t>
      </w:r>
    </w:p>
    <w:p w:rsidR="0092091B" w:rsidRPr="00E07A34"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4. GDP growth rate % [Jul 2019-Feb 2022]</w:t>
      </w:r>
    </w:p>
    <w:p w:rsidR="007C06FA" w:rsidRPr="0092091B" w:rsidRDefault="0092091B" w:rsidP="0092091B">
      <w:pPr>
        <w:spacing w:after="120" w:line="240" w:lineRule="auto"/>
        <w:textAlignment w:val="baseline"/>
        <w:rPr>
          <w:rFonts w:eastAsia="Times New Roman" w:cs="Times New Roman"/>
          <w:color w:val="373D3F"/>
          <w:szCs w:val="24"/>
        </w:rPr>
      </w:pPr>
      <w:r w:rsidRPr="00E07A34">
        <w:rPr>
          <w:rFonts w:eastAsia="Times New Roman" w:cs="Times New Roman"/>
          <w:color w:val="373D3F"/>
          <w:szCs w:val="24"/>
        </w:rPr>
        <w:t xml:space="preserve">5. What kind of pattern did you find in the above economic indicators? </w:t>
      </w:r>
      <w:proofErr w:type="gramStart"/>
      <w:r w:rsidRPr="00E07A34">
        <w:rPr>
          <w:rFonts w:eastAsia="Times New Roman" w:cs="Times New Roman"/>
          <w:color w:val="373D3F"/>
          <w:szCs w:val="24"/>
        </w:rPr>
        <w:t>Positive or negative correlations?</w:t>
      </w:r>
      <w:proofErr w:type="gramEnd"/>
      <w:r w:rsidRPr="00E07A34">
        <w:rPr>
          <w:rFonts w:eastAsia="Times New Roman" w:cs="Times New Roman"/>
          <w:color w:val="373D3F"/>
          <w:szCs w:val="24"/>
        </w:rPr>
        <w:t xml:space="preserve"> Do they all move in the same direction at the same time? </w:t>
      </w:r>
      <w:r>
        <w:rPr>
          <w:rFonts w:eastAsia="Times New Roman" w:cs="Times New Roman"/>
          <w:color w:val="373D3F"/>
          <w:szCs w:val="24"/>
        </w:rPr>
        <w:t xml:space="preserve">Explain </w:t>
      </w:r>
      <w:proofErr w:type="gramStart"/>
      <w:r>
        <w:rPr>
          <w:rFonts w:eastAsia="Times New Roman" w:cs="Times New Roman"/>
          <w:color w:val="373D3F"/>
          <w:szCs w:val="24"/>
        </w:rPr>
        <w:t>the  performance</w:t>
      </w:r>
      <w:proofErr w:type="gramEnd"/>
      <w:r>
        <w:rPr>
          <w:rFonts w:eastAsia="Times New Roman" w:cs="Times New Roman"/>
          <w:color w:val="373D3F"/>
          <w:szCs w:val="24"/>
        </w:rPr>
        <w:t xml:space="preserve"> of above economic indicators in your own words.  </w:t>
      </w:r>
    </w:p>
    <w:p w:rsidR="007C06FA" w:rsidRDefault="00703EA8" w:rsidP="00703EA8">
      <w:pPr>
        <w:pStyle w:val="Heading1"/>
      </w:pPr>
      <w:r>
        <w:t>Answer to question 1:</w:t>
      </w:r>
    </w:p>
    <w:p w:rsidR="009470F9" w:rsidRDefault="00607F2E" w:rsidP="00F82B28">
      <w:r>
        <w:t>The Keynesian</w:t>
      </w:r>
      <w:r w:rsidR="009470F9">
        <w:t xml:space="preserve"> perspective of government intervention believes that as </w:t>
      </w:r>
      <w:r>
        <w:t xml:space="preserve">the </w:t>
      </w:r>
      <w:r w:rsidR="009470F9">
        <w:t>wage is rigid, change</w:t>
      </w:r>
      <w:r>
        <w:t>s</w:t>
      </w:r>
      <w:r w:rsidR="009470F9">
        <w:t xml:space="preserve"> in spending, investment, </w:t>
      </w:r>
      <w:r>
        <w:t>consumption,</w:t>
      </w:r>
      <w:r w:rsidR="009470F9">
        <w:t xml:space="preserve"> and government expenditure can result in </w:t>
      </w:r>
      <w:r>
        <w:t xml:space="preserve">a </w:t>
      </w:r>
      <w:r w:rsidR="009470F9">
        <w:t xml:space="preserve">change in output. </w:t>
      </w:r>
      <w:r>
        <w:t>In contrast,</w:t>
      </w:r>
      <w:r w:rsidR="009470F9">
        <w:t xml:space="preserve"> </w:t>
      </w:r>
      <w:r>
        <w:t xml:space="preserve">the </w:t>
      </w:r>
      <w:r w:rsidR="009470F9">
        <w:t xml:space="preserve">neoclassical perspective believes that wage is flexible and thus, through </w:t>
      </w:r>
      <w:r>
        <w:t xml:space="preserve">a </w:t>
      </w:r>
      <w:r w:rsidR="009470F9">
        <w:t>market</w:t>
      </w:r>
      <w:r>
        <w:t>-</w:t>
      </w:r>
      <w:r w:rsidR="009470F9">
        <w:t>driven process economy will adjust itself.</w:t>
      </w:r>
    </w:p>
    <w:p w:rsidR="00607F2E" w:rsidRDefault="00CF1A4A" w:rsidP="00F82B28">
      <w:r>
        <w:t xml:space="preserve">Given the state of the economic situation </w:t>
      </w:r>
      <w:r w:rsidR="00607F2E">
        <w:t>in</w:t>
      </w:r>
      <w:r>
        <w:t xml:space="preserve"> Canada, I would like to go with the Keynesian perspective of fiscal and monetary policy. As the economy is facing </w:t>
      </w:r>
      <w:r w:rsidR="00607F2E">
        <w:t xml:space="preserve">a </w:t>
      </w:r>
      <w:r>
        <w:t>fall in growth</w:t>
      </w:r>
      <w:r w:rsidR="009470F9">
        <w:t xml:space="preserve"> and moving towards recession</w:t>
      </w:r>
      <w:r>
        <w:t xml:space="preserve">, it is expected that government should bring in expansionary fiscal policy. This way, through the additional budget allocation to infrastructural development, job creation will take place that will increase the aggregate demand in the market. With increased demand, supply will </w:t>
      </w:r>
      <w:r w:rsidR="00872E7B">
        <w:t>increase,</w:t>
      </w:r>
      <w:r>
        <w:t xml:space="preserve"> and </w:t>
      </w:r>
      <w:r w:rsidR="00607F2E">
        <w:t>demand labour will increase, leading to a fall in employment and a</w:t>
      </w:r>
      <w:r>
        <w:t xml:space="preserve"> rise in disposable income. Hence</w:t>
      </w:r>
      <w:r w:rsidR="00607F2E">
        <w:t>, through the expansionary fiscal policy, the government of Canada can boost the economic situation through a cyclical process</w:t>
      </w:r>
      <w:r>
        <w:t>.</w:t>
      </w:r>
    </w:p>
    <w:p w:rsidR="00F82B28" w:rsidRDefault="00CF1A4A" w:rsidP="00F82B28">
      <w:r>
        <w:t xml:space="preserve">On the other hand, with the rise in the economy, as the price will increase, </w:t>
      </w:r>
      <w:r w:rsidR="00607F2E">
        <w:t xml:space="preserve">the </w:t>
      </w:r>
      <w:r>
        <w:t xml:space="preserve">government need to take </w:t>
      </w:r>
      <w:r w:rsidR="00607F2E">
        <w:t xml:space="preserve">a </w:t>
      </w:r>
      <w:proofErr w:type="spellStart"/>
      <w:r>
        <w:t>contractionary</w:t>
      </w:r>
      <w:proofErr w:type="spellEnd"/>
      <w:r>
        <w:t xml:space="preserve"> monetary policy that will increase the interest rate and reduce the money supply in </w:t>
      </w:r>
      <w:r w:rsidR="00607F2E">
        <w:t xml:space="preserve">the </w:t>
      </w:r>
      <w:r>
        <w:t xml:space="preserve">market. This will control inflation and thus safeguard the interest of </w:t>
      </w:r>
      <w:r>
        <w:lastRenderedPageBreak/>
        <w:t xml:space="preserve">the consumers in the market. </w:t>
      </w:r>
      <w:r w:rsidR="00607F2E">
        <w:t>By</w:t>
      </w:r>
      <w:r>
        <w:t xml:space="preserve"> controlling inflation, </w:t>
      </w:r>
      <w:r w:rsidR="00607F2E">
        <w:t xml:space="preserve">the </w:t>
      </w:r>
      <w:r>
        <w:t xml:space="preserve">government can hold confidence in </w:t>
      </w:r>
      <w:r w:rsidR="00607F2E">
        <w:t xml:space="preserve">the </w:t>
      </w:r>
      <w:r>
        <w:t xml:space="preserve">market and keep a balance in market demand and supply. </w:t>
      </w:r>
      <w:r w:rsidR="00607F2E">
        <w:t>For example, the Canadian government response to covid19 can be mentioned where the government took the fiscal and monetary policy. Financial aid of $290 billion and medical aid of $60.3 billion was introduced by the government as expansionary fiscal policy, and as monetary policy government introduced a $95 billion credit facility, farm credit and other direct and indirect monetary policies (imf.org 2020).</w:t>
      </w:r>
    </w:p>
    <w:p w:rsidR="00703EA8" w:rsidRDefault="00703EA8" w:rsidP="00703EA8">
      <w:pPr>
        <w:pStyle w:val="Heading1"/>
      </w:pPr>
      <w:r>
        <w:t>Answer to question 2:</w:t>
      </w:r>
    </w:p>
    <w:p w:rsidR="000F7EB0" w:rsidRPr="000F7EB0" w:rsidRDefault="000F7EB0" w:rsidP="000F7EB0">
      <w:r>
        <w:t xml:space="preserve">Key economic indicators of </w:t>
      </w:r>
      <w:r w:rsidR="00607F2E">
        <w:t xml:space="preserve">the </w:t>
      </w:r>
      <w:r>
        <w:t>Canadian economy ha</w:t>
      </w:r>
      <w:r w:rsidR="00607F2E">
        <w:t>ve</w:t>
      </w:r>
      <w:r>
        <w:t xml:space="preserve"> been collected and presented below in table 1:</w:t>
      </w:r>
    </w:p>
    <w:p w:rsidR="00806F51" w:rsidRDefault="00806F51" w:rsidP="00806F51">
      <w:pPr>
        <w:pStyle w:val="Caption"/>
        <w:keepNext/>
        <w:jc w:val="center"/>
      </w:pPr>
      <w:r>
        <w:t xml:space="preserve">Table </w:t>
      </w:r>
      <w:fldSimple w:instr=" SEQ Table \* ARABIC ">
        <w:r>
          <w:rPr>
            <w:noProof/>
          </w:rPr>
          <w:t>1</w:t>
        </w:r>
      </w:fldSimple>
      <w:r>
        <w:t>: Key economic indicators of Canada</w:t>
      </w:r>
    </w:p>
    <w:tbl>
      <w:tblPr>
        <w:tblStyle w:val="TableGrid"/>
        <w:tblW w:w="5000" w:type="pct"/>
        <w:tblLook w:val="04A0"/>
      </w:tblPr>
      <w:tblGrid>
        <w:gridCol w:w="1849"/>
        <w:gridCol w:w="1849"/>
        <w:gridCol w:w="1848"/>
        <w:gridCol w:w="1848"/>
        <w:gridCol w:w="1848"/>
      </w:tblGrid>
      <w:tr w:rsidR="00703EA8" w:rsidTr="000F7EB0">
        <w:tc>
          <w:tcPr>
            <w:tcW w:w="1000" w:type="pct"/>
            <w:vAlign w:val="center"/>
          </w:tcPr>
          <w:p w:rsidR="00703EA8" w:rsidRDefault="00703EA8" w:rsidP="000F7EB0">
            <w:pPr>
              <w:jc w:val="center"/>
            </w:pPr>
            <w:r>
              <w:t>Date</w:t>
            </w:r>
          </w:p>
        </w:tc>
        <w:tc>
          <w:tcPr>
            <w:tcW w:w="1000" w:type="pct"/>
            <w:vAlign w:val="center"/>
          </w:tcPr>
          <w:p w:rsidR="00703EA8" w:rsidRDefault="00703EA8" w:rsidP="000F7EB0">
            <w:pPr>
              <w:jc w:val="center"/>
            </w:pPr>
            <w:r>
              <w:t>GDP deflator</w:t>
            </w:r>
            <w:r w:rsidR="00864C18">
              <w:t xml:space="preserve"> %</w:t>
            </w:r>
          </w:p>
        </w:tc>
        <w:tc>
          <w:tcPr>
            <w:tcW w:w="1000" w:type="pct"/>
            <w:vAlign w:val="center"/>
          </w:tcPr>
          <w:p w:rsidR="00703EA8" w:rsidRDefault="00703EA8" w:rsidP="000F7EB0">
            <w:pPr>
              <w:jc w:val="center"/>
            </w:pPr>
            <w:r>
              <w:t>Unemployment rate</w:t>
            </w:r>
            <w:r w:rsidR="00864C18">
              <w:t xml:space="preserve"> %</w:t>
            </w:r>
          </w:p>
        </w:tc>
        <w:tc>
          <w:tcPr>
            <w:tcW w:w="1000" w:type="pct"/>
            <w:vAlign w:val="center"/>
          </w:tcPr>
          <w:p w:rsidR="00703EA8" w:rsidRDefault="00703EA8" w:rsidP="000F7EB0">
            <w:pPr>
              <w:jc w:val="center"/>
            </w:pPr>
            <w:r>
              <w:t>Interbank rate</w:t>
            </w:r>
            <w:r w:rsidR="00864C18">
              <w:t xml:space="preserve"> %</w:t>
            </w:r>
          </w:p>
        </w:tc>
        <w:tc>
          <w:tcPr>
            <w:tcW w:w="1000" w:type="pct"/>
            <w:vAlign w:val="center"/>
          </w:tcPr>
          <w:p w:rsidR="00703EA8" w:rsidRDefault="00703EA8" w:rsidP="000F7EB0">
            <w:pPr>
              <w:jc w:val="center"/>
            </w:pPr>
            <w:r>
              <w:t>GDP growth rate</w:t>
            </w:r>
            <w:r w:rsidR="00864C18">
              <w:t xml:space="preserve"> %</w:t>
            </w:r>
          </w:p>
        </w:tc>
      </w:tr>
      <w:tr w:rsidR="00524E79" w:rsidTr="000F7EB0">
        <w:tc>
          <w:tcPr>
            <w:tcW w:w="1000" w:type="pct"/>
          </w:tcPr>
          <w:p w:rsidR="00524E79" w:rsidRDefault="00524E79" w:rsidP="007C06FA">
            <w:r>
              <w:t>Jul 2019</w:t>
            </w:r>
          </w:p>
        </w:tc>
        <w:tc>
          <w:tcPr>
            <w:tcW w:w="1000" w:type="pct"/>
          </w:tcPr>
          <w:p w:rsidR="00524E79" w:rsidRDefault="00524E79" w:rsidP="007C06FA">
            <w:r>
              <w:t>109.6</w:t>
            </w:r>
          </w:p>
        </w:tc>
        <w:tc>
          <w:tcPr>
            <w:tcW w:w="1000" w:type="pct"/>
          </w:tcPr>
          <w:p w:rsidR="00524E79" w:rsidRDefault="00864C18" w:rsidP="007C06FA">
            <w:r>
              <w:t>5.7</w:t>
            </w:r>
          </w:p>
        </w:tc>
        <w:tc>
          <w:tcPr>
            <w:tcW w:w="1000" w:type="pct"/>
          </w:tcPr>
          <w:p w:rsidR="00524E79" w:rsidRDefault="0059331B" w:rsidP="007C06FA">
            <w:r>
              <w:t>1.83</w:t>
            </w:r>
          </w:p>
        </w:tc>
        <w:tc>
          <w:tcPr>
            <w:tcW w:w="1000" w:type="pct"/>
          </w:tcPr>
          <w:p w:rsidR="00524E79" w:rsidRDefault="00440E1C" w:rsidP="007C06FA">
            <w:r>
              <w:t>1.8</w:t>
            </w:r>
          </w:p>
        </w:tc>
      </w:tr>
      <w:tr w:rsidR="00524E79" w:rsidTr="000F7EB0">
        <w:tc>
          <w:tcPr>
            <w:tcW w:w="1000" w:type="pct"/>
          </w:tcPr>
          <w:p w:rsidR="00524E79" w:rsidRDefault="00524E79" w:rsidP="007C06FA">
            <w:r>
              <w:t>Oct 2019</w:t>
            </w:r>
          </w:p>
        </w:tc>
        <w:tc>
          <w:tcPr>
            <w:tcW w:w="1000" w:type="pct"/>
          </w:tcPr>
          <w:p w:rsidR="00524E79" w:rsidRDefault="00524E79" w:rsidP="007C06FA">
            <w:r>
              <w:t>109.6</w:t>
            </w:r>
          </w:p>
        </w:tc>
        <w:tc>
          <w:tcPr>
            <w:tcW w:w="1000" w:type="pct"/>
          </w:tcPr>
          <w:p w:rsidR="00524E79" w:rsidRDefault="00864C18" w:rsidP="007C06FA">
            <w:r>
              <w:t>5.8</w:t>
            </w:r>
          </w:p>
        </w:tc>
        <w:tc>
          <w:tcPr>
            <w:tcW w:w="1000" w:type="pct"/>
          </w:tcPr>
          <w:p w:rsidR="00524E79" w:rsidRDefault="0059331B" w:rsidP="007C06FA">
            <w:r>
              <w:t>1.86</w:t>
            </w:r>
          </w:p>
        </w:tc>
        <w:tc>
          <w:tcPr>
            <w:tcW w:w="1000" w:type="pct"/>
          </w:tcPr>
          <w:p w:rsidR="00524E79" w:rsidRDefault="00440E1C" w:rsidP="007C06FA">
            <w:r>
              <w:t>1.7</w:t>
            </w:r>
          </w:p>
        </w:tc>
      </w:tr>
      <w:tr w:rsidR="00524E79" w:rsidTr="000F7EB0">
        <w:tc>
          <w:tcPr>
            <w:tcW w:w="1000" w:type="pct"/>
          </w:tcPr>
          <w:p w:rsidR="00524E79" w:rsidRDefault="00524E79" w:rsidP="007C06FA">
            <w:r>
              <w:t>Jan 2020</w:t>
            </w:r>
          </w:p>
        </w:tc>
        <w:tc>
          <w:tcPr>
            <w:tcW w:w="1000" w:type="pct"/>
          </w:tcPr>
          <w:p w:rsidR="00524E79" w:rsidRDefault="00524E79" w:rsidP="007C06FA">
            <w:r>
              <w:t>110.5</w:t>
            </w:r>
          </w:p>
        </w:tc>
        <w:tc>
          <w:tcPr>
            <w:tcW w:w="1000" w:type="pct"/>
          </w:tcPr>
          <w:p w:rsidR="00524E79" w:rsidRDefault="00864C18" w:rsidP="007C06FA">
            <w:r>
              <w:t>6.4</w:t>
            </w:r>
          </w:p>
        </w:tc>
        <w:tc>
          <w:tcPr>
            <w:tcW w:w="1000" w:type="pct"/>
          </w:tcPr>
          <w:p w:rsidR="00524E79" w:rsidRDefault="0059331B" w:rsidP="007C06FA">
            <w:r>
              <w:t>1.66</w:t>
            </w:r>
          </w:p>
        </w:tc>
        <w:tc>
          <w:tcPr>
            <w:tcW w:w="1000" w:type="pct"/>
          </w:tcPr>
          <w:p w:rsidR="00524E79" w:rsidRDefault="00440E1C" w:rsidP="007C06FA">
            <w:r>
              <w:t>-.6</w:t>
            </w:r>
          </w:p>
        </w:tc>
      </w:tr>
      <w:tr w:rsidR="00524E79" w:rsidTr="000F7EB0">
        <w:tc>
          <w:tcPr>
            <w:tcW w:w="1000" w:type="pct"/>
          </w:tcPr>
          <w:p w:rsidR="00524E79" w:rsidRDefault="00524E79" w:rsidP="007C06FA">
            <w:r>
              <w:t>April 2020</w:t>
            </w:r>
          </w:p>
        </w:tc>
        <w:tc>
          <w:tcPr>
            <w:tcW w:w="1000" w:type="pct"/>
          </w:tcPr>
          <w:p w:rsidR="00524E79" w:rsidRDefault="00524E79" w:rsidP="007C06FA">
            <w:r>
              <w:t>109.4</w:t>
            </w:r>
          </w:p>
        </w:tc>
        <w:tc>
          <w:tcPr>
            <w:tcW w:w="1000" w:type="pct"/>
          </w:tcPr>
          <w:p w:rsidR="00524E79" w:rsidRDefault="00864C18" w:rsidP="007C06FA">
            <w:r>
              <w:t>12.9</w:t>
            </w:r>
          </w:p>
        </w:tc>
        <w:tc>
          <w:tcPr>
            <w:tcW w:w="1000" w:type="pct"/>
          </w:tcPr>
          <w:p w:rsidR="00524E79" w:rsidRDefault="0059331B" w:rsidP="007C06FA">
            <w:r>
              <w:t>.37</w:t>
            </w:r>
          </w:p>
        </w:tc>
        <w:tc>
          <w:tcPr>
            <w:tcW w:w="1000" w:type="pct"/>
          </w:tcPr>
          <w:p w:rsidR="00524E79" w:rsidRDefault="00440E1C" w:rsidP="007C06FA">
            <w:r>
              <w:t>-12.4</w:t>
            </w:r>
          </w:p>
        </w:tc>
      </w:tr>
      <w:tr w:rsidR="00524E79" w:rsidTr="000F7EB0">
        <w:tc>
          <w:tcPr>
            <w:tcW w:w="1000" w:type="pct"/>
          </w:tcPr>
          <w:p w:rsidR="00524E79" w:rsidRDefault="00524E79" w:rsidP="00524E79">
            <w:r>
              <w:t>Jul 2020</w:t>
            </w:r>
          </w:p>
        </w:tc>
        <w:tc>
          <w:tcPr>
            <w:tcW w:w="1000" w:type="pct"/>
          </w:tcPr>
          <w:p w:rsidR="00524E79" w:rsidRDefault="00524E79" w:rsidP="00524E79">
            <w:r>
              <w:t>108.6</w:t>
            </w:r>
          </w:p>
        </w:tc>
        <w:tc>
          <w:tcPr>
            <w:tcW w:w="1000" w:type="pct"/>
          </w:tcPr>
          <w:p w:rsidR="00524E79" w:rsidRDefault="00864C18" w:rsidP="00524E79">
            <w:r>
              <w:t>10.1</w:t>
            </w:r>
          </w:p>
        </w:tc>
        <w:tc>
          <w:tcPr>
            <w:tcW w:w="1000" w:type="pct"/>
          </w:tcPr>
          <w:p w:rsidR="00524E79" w:rsidRDefault="0059331B" w:rsidP="00524E79">
            <w:r>
              <w:t>.26</w:t>
            </w:r>
          </w:p>
        </w:tc>
        <w:tc>
          <w:tcPr>
            <w:tcW w:w="1000" w:type="pct"/>
          </w:tcPr>
          <w:p w:rsidR="00524E79" w:rsidRDefault="00440E1C" w:rsidP="00524E79">
            <w:r>
              <w:t>-4.9</w:t>
            </w:r>
          </w:p>
        </w:tc>
      </w:tr>
      <w:tr w:rsidR="00524E79" w:rsidTr="000F7EB0">
        <w:tc>
          <w:tcPr>
            <w:tcW w:w="1000" w:type="pct"/>
          </w:tcPr>
          <w:p w:rsidR="00524E79" w:rsidRDefault="00524E79" w:rsidP="00524E79">
            <w:r>
              <w:t>Oct 2020</w:t>
            </w:r>
          </w:p>
        </w:tc>
        <w:tc>
          <w:tcPr>
            <w:tcW w:w="1000" w:type="pct"/>
          </w:tcPr>
          <w:p w:rsidR="00524E79" w:rsidRDefault="00524E79" w:rsidP="00524E79">
            <w:r>
              <w:t>111</w:t>
            </w:r>
          </w:p>
        </w:tc>
        <w:tc>
          <w:tcPr>
            <w:tcW w:w="1000" w:type="pct"/>
          </w:tcPr>
          <w:p w:rsidR="00524E79" w:rsidRDefault="00864C18" w:rsidP="00524E79">
            <w:r>
              <w:t>8.9</w:t>
            </w:r>
          </w:p>
        </w:tc>
        <w:tc>
          <w:tcPr>
            <w:tcW w:w="1000" w:type="pct"/>
          </w:tcPr>
          <w:p w:rsidR="00524E79" w:rsidRDefault="0059331B" w:rsidP="00524E79">
            <w:r>
              <w:t>.24</w:t>
            </w:r>
          </w:p>
        </w:tc>
        <w:tc>
          <w:tcPr>
            <w:tcW w:w="1000" w:type="pct"/>
          </w:tcPr>
          <w:p w:rsidR="00524E79" w:rsidRDefault="00440E1C" w:rsidP="00524E79">
            <w:r>
              <w:t>-3.1</w:t>
            </w:r>
          </w:p>
        </w:tc>
      </w:tr>
      <w:tr w:rsidR="00524E79" w:rsidTr="000F7EB0">
        <w:tc>
          <w:tcPr>
            <w:tcW w:w="1000" w:type="pct"/>
          </w:tcPr>
          <w:p w:rsidR="00524E79" w:rsidRDefault="00524E79" w:rsidP="00524E79">
            <w:r>
              <w:t>Jan 2021</w:t>
            </w:r>
          </w:p>
        </w:tc>
        <w:tc>
          <w:tcPr>
            <w:tcW w:w="1000" w:type="pct"/>
          </w:tcPr>
          <w:p w:rsidR="00524E79" w:rsidRDefault="00524E79" w:rsidP="00524E79">
            <w:r>
              <w:t>112.4</w:t>
            </w:r>
          </w:p>
        </w:tc>
        <w:tc>
          <w:tcPr>
            <w:tcW w:w="1000" w:type="pct"/>
          </w:tcPr>
          <w:p w:rsidR="00524E79" w:rsidRDefault="00864C18" w:rsidP="00524E79">
            <w:r>
              <w:t>8.5</w:t>
            </w:r>
          </w:p>
        </w:tc>
        <w:tc>
          <w:tcPr>
            <w:tcW w:w="1000" w:type="pct"/>
          </w:tcPr>
          <w:p w:rsidR="00524E79" w:rsidRDefault="0059331B" w:rsidP="00524E79">
            <w:r>
              <w:t>.19</w:t>
            </w:r>
          </w:p>
        </w:tc>
        <w:tc>
          <w:tcPr>
            <w:tcW w:w="1000" w:type="pct"/>
          </w:tcPr>
          <w:p w:rsidR="00524E79" w:rsidRDefault="00440E1C" w:rsidP="00524E79">
            <w:r>
              <w:t>.2</w:t>
            </w:r>
          </w:p>
        </w:tc>
      </w:tr>
      <w:tr w:rsidR="00524E79" w:rsidTr="000F7EB0">
        <w:tc>
          <w:tcPr>
            <w:tcW w:w="1000" w:type="pct"/>
          </w:tcPr>
          <w:p w:rsidR="00524E79" w:rsidRDefault="00524E79" w:rsidP="00524E79">
            <w:r>
              <w:t>April 2021</w:t>
            </w:r>
          </w:p>
        </w:tc>
        <w:tc>
          <w:tcPr>
            <w:tcW w:w="1000" w:type="pct"/>
          </w:tcPr>
          <w:p w:rsidR="00524E79" w:rsidRDefault="00524E79" w:rsidP="00524E79">
            <w:r>
              <w:t>115.9</w:t>
            </w:r>
          </w:p>
        </w:tc>
        <w:tc>
          <w:tcPr>
            <w:tcW w:w="1000" w:type="pct"/>
          </w:tcPr>
          <w:p w:rsidR="00524E79" w:rsidRDefault="00864C18" w:rsidP="00524E79">
            <w:r>
              <w:t>7.9</w:t>
            </w:r>
          </w:p>
        </w:tc>
        <w:tc>
          <w:tcPr>
            <w:tcW w:w="1000" w:type="pct"/>
          </w:tcPr>
          <w:p w:rsidR="00524E79" w:rsidRDefault="0059331B" w:rsidP="00524E79">
            <w:r>
              <w:t>.18</w:t>
            </w:r>
          </w:p>
        </w:tc>
        <w:tc>
          <w:tcPr>
            <w:tcW w:w="1000" w:type="pct"/>
          </w:tcPr>
          <w:p w:rsidR="00524E79" w:rsidRDefault="00440E1C" w:rsidP="00524E79">
            <w:r>
              <w:t>11.7</w:t>
            </w:r>
          </w:p>
        </w:tc>
      </w:tr>
      <w:tr w:rsidR="00524E79" w:rsidTr="000F7EB0">
        <w:tc>
          <w:tcPr>
            <w:tcW w:w="1000" w:type="pct"/>
          </w:tcPr>
          <w:p w:rsidR="00524E79" w:rsidRDefault="00524E79" w:rsidP="00524E79">
            <w:r>
              <w:t>Jul 2021</w:t>
            </w:r>
          </w:p>
        </w:tc>
        <w:tc>
          <w:tcPr>
            <w:tcW w:w="1000" w:type="pct"/>
          </w:tcPr>
          <w:p w:rsidR="00524E79" w:rsidRDefault="00524E79" w:rsidP="00524E79">
            <w:r>
              <w:t>118.6</w:t>
            </w:r>
          </w:p>
        </w:tc>
        <w:tc>
          <w:tcPr>
            <w:tcW w:w="1000" w:type="pct"/>
          </w:tcPr>
          <w:p w:rsidR="00524E79" w:rsidRDefault="00864C18" w:rsidP="00524E79">
            <w:r>
              <w:t>7.2</w:t>
            </w:r>
          </w:p>
        </w:tc>
        <w:tc>
          <w:tcPr>
            <w:tcW w:w="1000" w:type="pct"/>
          </w:tcPr>
          <w:p w:rsidR="00524E79" w:rsidRDefault="0059331B" w:rsidP="00524E79">
            <w:r>
              <w:t>.21</w:t>
            </w:r>
          </w:p>
        </w:tc>
        <w:tc>
          <w:tcPr>
            <w:tcW w:w="1000" w:type="pct"/>
          </w:tcPr>
          <w:p w:rsidR="00524E79" w:rsidRDefault="00440E1C" w:rsidP="00524E79">
            <w:r>
              <w:t>3.8</w:t>
            </w:r>
          </w:p>
        </w:tc>
      </w:tr>
      <w:tr w:rsidR="00524E79" w:rsidTr="000F7EB0">
        <w:tc>
          <w:tcPr>
            <w:tcW w:w="1000" w:type="pct"/>
          </w:tcPr>
          <w:p w:rsidR="00524E79" w:rsidRDefault="00524E79" w:rsidP="00524E79">
            <w:r>
              <w:t>Oct 2021</w:t>
            </w:r>
          </w:p>
        </w:tc>
        <w:tc>
          <w:tcPr>
            <w:tcW w:w="1000" w:type="pct"/>
          </w:tcPr>
          <w:p w:rsidR="00524E79" w:rsidRDefault="00524E79" w:rsidP="00524E79">
            <w:r>
              <w:t>120.1</w:t>
            </w:r>
          </w:p>
        </w:tc>
        <w:tc>
          <w:tcPr>
            <w:tcW w:w="1000" w:type="pct"/>
          </w:tcPr>
          <w:p w:rsidR="00524E79" w:rsidRDefault="00864C18" w:rsidP="00524E79">
            <w:r>
              <w:t>6.3</w:t>
            </w:r>
          </w:p>
        </w:tc>
        <w:tc>
          <w:tcPr>
            <w:tcW w:w="1000" w:type="pct"/>
          </w:tcPr>
          <w:p w:rsidR="00524E79" w:rsidRDefault="0059331B" w:rsidP="00524E79">
            <w:r>
              <w:t>.25</w:t>
            </w:r>
          </w:p>
        </w:tc>
        <w:tc>
          <w:tcPr>
            <w:tcW w:w="1000" w:type="pct"/>
          </w:tcPr>
          <w:p w:rsidR="00524E79" w:rsidRDefault="00440E1C" w:rsidP="00524E79">
            <w:r>
              <w:t>3.2</w:t>
            </w:r>
          </w:p>
        </w:tc>
      </w:tr>
      <w:tr w:rsidR="00524E79" w:rsidTr="000F7EB0">
        <w:tc>
          <w:tcPr>
            <w:tcW w:w="1000" w:type="pct"/>
          </w:tcPr>
          <w:p w:rsidR="00524E79" w:rsidRDefault="00524E79" w:rsidP="00524E79">
            <w:r>
              <w:t>Jan 2022</w:t>
            </w:r>
          </w:p>
        </w:tc>
        <w:tc>
          <w:tcPr>
            <w:tcW w:w="1000" w:type="pct"/>
          </w:tcPr>
          <w:p w:rsidR="00524E79" w:rsidRDefault="00524E79" w:rsidP="00524E79">
            <w:r>
              <w:t>122.4</w:t>
            </w:r>
          </w:p>
        </w:tc>
        <w:tc>
          <w:tcPr>
            <w:tcW w:w="1000" w:type="pct"/>
          </w:tcPr>
          <w:p w:rsidR="00524E79" w:rsidRDefault="00864C18" w:rsidP="00524E79">
            <w:r>
              <w:t>5.8</w:t>
            </w:r>
          </w:p>
        </w:tc>
        <w:tc>
          <w:tcPr>
            <w:tcW w:w="1000" w:type="pct"/>
          </w:tcPr>
          <w:p w:rsidR="00524E79" w:rsidRDefault="0059331B" w:rsidP="00524E79">
            <w:r>
              <w:t>.65</w:t>
            </w:r>
          </w:p>
        </w:tc>
        <w:tc>
          <w:tcPr>
            <w:tcW w:w="1000" w:type="pct"/>
          </w:tcPr>
          <w:p w:rsidR="00524E79" w:rsidRDefault="00440E1C" w:rsidP="00524E79">
            <w:r>
              <w:t>2.9</w:t>
            </w:r>
          </w:p>
        </w:tc>
      </w:tr>
      <w:tr w:rsidR="00864C18" w:rsidTr="000F7EB0">
        <w:tc>
          <w:tcPr>
            <w:tcW w:w="1000" w:type="pct"/>
          </w:tcPr>
          <w:p w:rsidR="00864C18" w:rsidRDefault="00864C18" w:rsidP="00524E79">
            <w:r>
              <w:t>April 2022</w:t>
            </w:r>
          </w:p>
        </w:tc>
        <w:tc>
          <w:tcPr>
            <w:tcW w:w="1000" w:type="pct"/>
          </w:tcPr>
          <w:p w:rsidR="00864C18" w:rsidRDefault="00864C18" w:rsidP="00524E79"/>
        </w:tc>
        <w:tc>
          <w:tcPr>
            <w:tcW w:w="1000" w:type="pct"/>
          </w:tcPr>
          <w:p w:rsidR="00864C18" w:rsidRDefault="00864C18" w:rsidP="00524E79">
            <w:r>
              <w:t>5.1</w:t>
            </w:r>
          </w:p>
        </w:tc>
        <w:tc>
          <w:tcPr>
            <w:tcW w:w="1000" w:type="pct"/>
          </w:tcPr>
          <w:p w:rsidR="00864C18" w:rsidRDefault="0059331B" w:rsidP="00524E79">
            <w:r>
              <w:t>1.7</w:t>
            </w:r>
          </w:p>
        </w:tc>
        <w:tc>
          <w:tcPr>
            <w:tcW w:w="1000" w:type="pct"/>
          </w:tcPr>
          <w:p w:rsidR="00864C18" w:rsidRDefault="00864C18" w:rsidP="00524E79"/>
        </w:tc>
      </w:tr>
    </w:tbl>
    <w:p w:rsidR="00703EA8" w:rsidRDefault="00806F51" w:rsidP="00806F51">
      <w:pPr>
        <w:jc w:val="center"/>
      </w:pPr>
      <w:r>
        <w:t>Source: (Tradingeconomics.com 2022)</w:t>
      </w:r>
    </w:p>
    <w:p w:rsidR="000F7EB0" w:rsidRDefault="000F7EB0" w:rsidP="007C06FA">
      <w:r>
        <w:t>To analyse the association among these variables, correlation has been calculated first and presented in table 2 below:</w:t>
      </w:r>
    </w:p>
    <w:p w:rsidR="00806F51" w:rsidRDefault="00806F51" w:rsidP="00806F51">
      <w:pPr>
        <w:pStyle w:val="Caption"/>
        <w:keepNext/>
        <w:jc w:val="center"/>
      </w:pPr>
      <w:r>
        <w:t xml:space="preserve">Table </w:t>
      </w:r>
      <w:fldSimple w:instr=" SEQ Table \* ARABIC ">
        <w:r>
          <w:rPr>
            <w:noProof/>
          </w:rPr>
          <w:t>2</w:t>
        </w:r>
      </w:fldSimple>
      <w:r>
        <w:t xml:space="preserve">: correlation of key economic indicators </w:t>
      </w:r>
      <w:proofErr w:type="spellStart"/>
      <w:proofErr w:type="gramStart"/>
      <w:r>
        <w:t>canada</w:t>
      </w:r>
      <w:proofErr w:type="spellEnd"/>
      <w:proofErr w:type="gramEnd"/>
    </w:p>
    <w:tbl>
      <w:tblPr>
        <w:tblStyle w:val="TableGrid"/>
        <w:tblW w:w="5000" w:type="pct"/>
        <w:tblLook w:val="04A0"/>
      </w:tblPr>
      <w:tblGrid>
        <w:gridCol w:w="2903"/>
        <w:gridCol w:w="1457"/>
        <w:gridCol w:w="2200"/>
        <w:gridCol w:w="1492"/>
        <w:gridCol w:w="1190"/>
      </w:tblGrid>
      <w:tr w:rsidR="000F7EB0" w:rsidRPr="000F7EB0" w:rsidTr="00806F51">
        <w:trPr>
          <w:trHeight w:val="936"/>
        </w:trPr>
        <w:tc>
          <w:tcPr>
            <w:tcW w:w="1571" w:type="pct"/>
            <w:noWrap/>
            <w:hideMark/>
          </w:tcPr>
          <w:p w:rsidR="000F7EB0" w:rsidRPr="000F7EB0" w:rsidRDefault="000F7EB0" w:rsidP="000F7EB0">
            <w:pPr>
              <w:spacing w:line="240" w:lineRule="auto"/>
              <w:jc w:val="center"/>
              <w:rPr>
                <w:rFonts w:eastAsia="Times New Roman" w:cs="Times New Roman"/>
                <w:i/>
                <w:iCs/>
                <w:color w:val="000000"/>
                <w:szCs w:val="24"/>
                <w:lang w:eastAsia="en-AU"/>
              </w:rPr>
            </w:pPr>
            <w:r w:rsidRPr="000F7EB0">
              <w:rPr>
                <w:rFonts w:eastAsia="Times New Roman" w:cs="Times New Roman"/>
                <w:i/>
                <w:iCs/>
                <w:color w:val="000000"/>
                <w:szCs w:val="24"/>
                <w:lang w:eastAsia="en-AU"/>
              </w:rPr>
              <w:t> </w:t>
            </w:r>
          </w:p>
        </w:tc>
        <w:tc>
          <w:tcPr>
            <w:tcW w:w="788" w:type="pct"/>
            <w:hideMark/>
          </w:tcPr>
          <w:p w:rsidR="000F7EB0" w:rsidRPr="000F7EB0" w:rsidRDefault="000F7EB0" w:rsidP="000F7EB0">
            <w:pPr>
              <w:spacing w:line="240" w:lineRule="auto"/>
              <w:jc w:val="center"/>
              <w:rPr>
                <w:rFonts w:eastAsia="Times New Roman" w:cs="Times New Roman"/>
                <w:color w:val="000000"/>
                <w:szCs w:val="24"/>
                <w:lang w:eastAsia="en-AU"/>
              </w:rPr>
            </w:pPr>
            <w:r w:rsidRPr="000F7EB0">
              <w:rPr>
                <w:rFonts w:eastAsia="Times New Roman" w:cs="Times New Roman"/>
                <w:color w:val="000000"/>
                <w:szCs w:val="24"/>
                <w:lang w:eastAsia="en-AU"/>
              </w:rPr>
              <w:t>GDP deflator %</w:t>
            </w:r>
          </w:p>
        </w:tc>
        <w:tc>
          <w:tcPr>
            <w:tcW w:w="1190" w:type="pct"/>
            <w:hideMark/>
          </w:tcPr>
          <w:p w:rsidR="000F7EB0" w:rsidRPr="000F7EB0" w:rsidRDefault="000F7EB0" w:rsidP="000F7EB0">
            <w:pPr>
              <w:spacing w:line="240" w:lineRule="auto"/>
              <w:jc w:val="center"/>
              <w:rPr>
                <w:rFonts w:eastAsia="Times New Roman" w:cs="Times New Roman"/>
                <w:color w:val="000000"/>
                <w:szCs w:val="24"/>
                <w:lang w:eastAsia="en-AU"/>
              </w:rPr>
            </w:pPr>
            <w:r w:rsidRPr="000F7EB0">
              <w:rPr>
                <w:rFonts w:eastAsia="Times New Roman" w:cs="Times New Roman"/>
                <w:color w:val="000000"/>
                <w:szCs w:val="24"/>
                <w:lang w:eastAsia="en-AU"/>
              </w:rPr>
              <w:t>Unemployment rate %</w:t>
            </w:r>
          </w:p>
        </w:tc>
        <w:tc>
          <w:tcPr>
            <w:tcW w:w="807" w:type="pct"/>
            <w:hideMark/>
          </w:tcPr>
          <w:p w:rsidR="000F7EB0" w:rsidRPr="000F7EB0" w:rsidRDefault="000F7EB0" w:rsidP="000F7EB0">
            <w:pPr>
              <w:spacing w:line="240" w:lineRule="auto"/>
              <w:jc w:val="center"/>
              <w:rPr>
                <w:rFonts w:eastAsia="Times New Roman" w:cs="Times New Roman"/>
                <w:color w:val="000000"/>
                <w:szCs w:val="24"/>
                <w:lang w:eastAsia="en-AU"/>
              </w:rPr>
            </w:pPr>
            <w:r w:rsidRPr="000F7EB0">
              <w:rPr>
                <w:rFonts w:eastAsia="Times New Roman" w:cs="Times New Roman"/>
                <w:color w:val="000000"/>
                <w:szCs w:val="24"/>
                <w:lang w:eastAsia="en-AU"/>
              </w:rPr>
              <w:t>Interbank rate %</w:t>
            </w:r>
          </w:p>
        </w:tc>
        <w:tc>
          <w:tcPr>
            <w:tcW w:w="644" w:type="pct"/>
            <w:hideMark/>
          </w:tcPr>
          <w:p w:rsidR="000F7EB0" w:rsidRPr="000F7EB0" w:rsidRDefault="000F7EB0" w:rsidP="000F7EB0">
            <w:pPr>
              <w:spacing w:line="240" w:lineRule="auto"/>
              <w:jc w:val="center"/>
              <w:rPr>
                <w:rFonts w:eastAsia="Times New Roman" w:cs="Times New Roman"/>
                <w:color w:val="000000"/>
                <w:szCs w:val="24"/>
                <w:lang w:eastAsia="en-AU"/>
              </w:rPr>
            </w:pPr>
            <w:r w:rsidRPr="000F7EB0">
              <w:rPr>
                <w:rFonts w:eastAsia="Times New Roman" w:cs="Times New Roman"/>
                <w:color w:val="000000"/>
                <w:szCs w:val="24"/>
                <w:lang w:eastAsia="en-AU"/>
              </w:rPr>
              <w:t>GDP growth rate %</w:t>
            </w:r>
          </w:p>
        </w:tc>
      </w:tr>
      <w:tr w:rsidR="000F7EB0" w:rsidRPr="000F7EB0" w:rsidTr="00806F51">
        <w:trPr>
          <w:trHeight w:val="312"/>
        </w:trPr>
        <w:tc>
          <w:tcPr>
            <w:tcW w:w="1571" w:type="pct"/>
            <w:noWrap/>
            <w:hideMark/>
          </w:tcPr>
          <w:p w:rsidR="000F7EB0" w:rsidRPr="000F7EB0" w:rsidRDefault="000F7EB0" w:rsidP="000F7EB0">
            <w:pPr>
              <w:spacing w:line="240" w:lineRule="auto"/>
              <w:jc w:val="left"/>
              <w:rPr>
                <w:rFonts w:eastAsia="Times New Roman" w:cs="Times New Roman"/>
                <w:color w:val="000000"/>
                <w:szCs w:val="24"/>
                <w:lang w:eastAsia="en-AU"/>
              </w:rPr>
            </w:pPr>
            <w:r w:rsidRPr="000F7EB0">
              <w:rPr>
                <w:rFonts w:eastAsia="Times New Roman" w:cs="Times New Roman"/>
                <w:color w:val="000000"/>
                <w:szCs w:val="24"/>
                <w:lang w:eastAsia="en-AU"/>
              </w:rPr>
              <w:t>GDP deflator %</w:t>
            </w:r>
          </w:p>
        </w:tc>
        <w:tc>
          <w:tcPr>
            <w:tcW w:w="788"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1</w:t>
            </w:r>
          </w:p>
        </w:tc>
        <w:tc>
          <w:tcPr>
            <w:tcW w:w="1190" w:type="pct"/>
            <w:noWrap/>
            <w:hideMark/>
          </w:tcPr>
          <w:p w:rsidR="000F7EB0" w:rsidRPr="000F7EB0" w:rsidRDefault="000F7EB0" w:rsidP="000F7EB0">
            <w:pPr>
              <w:spacing w:line="240" w:lineRule="auto"/>
              <w:jc w:val="right"/>
              <w:rPr>
                <w:rFonts w:eastAsia="Times New Roman" w:cs="Times New Roman"/>
                <w:color w:val="000000"/>
                <w:szCs w:val="24"/>
                <w:lang w:eastAsia="en-AU"/>
              </w:rPr>
            </w:pPr>
          </w:p>
        </w:tc>
        <w:tc>
          <w:tcPr>
            <w:tcW w:w="807" w:type="pct"/>
            <w:noWrap/>
            <w:hideMark/>
          </w:tcPr>
          <w:p w:rsidR="000F7EB0" w:rsidRPr="000F7EB0" w:rsidRDefault="000F7EB0" w:rsidP="000F7EB0">
            <w:pPr>
              <w:spacing w:line="240" w:lineRule="auto"/>
              <w:jc w:val="left"/>
              <w:rPr>
                <w:rFonts w:eastAsia="Times New Roman" w:cs="Times New Roman"/>
                <w:szCs w:val="24"/>
                <w:lang w:eastAsia="en-AU"/>
              </w:rPr>
            </w:pPr>
          </w:p>
        </w:tc>
        <w:tc>
          <w:tcPr>
            <w:tcW w:w="644" w:type="pct"/>
            <w:noWrap/>
            <w:hideMark/>
          </w:tcPr>
          <w:p w:rsidR="000F7EB0" w:rsidRPr="000F7EB0" w:rsidRDefault="000F7EB0" w:rsidP="000F7EB0">
            <w:pPr>
              <w:spacing w:line="240" w:lineRule="auto"/>
              <w:jc w:val="left"/>
              <w:rPr>
                <w:rFonts w:eastAsia="Times New Roman" w:cs="Times New Roman"/>
                <w:szCs w:val="24"/>
                <w:lang w:eastAsia="en-AU"/>
              </w:rPr>
            </w:pPr>
          </w:p>
        </w:tc>
      </w:tr>
      <w:tr w:rsidR="000F7EB0" w:rsidRPr="000F7EB0" w:rsidTr="00806F51">
        <w:trPr>
          <w:trHeight w:val="312"/>
        </w:trPr>
        <w:tc>
          <w:tcPr>
            <w:tcW w:w="1571" w:type="pct"/>
            <w:noWrap/>
            <w:hideMark/>
          </w:tcPr>
          <w:p w:rsidR="000F7EB0" w:rsidRPr="000F7EB0" w:rsidRDefault="000F7EB0" w:rsidP="000F7EB0">
            <w:pPr>
              <w:spacing w:line="240" w:lineRule="auto"/>
              <w:jc w:val="left"/>
              <w:rPr>
                <w:rFonts w:eastAsia="Times New Roman" w:cs="Times New Roman"/>
                <w:color w:val="000000"/>
                <w:szCs w:val="24"/>
                <w:lang w:eastAsia="en-AU"/>
              </w:rPr>
            </w:pPr>
            <w:r w:rsidRPr="000F7EB0">
              <w:rPr>
                <w:rFonts w:eastAsia="Times New Roman" w:cs="Times New Roman"/>
                <w:color w:val="000000"/>
                <w:szCs w:val="24"/>
                <w:lang w:eastAsia="en-AU"/>
              </w:rPr>
              <w:t>Unemployment rate %</w:t>
            </w:r>
          </w:p>
        </w:tc>
        <w:tc>
          <w:tcPr>
            <w:tcW w:w="788"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-0.41843</w:t>
            </w:r>
          </w:p>
        </w:tc>
        <w:tc>
          <w:tcPr>
            <w:tcW w:w="1190"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1</w:t>
            </w:r>
          </w:p>
        </w:tc>
        <w:tc>
          <w:tcPr>
            <w:tcW w:w="807" w:type="pct"/>
            <w:noWrap/>
            <w:hideMark/>
          </w:tcPr>
          <w:p w:rsidR="000F7EB0" w:rsidRPr="000F7EB0" w:rsidRDefault="000F7EB0" w:rsidP="000F7EB0">
            <w:pPr>
              <w:spacing w:line="240" w:lineRule="auto"/>
              <w:jc w:val="right"/>
              <w:rPr>
                <w:rFonts w:eastAsia="Times New Roman" w:cs="Times New Roman"/>
                <w:color w:val="000000"/>
                <w:szCs w:val="24"/>
                <w:lang w:eastAsia="en-AU"/>
              </w:rPr>
            </w:pPr>
          </w:p>
        </w:tc>
        <w:tc>
          <w:tcPr>
            <w:tcW w:w="644" w:type="pct"/>
            <w:noWrap/>
            <w:hideMark/>
          </w:tcPr>
          <w:p w:rsidR="000F7EB0" w:rsidRPr="000F7EB0" w:rsidRDefault="000F7EB0" w:rsidP="000F7EB0">
            <w:pPr>
              <w:spacing w:line="240" w:lineRule="auto"/>
              <w:jc w:val="left"/>
              <w:rPr>
                <w:rFonts w:eastAsia="Times New Roman" w:cs="Times New Roman"/>
                <w:szCs w:val="24"/>
                <w:lang w:eastAsia="en-AU"/>
              </w:rPr>
            </w:pPr>
          </w:p>
        </w:tc>
      </w:tr>
      <w:tr w:rsidR="000F7EB0" w:rsidRPr="000F7EB0" w:rsidTr="00806F51">
        <w:trPr>
          <w:trHeight w:val="312"/>
        </w:trPr>
        <w:tc>
          <w:tcPr>
            <w:tcW w:w="1571" w:type="pct"/>
            <w:noWrap/>
            <w:hideMark/>
          </w:tcPr>
          <w:p w:rsidR="000F7EB0" w:rsidRPr="000F7EB0" w:rsidRDefault="000F7EB0" w:rsidP="000F7EB0">
            <w:pPr>
              <w:spacing w:line="240" w:lineRule="auto"/>
              <w:jc w:val="left"/>
              <w:rPr>
                <w:rFonts w:eastAsia="Times New Roman" w:cs="Times New Roman"/>
                <w:color w:val="000000"/>
                <w:szCs w:val="24"/>
                <w:lang w:eastAsia="en-AU"/>
              </w:rPr>
            </w:pPr>
            <w:r w:rsidRPr="000F7EB0">
              <w:rPr>
                <w:rFonts w:eastAsia="Times New Roman" w:cs="Times New Roman"/>
                <w:color w:val="000000"/>
                <w:szCs w:val="24"/>
                <w:lang w:eastAsia="en-AU"/>
              </w:rPr>
              <w:t>Interbank rate %</w:t>
            </w:r>
          </w:p>
        </w:tc>
        <w:tc>
          <w:tcPr>
            <w:tcW w:w="788"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-0.39386</w:t>
            </w:r>
          </w:p>
        </w:tc>
        <w:tc>
          <w:tcPr>
            <w:tcW w:w="1190"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-0.60129</w:t>
            </w:r>
          </w:p>
        </w:tc>
        <w:tc>
          <w:tcPr>
            <w:tcW w:w="807"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1</w:t>
            </w:r>
          </w:p>
        </w:tc>
        <w:tc>
          <w:tcPr>
            <w:tcW w:w="644" w:type="pct"/>
            <w:noWrap/>
            <w:hideMark/>
          </w:tcPr>
          <w:p w:rsidR="000F7EB0" w:rsidRPr="000F7EB0" w:rsidRDefault="000F7EB0" w:rsidP="000F7EB0">
            <w:pPr>
              <w:spacing w:line="240" w:lineRule="auto"/>
              <w:jc w:val="right"/>
              <w:rPr>
                <w:rFonts w:eastAsia="Times New Roman" w:cs="Times New Roman"/>
                <w:color w:val="000000"/>
                <w:szCs w:val="24"/>
                <w:lang w:eastAsia="en-AU"/>
              </w:rPr>
            </w:pPr>
          </w:p>
        </w:tc>
      </w:tr>
      <w:tr w:rsidR="000F7EB0" w:rsidRPr="000F7EB0" w:rsidTr="00806F51">
        <w:trPr>
          <w:trHeight w:val="324"/>
        </w:trPr>
        <w:tc>
          <w:tcPr>
            <w:tcW w:w="1571" w:type="pct"/>
            <w:noWrap/>
            <w:hideMark/>
          </w:tcPr>
          <w:p w:rsidR="000F7EB0" w:rsidRPr="000F7EB0" w:rsidRDefault="000F7EB0" w:rsidP="000F7EB0">
            <w:pPr>
              <w:spacing w:line="240" w:lineRule="auto"/>
              <w:jc w:val="left"/>
              <w:rPr>
                <w:rFonts w:eastAsia="Times New Roman" w:cs="Times New Roman"/>
                <w:color w:val="000000"/>
                <w:szCs w:val="24"/>
                <w:lang w:eastAsia="en-AU"/>
              </w:rPr>
            </w:pPr>
            <w:r w:rsidRPr="000F7EB0">
              <w:rPr>
                <w:rFonts w:eastAsia="Times New Roman" w:cs="Times New Roman"/>
                <w:color w:val="000000"/>
                <w:szCs w:val="24"/>
                <w:lang w:eastAsia="en-AU"/>
              </w:rPr>
              <w:lastRenderedPageBreak/>
              <w:t>GDP growth rate %</w:t>
            </w:r>
          </w:p>
        </w:tc>
        <w:tc>
          <w:tcPr>
            <w:tcW w:w="788"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0.557308</w:t>
            </w:r>
          </w:p>
        </w:tc>
        <w:tc>
          <w:tcPr>
            <w:tcW w:w="1190"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-0.71135</w:t>
            </w:r>
          </w:p>
        </w:tc>
        <w:tc>
          <w:tcPr>
            <w:tcW w:w="807"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0.03445</w:t>
            </w:r>
          </w:p>
        </w:tc>
        <w:tc>
          <w:tcPr>
            <w:tcW w:w="644" w:type="pct"/>
            <w:noWrap/>
            <w:hideMark/>
          </w:tcPr>
          <w:p w:rsidR="000F7EB0" w:rsidRPr="000F7EB0" w:rsidRDefault="000F7EB0" w:rsidP="000F7EB0">
            <w:pPr>
              <w:spacing w:line="240" w:lineRule="auto"/>
              <w:jc w:val="right"/>
              <w:rPr>
                <w:rFonts w:eastAsia="Times New Roman" w:cs="Times New Roman"/>
                <w:color w:val="000000"/>
                <w:szCs w:val="24"/>
                <w:lang w:eastAsia="en-AU"/>
              </w:rPr>
            </w:pPr>
            <w:r w:rsidRPr="000F7EB0">
              <w:rPr>
                <w:rFonts w:eastAsia="Times New Roman" w:cs="Times New Roman"/>
                <w:color w:val="000000"/>
                <w:szCs w:val="24"/>
                <w:lang w:eastAsia="en-AU"/>
              </w:rPr>
              <w:t>1</w:t>
            </w:r>
          </w:p>
        </w:tc>
      </w:tr>
    </w:tbl>
    <w:p w:rsidR="007C06FA" w:rsidRDefault="007C06FA"/>
    <w:p w:rsidR="00067A31" w:rsidRDefault="000F7EB0" w:rsidP="00067A31">
      <w:r>
        <w:t xml:space="preserve">As per the table 2, there is strong negative association (-.71) between GDP growth rate and unemployment rate. This showcase as the GDP growth increased in </w:t>
      </w:r>
      <w:r w:rsidR="006D202B">
        <w:t>Canada</w:t>
      </w:r>
      <w:r>
        <w:t xml:space="preserve">, unemployment fell which is in line with the previous literary sources which demonstrates with rise in GDP, economy tends to generate more job resulting fall in </w:t>
      </w:r>
      <w:r w:rsidR="00607F2E">
        <w:t xml:space="preserve">the </w:t>
      </w:r>
      <w:r>
        <w:t xml:space="preserve">unemployment rate. </w:t>
      </w:r>
      <w:r w:rsidR="006D202B">
        <w:t xml:space="preserve">GDP growth rate has </w:t>
      </w:r>
      <w:r w:rsidR="00607F2E">
        <w:t xml:space="preserve">a </w:t>
      </w:r>
      <w:r w:rsidR="006D202B">
        <w:t xml:space="preserve">positive association with GDP deflator. It is in line with previous </w:t>
      </w:r>
      <w:proofErr w:type="gramStart"/>
      <w:r w:rsidR="006D202B">
        <w:t>literary sources which demonstrates</w:t>
      </w:r>
      <w:proofErr w:type="gramEnd"/>
      <w:r w:rsidR="006D202B">
        <w:t xml:space="preserve"> with rise in GDP growth rate</w:t>
      </w:r>
      <w:r w:rsidR="00607F2E">
        <w:t>;</w:t>
      </w:r>
      <w:r w:rsidR="006D202B">
        <w:t xml:space="preserve"> price level tends to increase</w:t>
      </w:r>
      <w:r w:rsidR="00607F2E">
        <w:t>,</w:t>
      </w:r>
      <w:r w:rsidR="006D202B">
        <w:t xml:space="preserve"> resulting overall inflation to rise </w:t>
      </w:r>
      <w:r w:rsidR="00607F2E">
        <w:t>which</w:t>
      </w:r>
      <w:r w:rsidR="006D202B">
        <w:t xml:space="preserve"> increase</w:t>
      </w:r>
      <w:r w:rsidR="00607F2E">
        <w:t>s</w:t>
      </w:r>
      <w:r w:rsidR="006D202B">
        <w:t xml:space="preserve"> </w:t>
      </w:r>
      <w:r w:rsidR="00607F2E">
        <w:t xml:space="preserve">the </w:t>
      </w:r>
      <w:r w:rsidR="006D202B">
        <w:t xml:space="preserve">GDP deflator too. Association between GDP growth rate and </w:t>
      </w:r>
      <w:r w:rsidR="00607F2E">
        <w:t xml:space="preserve">the </w:t>
      </w:r>
      <w:r w:rsidR="006D202B">
        <w:t>interbank rate is positive</w:t>
      </w:r>
      <w:r w:rsidR="00607F2E">
        <w:t>;</w:t>
      </w:r>
      <w:r w:rsidR="006D202B">
        <w:t xml:space="preserve"> however</w:t>
      </w:r>
      <w:r w:rsidR="00607F2E">
        <w:t>,</w:t>
      </w:r>
      <w:r w:rsidR="006D202B">
        <w:t xml:space="preserve"> it is weak as </w:t>
      </w:r>
      <w:r w:rsidR="00607F2E">
        <w:t xml:space="preserve">the </w:t>
      </w:r>
      <w:r w:rsidR="006D202B">
        <w:t>correlation is 0.03 only. This i</w:t>
      </w:r>
      <w:r w:rsidR="00607F2E">
        <w:t xml:space="preserve">s in line with the previous literary source, which demonstrates that as the GDP growth rate increases, demand for </w:t>
      </w:r>
      <w:proofErr w:type="spellStart"/>
      <w:r w:rsidR="00607F2E">
        <w:t>loanable</w:t>
      </w:r>
      <w:proofErr w:type="spellEnd"/>
      <w:r w:rsidR="00607F2E">
        <w:t xml:space="preserve"> funds increases,</w:t>
      </w:r>
      <w:r w:rsidR="006D202B">
        <w:t xml:space="preserve"> leading to inflation. To control inflation, </w:t>
      </w:r>
      <w:r w:rsidR="00607F2E">
        <w:t xml:space="preserve">the </w:t>
      </w:r>
      <w:r w:rsidR="006D202B">
        <w:t xml:space="preserve">interest rate is increased by </w:t>
      </w:r>
      <w:r w:rsidR="00607F2E">
        <w:t>the central bank, and the interbank rate is also increased, which is decided by the bank</w:t>
      </w:r>
      <w:r w:rsidR="006D202B">
        <w:t xml:space="preserve"> and not by </w:t>
      </w:r>
      <w:r w:rsidR="00607F2E">
        <w:t xml:space="preserve">the </w:t>
      </w:r>
      <w:r w:rsidR="006D202B">
        <w:t xml:space="preserve">central bank. </w:t>
      </w:r>
      <w:r w:rsidR="0072148D">
        <w:t xml:space="preserve">Table 2 also demonstrates </w:t>
      </w:r>
      <w:r w:rsidR="00607F2E">
        <w:t>a negative association between interbank rate and GDP deflator with correlation -.39. If the interbank rate increases</w:t>
      </w:r>
      <w:r w:rsidR="00067A31">
        <w:t xml:space="preserve"> with </w:t>
      </w:r>
      <w:r w:rsidR="00607F2E">
        <w:t xml:space="preserve">the </w:t>
      </w:r>
      <w:r w:rsidR="00067A31">
        <w:t xml:space="preserve">increasing demand of </w:t>
      </w:r>
      <w:proofErr w:type="spellStart"/>
      <w:r w:rsidR="00067A31">
        <w:t>loanable</w:t>
      </w:r>
      <w:proofErr w:type="spellEnd"/>
      <w:r w:rsidR="00067A31">
        <w:t xml:space="preserve"> fund</w:t>
      </w:r>
      <w:r w:rsidR="00607F2E">
        <w:t>s, demand for borrowing will decrease,</w:t>
      </w:r>
      <w:r w:rsidR="00067A31">
        <w:t xml:space="preserve"> leading to </w:t>
      </w:r>
      <w:r w:rsidR="00607F2E">
        <w:t xml:space="preserve">a </w:t>
      </w:r>
      <w:r w:rsidR="00067A31">
        <w:t xml:space="preserve">fall in inflation. This will result in fall in GDP deflator; hence, the negative association is in line with previous literary evidence. </w:t>
      </w:r>
      <w:r w:rsidR="00607F2E">
        <w:t>The association between interbank rate and unemployment rate with correlation -.60</w:t>
      </w:r>
      <w:r w:rsidR="00067A31">
        <w:t xml:space="preserve"> is in line with the previous literary evidence. As </w:t>
      </w:r>
      <w:r w:rsidR="00607F2E">
        <w:t xml:space="preserve">the </w:t>
      </w:r>
      <w:r w:rsidR="00067A31">
        <w:t xml:space="preserve">interbank </w:t>
      </w:r>
      <w:proofErr w:type="gramStart"/>
      <w:r w:rsidR="00067A31">
        <w:t>rate grow</w:t>
      </w:r>
      <w:proofErr w:type="gramEnd"/>
      <w:r w:rsidR="00067A31">
        <w:t xml:space="preserve">, borrowing fall and job creation fell. Hence the association is negative and change in one variable result in </w:t>
      </w:r>
      <w:r w:rsidR="00607F2E">
        <w:t xml:space="preserve">a </w:t>
      </w:r>
      <w:r w:rsidR="00067A31">
        <w:t>change in other variable</w:t>
      </w:r>
      <w:r w:rsidR="00607F2E">
        <w:t>s</w:t>
      </w:r>
      <w:r w:rsidR="00067A31">
        <w:t xml:space="preserve"> in </w:t>
      </w:r>
      <w:r w:rsidR="00607F2E">
        <w:t xml:space="preserve">an </w:t>
      </w:r>
      <w:r w:rsidR="00067A31">
        <w:t xml:space="preserve">inverse direction. Lastly, table 2 demonstrates </w:t>
      </w:r>
      <w:r w:rsidR="00607F2E">
        <w:t xml:space="preserve">the </w:t>
      </w:r>
      <w:r w:rsidR="00067A31">
        <w:t xml:space="preserve">association between </w:t>
      </w:r>
      <w:r w:rsidR="00607F2E">
        <w:t xml:space="preserve">the </w:t>
      </w:r>
      <w:r w:rsidR="00067A31">
        <w:t>unemployment rate and GDP deflator. With correlation -.42 the association is negative</w:t>
      </w:r>
      <w:r w:rsidR="00607F2E">
        <w:t xml:space="preserve"> and</w:t>
      </w:r>
      <w:r w:rsidR="00067A31">
        <w:t xml:space="preserve"> valid as per previous literary sources. If the GDP </w:t>
      </w:r>
      <w:proofErr w:type="gramStart"/>
      <w:r w:rsidR="00067A31">
        <w:t>deflator increase</w:t>
      </w:r>
      <w:proofErr w:type="gramEnd"/>
      <w:r w:rsidR="00067A31">
        <w:t>, market demand reduce</w:t>
      </w:r>
      <w:r w:rsidR="00607F2E">
        <w:t>s</w:t>
      </w:r>
      <w:r w:rsidR="00067A31">
        <w:t xml:space="preserve"> and with </w:t>
      </w:r>
      <w:r w:rsidR="00607F2E">
        <w:t xml:space="preserve">a </w:t>
      </w:r>
      <w:r w:rsidR="00067A31">
        <w:t xml:space="preserve">reduction in market demand job creation fell resulting in rise in unemployment. </w:t>
      </w:r>
    </w:p>
    <w:p w:rsidR="000F7EB0" w:rsidRDefault="00067A31">
      <w:r>
        <w:t xml:space="preserve">To check the association in </w:t>
      </w:r>
      <w:r w:rsidR="00607F2E">
        <w:t xml:space="preserve">a </w:t>
      </w:r>
      <w:r>
        <w:t>different quarter</w:t>
      </w:r>
      <w:r w:rsidR="009A3B6D">
        <w:t>, graphs ha</w:t>
      </w:r>
      <w:r w:rsidR="00607F2E">
        <w:t>ve</w:t>
      </w:r>
      <w:r w:rsidR="009A3B6D">
        <w:t xml:space="preserve"> been drawn below:</w:t>
      </w:r>
    </w:p>
    <w:p w:rsidR="009651B6" w:rsidRDefault="000F7EB0" w:rsidP="009651B6">
      <w:pPr>
        <w:keepNext/>
        <w:jc w:val="center"/>
      </w:pPr>
      <w:r>
        <w:rPr>
          <w:noProof/>
          <w:lang w:val="en-US"/>
        </w:rPr>
        <w:lastRenderedPageBreak/>
        <w:drawing>
          <wp:inline distT="0" distB="0" distL="0" distR="0">
            <wp:extent cx="4860000" cy="2700000"/>
            <wp:effectExtent l="0" t="0" r="17145" b="5715"/>
            <wp:docPr id="2" name="Chart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E4AF1A26-1AEE-935C-71E3-C2EE7AE34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3B6D" w:rsidRDefault="009651B6" w:rsidP="009651B6">
      <w:pPr>
        <w:pStyle w:val="Caption"/>
        <w:jc w:val="center"/>
      </w:pPr>
      <w:r>
        <w:t xml:space="preserve">Figure </w:t>
      </w:r>
      <w:fldSimple w:instr=" SEQ Figure \* ARABIC ">
        <w:r>
          <w:rPr>
            <w:noProof/>
          </w:rPr>
          <w:t>1</w:t>
        </w:r>
      </w:fldSimple>
      <w:r>
        <w:t>: GDP growth rate of Canada</w:t>
      </w:r>
    </w:p>
    <w:p w:rsidR="009A3B6D" w:rsidRDefault="009A3B6D">
      <w:r>
        <w:t xml:space="preserve">Figure 1 demonstrates that </w:t>
      </w:r>
      <w:r w:rsidR="00607F2E">
        <w:t xml:space="preserve">the </w:t>
      </w:r>
      <w:r>
        <w:t xml:space="preserve">Canadian economy GDP has increased at .77% rate where GDP faced dip in 2020 due to pandemic. However, </w:t>
      </w:r>
      <w:r w:rsidR="00607F2E">
        <w:t>in</w:t>
      </w:r>
      <w:r>
        <w:t xml:space="preserve"> </w:t>
      </w:r>
      <w:r w:rsidR="00607F2E">
        <w:t xml:space="preserve">the </w:t>
      </w:r>
      <w:r>
        <w:t xml:space="preserve">third quarter </w:t>
      </w:r>
      <w:r w:rsidR="00607F2E">
        <w:t xml:space="preserve">of </w:t>
      </w:r>
      <w:r>
        <w:t>2021</w:t>
      </w:r>
      <w:r w:rsidR="00607F2E">
        <w:t>,</w:t>
      </w:r>
      <w:r>
        <w:t xml:space="preserve"> it faced </w:t>
      </w:r>
      <w:r w:rsidR="00607F2E">
        <w:t xml:space="preserve">a </w:t>
      </w:r>
      <w:r>
        <w:t xml:space="preserve">continuous fall due to </w:t>
      </w:r>
      <w:r w:rsidR="00607F2E">
        <w:t xml:space="preserve">a </w:t>
      </w:r>
      <w:r>
        <w:t xml:space="preserve">crisis in </w:t>
      </w:r>
      <w:r w:rsidR="00607F2E">
        <w:t xml:space="preserve">the </w:t>
      </w:r>
      <w:r>
        <w:t xml:space="preserve">international market </w:t>
      </w:r>
      <w:r w:rsidR="00607F2E">
        <w:t>of</w:t>
      </w:r>
      <w:r>
        <w:t xml:space="preserve"> Russia Ukraine war.</w:t>
      </w:r>
    </w:p>
    <w:p w:rsidR="009651B6" w:rsidRDefault="009651B6" w:rsidP="009651B6">
      <w:pPr>
        <w:keepNext/>
        <w:jc w:val="center"/>
      </w:pPr>
      <w:r>
        <w:rPr>
          <w:noProof/>
          <w:lang w:val="en-US"/>
        </w:rPr>
        <w:drawing>
          <wp:inline distT="0" distB="0" distL="0" distR="0">
            <wp:extent cx="4860000" cy="2700000"/>
            <wp:effectExtent l="0" t="0" r="17145" b="5715"/>
            <wp:docPr id="1" name="Chart 1">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750DB7E4-B272-54CA-7FCE-D70C968DE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651B6" w:rsidRDefault="009651B6" w:rsidP="009651B6">
      <w:pPr>
        <w:pStyle w:val="Caption"/>
        <w:jc w:val="center"/>
      </w:pPr>
      <w:r>
        <w:t xml:space="preserve">Figure </w:t>
      </w:r>
      <w:fldSimple w:instr=" SEQ Figure \* ARABIC ">
        <w:r>
          <w:rPr>
            <w:noProof/>
          </w:rPr>
          <w:t>2</w:t>
        </w:r>
      </w:fldSimple>
      <w:r>
        <w:t>: GDP deflator of Canada</w:t>
      </w:r>
    </w:p>
    <w:p w:rsidR="009651B6" w:rsidRDefault="009651B6" w:rsidP="009651B6">
      <w:r>
        <w:t xml:space="preserve">Figure 2 demonstrates that as the time increased, GDP deflator increased with 1.46% rate in each quarter. Though there has been fall in economy during 2020 due to pandemic, yet, the economy recovered since third quarter of the same year, </w:t>
      </w:r>
      <w:proofErr w:type="gramStart"/>
      <w:r>
        <w:t>resulting</w:t>
      </w:r>
      <w:proofErr w:type="gramEnd"/>
      <w:r>
        <w:t xml:space="preserve"> an upward trend in GDP deflator. Hence, the change is in line with GDP growth rate.</w:t>
      </w:r>
    </w:p>
    <w:p w:rsidR="009651B6" w:rsidRDefault="000F7EB0" w:rsidP="009651B6">
      <w:pPr>
        <w:keepNext/>
        <w:jc w:val="center"/>
      </w:pPr>
      <w:r>
        <w:rPr>
          <w:noProof/>
          <w:lang w:val="en-US"/>
        </w:rPr>
        <w:lastRenderedPageBreak/>
        <w:drawing>
          <wp:inline distT="0" distB="0" distL="0" distR="0">
            <wp:extent cx="4860000" cy="2700000"/>
            <wp:effectExtent l="0" t="0" r="17145" b="5715"/>
            <wp:docPr id="3" name="Chart 3">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C90C0418-0A1C-F612-54D3-0528CA38E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C0D5D" w:rsidRDefault="009651B6" w:rsidP="009651B6">
      <w:pPr>
        <w:pStyle w:val="Caption"/>
        <w:jc w:val="center"/>
      </w:pPr>
      <w:r>
        <w:t xml:space="preserve">Figure </w:t>
      </w:r>
      <w:fldSimple w:instr=" SEQ Figure \* ARABIC ">
        <w:r>
          <w:rPr>
            <w:noProof/>
          </w:rPr>
          <w:t>3</w:t>
        </w:r>
      </w:fldSimple>
      <w:r>
        <w:t>: Unemployment rate of Canada</w:t>
      </w:r>
    </w:p>
    <w:p w:rsidR="009A3B6D" w:rsidRDefault="005C0D5D">
      <w:r>
        <w:t>As per the figure 3, unemployment rate of Canadian economy fell sharply since third quarter of 2020. This fall is mainly generated due to the increase in GDP as demonstrated in figure 1, which showcase strong negative association between GDP growth rate and unemployment rate.</w:t>
      </w:r>
    </w:p>
    <w:p w:rsidR="009651B6" w:rsidRDefault="000F7EB0" w:rsidP="009651B6">
      <w:pPr>
        <w:keepNext/>
        <w:jc w:val="center"/>
      </w:pPr>
      <w:r>
        <w:rPr>
          <w:noProof/>
          <w:lang w:val="en-US"/>
        </w:rPr>
        <w:drawing>
          <wp:inline distT="0" distB="0" distL="0" distR="0">
            <wp:extent cx="4860000" cy="2700000"/>
            <wp:effectExtent l="0" t="0" r="17145" b="5715"/>
            <wp:docPr id="4" name="Chart 4">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871B6ECD-9728-F355-12B5-49B0F370B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F7EB0" w:rsidRDefault="009651B6" w:rsidP="009651B6">
      <w:pPr>
        <w:pStyle w:val="Caption"/>
        <w:jc w:val="center"/>
      </w:pPr>
      <w:r>
        <w:t xml:space="preserve">Figure </w:t>
      </w:r>
      <w:fldSimple w:instr=" SEQ Figure \* ARABIC ">
        <w:r>
          <w:rPr>
            <w:noProof/>
          </w:rPr>
          <w:t>4</w:t>
        </w:r>
      </w:fldSimple>
      <w:r>
        <w:t>: Interbank rate of Canada</w:t>
      </w:r>
    </w:p>
    <w:p w:rsidR="005C0D5D" w:rsidRDefault="005C0D5D" w:rsidP="005C0D5D">
      <w:r>
        <w:t xml:space="preserve">Figure 4 showcase that interbank rate fell sharply till third quarter of 2020 from third quarter of 2019. Post this it stabilise and continued to increase from third quarter of 2021. </w:t>
      </w:r>
      <w:proofErr w:type="gramStart"/>
      <w:r>
        <w:t>This showcase change in line with the GDP growth rate with weak association.</w:t>
      </w:r>
      <w:proofErr w:type="gramEnd"/>
    </w:p>
    <w:p w:rsidR="00DE6281" w:rsidRDefault="00DE6281">
      <w:pPr>
        <w:spacing w:after="160" w:line="259" w:lineRule="auto"/>
        <w:jc w:val="left"/>
      </w:pPr>
      <w:r>
        <w:br w:type="page"/>
      </w:r>
    </w:p>
    <w:p w:rsidR="00806F51" w:rsidRDefault="00806F51" w:rsidP="00806F51">
      <w:pPr>
        <w:pStyle w:val="Heading1"/>
      </w:pPr>
      <w:r>
        <w:lastRenderedPageBreak/>
        <w:t>Reference</w:t>
      </w:r>
      <w:r w:rsidR="0092091B">
        <w:t>s</w:t>
      </w:r>
      <w:r>
        <w:t>:</w:t>
      </w:r>
    </w:p>
    <w:p w:rsidR="00806F51" w:rsidRDefault="00806F51" w:rsidP="00806F51">
      <w:pPr>
        <w:ind w:left="720" w:hanging="720"/>
      </w:pPr>
      <w:proofErr w:type="gramStart"/>
      <w:r>
        <w:t>Imf.org (2020).</w:t>
      </w:r>
      <w:proofErr w:type="gramEnd"/>
      <w:r>
        <w:t xml:space="preserve"> </w:t>
      </w:r>
      <w:proofErr w:type="gramStart"/>
      <w:r>
        <w:t>Policy response.</w:t>
      </w:r>
      <w:proofErr w:type="gramEnd"/>
      <w:r>
        <w:t xml:space="preserve"> </w:t>
      </w:r>
      <w:hyperlink r:id="rId11" w:anchor="C" w:history="1">
        <w:r w:rsidRPr="00D13804">
          <w:rPr>
            <w:rStyle w:val="Hyperlink"/>
          </w:rPr>
          <w:t>https://www.imf.org/en/Topics/imf-and-covid19/Policy-Responses-to-COVID-19#C</w:t>
        </w:r>
      </w:hyperlink>
    </w:p>
    <w:p w:rsidR="00806F51" w:rsidRDefault="00806F51" w:rsidP="00806F51">
      <w:pPr>
        <w:ind w:left="720" w:hanging="720"/>
      </w:pPr>
      <w:proofErr w:type="gramStart"/>
      <w:r>
        <w:t>Tradingeconomics.com (2022).</w:t>
      </w:r>
      <w:proofErr w:type="gramEnd"/>
      <w:r>
        <w:t xml:space="preserve"> </w:t>
      </w:r>
      <w:proofErr w:type="gramStart"/>
      <w:r>
        <w:t>Canada GDP Deflator - 2022 Data - 2023 Forecast - 1961-2021 Historical – Calendar.</w:t>
      </w:r>
      <w:proofErr w:type="gramEnd"/>
      <w:r>
        <w:t xml:space="preserve"> </w:t>
      </w:r>
      <w:hyperlink r:id="rId12" w:history="1">
        <w:r w:rsidRPr="00D13804">
          <w:rPr>
            <w:rStyle w:val="Hyperlink"/>
          </w:rPr>
          <w:t>https://tradingeconomics.com/canada/gdp-deflator</w:t>
        </w:r>
      </w:hyperlink>
    </w:p>
    <w:p w:rsidR="00806F51" w:rsidRDefault="00806F51" w:rsidP="00806F51"/>
    <w:p w:rsidR="00806F51" w:rsidRPr="00806F51" w:rsidRDefault="00806F51" w:rsidP="00806F51"/>
    <w:sectPr w:rsidR="00806F51" w:rsidRPr="00806F51" w:rsidSect="00BC6CFE">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126" w:rsidRDefault="00FD6126" w:rsidP="007C06FA">
      <w:pPr>
        <w:spacing w:line="240" w:lineRule="auto"/>
      </w:pPr>
      <w:r>
        <w:separator/>
      </w:r>
    </w:p>
  </w:endnote>
  <w:endnote w:type="continuationSeparator" w:id="0">
    <w:p w:rsidR="00FD6126" w:rsidRDefault="00FD6126" w:rsidP="007C06F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126" w:rsidRDefault="00FD6126" w:rsidP="007C06FA">
      <w:pPr>
        <w:spacing w:line="240" w:lineRule="auto"/>
      </w:pPr>
      <w:r>
        <w:separator/>
      </w:r>
    </w:p>
  </w:footnote>
  <w:footnote w:type="continuationSeparator" w:id="0">
    <w:p w:rsidR="00FD6126" w:rsidRDefault="00FD6126" w:rsidP="007C06F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58" w:type="pct"/>
      <w:tblCellMar>
        <w:left w:w="0" w:type="dxa"/>
        <w:right w:w="0" w:type="dxa"/>
      </w:tblCellMar>
      <w:tblLook w:val="04A0"/>
    </w:tblPr>
    <w:tblGrid>
      <w:gridCol w:w="2984"/>
      <w:gridCol w:w="2984"/>
      <w:gridCol w:w="2982"/>
    </w:tblGrid>
    <w:tr w:rsidR="007C06FA" w:rsidTr="007C06FA">
      <w:trPr>
        <w:trHeight w:val="537"/>
      </w:trPr>
      <w:tc>
        <w:tcPr>
          <w:tcW w:w="1667" w:type="pct"/>
        </w:tcPr>
        <w:p w:rsidR="007C06FA" w:rsidRDefault="007C06FA">
          <w:pPr>
            <w:pStyle w:val="Header"/>
            <w:rPr>
              <w:color w:val="4472C4" w:themeColor="accent1"/>
            </w:rPr>
          </w:pPr>
        </w:p>
      </w:tc>
      <w:tc>
        <w:tcPr>
          <w:tcW w:w="1667" w:type="pct"/>
        </w:tcPr>
        <w:p w:rsidR="007C06FA" w:rsidRDefault="007C06FA">
          <w:pPr>
            <w:pStyle w:val="Header"/>
            <w:jc w:val="center"/>
            <w:rPr>
              <w:color w:val="4472C4" w:themeColor="accent1"/>
            </w:rPr>
          </w:pPr>
        </w:p>
      </w:tc>
      <w:tc>
        <w:tcPr>
          <w:tcW w:w="1666" w:type="pct"/>
        </w:tcPr>
        <w:p w:rsidR="007C06FA" w:rsidRDefault="004E7027">
          <w:pPr>
            <w:pStyle w:val="Header"/>
            <w:jc w:val="right"/>
            <w:rPr>
              <w:color w:val="4472C4" w:themeColor="accent1"/>
            </w:rPr>
          </w:pPr>
          <w:r>
            <w:rPr>
              <w:color w:val="4472C4" w:themeColor="accent1"/>
              <w:sz w:val="24"/>
              <w:szCs w:val="24"/>
            </w:rPr>
            <w:fldChar w:fldCharType="begin"/>
          </w:r>
          <w:r w:rsidR="007C06FA">
            <w:rPr>
              <w:color w:val="4472C4" w:themeColor="accent1"/>
              <w:sz w:val="24"/>
              <w:szCs w:val="24"/>
            </w:rPr>
            <w:instrText xml:space="preserve"> PAGE   \* MERGEFORMAT </w:instrText>
          </w:r>
          <w:r>
            <w:rPr>
              <w:color w:val="4472C4" w:themeColor="accent1"/>
              <w:sz w:val="24"/>
              <w:szCs w:val="24"/>
            </w:rPr>
            <w:fldChar w:fldCharType="separate"/>
          </w:r>
          <w:r w:rsidR="0092091B">
            <w:rPr>
              <w:noProof/>
              <w:color w:val="4472C4" w:themeColor="accent1"/>
              <w:sz w:val="24"/>
              <w:szCs w:val="24"/>
            </w:rPr>
            <w:t>5</w:t>
          </w:r>
          <w:r>
            <w:rPr>
              <w:color w:val="4472C4" w:themeColor="accent1"/>
              <w:sz w:val="24"/>
              <w:szCs w:val="24"/>
            </w:rPr>
            <w:fldChar w:fldCharType="end"/>
          </w:r>
        </w:p>
      </w:tc>
    </w:tr>
  </w:tbl>
  <w:p w:rsidR="007C06FA" w:rsidRDefault="007C06F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NDU3MDI2sjA3NjUwNjFW0lEKTi0uzszPAykwqQUAjnzLpCwAAAA="/>
  </w:docVars>
  <w:rsids>
    <w:rsidRoot w:val="00703EA8"/>
    <w:rsid w:val="00067A31"/>
    <w:rsid w:val="000F7EB0"/>
    <w:rsid w:val="0040566C"/>
    <w:rsid w:val="00440E1C"/>
    <w:rsid w:val="004B1C18"/>
    <w:rsid w:val="004E7027"/>
    <w:rsid w:val="00524E79"/>
    <w:rsid w:val="0059331B"/>
    <w:rsid w:val="005C0D5D"/>
    <w:rsid w:val="00607F2E"/>
    <w:rsid w:val="006D202B"/>
    <w:rsid w:val="00703EA8"/>
    <w:rsid w:val="0072148D"/>
    <w:rsid w:val="00780057"/>
    <w:rsid w:val="007C06FA"/>
    <w:rsid w:val="00806F51"/>
    <w:rsid w:val="0084563A"/>
    <w:rsid w:val="00864C18"/>
    <w:rsid w:val="00872E7B"/>
    <w:rsid w:val="0092091B"/>
    <w:rsid w:val="00920A3A"/>
    <w:rsid w:val="009470F9"/>
    <w:rsid w:val="009651B6"/>
    <w:rsid w:val="009A3B6D"/>
    <w:rsid w:val="00A118EE"/>
    <w:rsid w:val="00BC6CFE"/>
    <w:rsid w:val="00CF1A4A"/>
    <w:rsid w:val="00DE6281"/>
    <w:rsid w:val="00E117A0"/>
    <w:rsid w:val="00E770CA"/>
    <w:rsid w:val="00F551D6"/>
    <w:rsid w:val="00F82B28"/>
    <w:rsid w:val="00FD61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C1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117A0"/>
    <w:pPr>
      <w:keepNext/>
      <w:keepLines/>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E117A0"/>
    <w:pPr>
      <w:keepNext/>
      <w:keepLines/>
      <w:outlineLvl w:val="1"/>
    </w:pPr>
    <w:rPr>
      <w:rFonts w:eastAsiaTheme="majorEastAsia" w:cstheme="majorBidi"/>
      <w:b/>
      <w:i/>
      <w:szCs w:val="26"/>
    </w:rPr>
  </w:style>
  <w:style w:type="paragraph" w:styleId="Heading4">
    <w:name w:val="heading 4"/>
    <w:basedOn w:val="Normal"/>
    <w:next w:val="Normal"/>
    <w:link w:val="Heading4Char"/>
    <w:uiPriority w:val="9"/>
    <w:semiHidden/>
    <w:unhideWhenUsed/>
    <w:qFormat/>
    <w:rsid w:val="00806F5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6FA"/>
    <w:pPr>
      <w:tabs>
        <w:tab w:val="center" w:pos="4513"/>
        <w:tab w:val="right" w:pos="9026"/>
      </w:tabs>
      <w:spacing w:line="240" w:lineRule="auto"/>
      <w:jc w:val="left"/>
    </w:pPr>
    <w:rPr>
      <w:rFonts w:asciiTheme="minorHAnsi" w:hAnsiTheme="minorHAnsi"/>
      <w:sz w:val="22"/>
    </w:rPr>
  </w:style>
  <w:style w:type="character" w:customStyle="1" w:styleId="HeaderChar">
    <w:name w:val="Header Char"/>
    <w:basedOn w:val="DefaultParagraphFont"/>
    <w:link w:val="Header"/>
    <w:uiPriority w:val="99"/>
    <w:rsid w:val="007C06FA"/>
  </w:style>
  <w:style w:type="paragraph" w:styleId="Footer">
    <w:name w:val="footer"/>
    <w:basedOn w:val="Normal"/>
    <w:link w:val="FooterChar"/>
    <w:uiPriority w:val="99"/>
    <w:unhideWhenUsed/>
    <w:rsid w:val="007C06FA"/>
    <w:pPr>
      <w:tabs>
        <w:tab w:val="center" w:pos="4513"/>
        <w:tab w:val="right" w:pos="9026"/>
      </w:tabs>
      <w:spacing w:line="240" w:lineRule="auto"/>
      <w:jc w:val="left"/>
    </w:pPr>
    <w:rPr>
      <w:rFonts w:asciiTheme="minorHAnsi" w:hAnsiTheme="minorHAnsi"/>
      <w:sz w:val="22"/>
    </w:rPr>
  </w:style>
  <w:style w:type="character" w:customStyle="1" w:styleId="FooterChar">
    <w:name w:val="Footer Char"/>
    <w:basedOn w:val="DefaultParagraphFont"/>
    <w:link w:val="Footer"/>
    <w:uiPriority w:val="99"/>
    <w:rsid w:val="007C06FA"/>
  </w:style>
  <w:style w:type="character" w:customStyle="1" w:styleId="Heading1Char">
    <w:name w:val="Heading 1 Char"/>
    <w:basedOn w:val="DefaultParagraphFont"/>
    <w:link w:val="Heading1"/>
    <w:uiPriority w:val="9"/>
    <w:rsid w:val="00E117A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E117A0"/>
    <w:rPr>
      <w:rFonts w:ascii="Times New Roman" w:eastAsiaTheme="majorEastAsia" w:hAnsi="Times New Roman" w:cstheme="majorBidi"/>
      <w:b/>
      <w:i/>
      <w:sz w:val="24"/>
      <w:szCs w:val="26"/>
    </w:rPr>
  </w:style>
  <w:style w:type="table" w:styleId="TableGrid">
    <w:name w:val="Table Grid"/>
    <w:basedOn w:val="TableNormal"/>
    <w:uiPriority w:val="39"/>
    <w:rsid w:val="00703E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9651B6"/>
    <w:pPr>
      <w:spacing w:after="200" w:line="240" w:lineRule="auto"/>
    </w:pPr>
    <w:rPr>
      <w:i/>
      <w:iCs/>
      <w:color w:val="44546A" w:themeColor="text2"/>
      <w:sz w:val="18"/>
      <w:szCs w:val="18"/>
    </w:rPr>
  </w:style>
  <w:style w:type="character" w:styleId="Hyperlink">
    <w:name w:val="Hyperlink"/>
    <w:basedOn w:val="DefaultParagraphFont"/>
    <w:uiPriority w:val="99"/>
    <w:unhideWhenUsed/>
    <w:rsid w:val="00806F51"/>
    <w:rPr>
      <w:color w:val="0563C1" w:themeColor="hyperlink"/>
      <w:u w:val="single"/>
    </w:rPr>
  </w:style>
  <w:style w:type="character" w:customStyle="1" w:styleId="UnresolvedMention">
    <w:name w:val="Unresolved Mention"/>
    <w:basedOn w:val="DefaultParagraphFont"/>
    <w:uiPriority w:val="99"/>
    <w:semiHidden/>
    <w:unhideWhenUsed/>
    <w:rsid w:val="00806F51"/>
    <w:rPr>
      <w:color w:val="605E5C"/>
      <w:shd w:val="clear" w:color="auto" w:fill="E1DFDD"/>
    </w:rPr>
  </w:style>
  <w:style w:type="character" w:customStyle="1" w:styleId="Heading4Char">
    <w:name w:val="Heading 4 Char"/>
    <w:basedOn w:val="DefaultParagraphFont"/>
    <w:link w:val="Heading4"/>
    <w:uiPriority w:val="9"/>
    <w:semiHidden/>
    <w:rsid w:val="00806F51"/>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92091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9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8000297">
      <w:bodyDiv w:val="1"/>
      <w:marLeft w:val="0"/>
      <w:marRight w:val="0"/>
      <w:marTop w:val="0"/>
      <w:marBottom w:val="0"/>
      <w:divBdr>
        <w:top w:val="none" w:sz="0" w:space="0" w:color="auto"/>
        <w:left w:val="none" w:sz="0" w:space="0" w:color="auto"/>
        <w:bottom w:val="none" w:sz="0" w:space="0" w:color="auto"/>
        <w:right w:val="none" w:sz="0" w:space="0" w:color="auto"/>
      </w:divBdr>
    </w:div>
    <w:div w:id="1874414291">
      <w:bodyDiv w:val="1"/>
      <w:marLeft w:val="0"/>
      <w:marRight w:val="0"/>
      <w:marTop w:val="0"/>
      <w:marBottom w:val="0"/>
      <w:divBdr>
        <w:top w:val="none" w:sz="0" w:space="0" w:color="auto"/>
        <w:left w:val="none" w:sz="0" w:space="0" w:color="auto"/>
        <w:bottom w:val="none" w:sz="0" w:space="0" w:color="auto"/>
        <w:right w:val="none" w:sz="0" w:space="0" w:color="auto"/>
      </w:divBdr>
    </w:div>
    <w:div w:id="18744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yperlink" Target="https://tradingeconomics.com/canada/gdp-deflat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dingeconomics.com/canada/gdp-deflator" TargetMode="External"/><Relationship Id="rId11" Type="http://schemas.openxmlformats.org/officeDocument/2006/relationships/hyperlink" Target="https://www.imf.org/en/Topics/imf-and-covid19/Policy-Responses-to-COVID-19"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footnotes" Target="footnote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lineChart>
        <c:grouping val="standard"/>
        <c:ser>
          <c:idx val="3"/>
          <c:order val="0"/>
          <c:tx>
            <c:strRef>
              <c:f>Sheet1!$E$1</c:f>
              <c:strCache>
                <c:ptCount val="1"/>
                <c:pt idx="0">
                  <c:v>GDP growth rate %</c:v>
                </c:pt>
              </c:strCache>
            </c:strRef>
          </c:tx>
          <c:spPr>
            <a:ln w="28575" cap="rnd">
              <a:solidFill>
                <a:schemeClr val="accent4"/>
              </a:solidFill>
              <a:round/>
            </a:ln>
            <a:effectLst/>
          </c:spPr>
          <c:marker>
            <c:symbol val="none"/>
          </c:marker>
          <c:trendline>
            <c:spPr>
              <a:ln w="19050" cap="rnd">
                <a:solidFill>
                  <a:schemeClr val="accent4"/>
                </a:solidFill>
                <a:prstDash val="sysDot"/>
              </a:ln>
              <a:effectLst/>
            </c:spPr>
            <c:trendlineType val="linear"/>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Sheet1!$A$2:$A$13</c:f>
              <c:numCache>
                <c:formatCode>mmm\-yy</c:formatCode>
                <c:ptCount val="12"/>
                <c:pt idx="0">
                  <c:v>43647</c:v>
                </c:pt>
                <c:pt idx="1">
                  <c:v>43739</c:v>
                </c:pt>
                <c:pt idx="2">
                  <c:v>43831</c:v>
                </c:pt>
                <c:pt idx="3">
                  <c:v>43922</c:v>
                </c:pt>
                <c:pt idx="4">
                  <c:v>44013</c:v>
                </c:pt>
                <c:pt idx="5">
                  <c:v>44105</c:v>
                </c:pt>
                <c:pt idx="6">
                  <c:v>44197</c:v>
                </c:pt>
                <c:pt idx="7">
                  <c:v>44287</c:v>
                </c:pt>
                <c:pt idx="8">
                  <c:v>44378</c:v>
                </c:pt>
                <c:pt idx="9">
                  <c:v>44470</c:v>
                </c:pt>
                <c:pt idx="10">
                  <c:v>44562</c:v>
                </c:pt>
                <c:pt idx="11">
                  <c:v>44652</c:v>
                </c:pt>
              </c:numCache>
            </c:numRef>
          </c:cat>
          <c:val>
            <c:numRef>
              <c:f>Sheet1!$E$2:$E$13</c:f>
              <c:numCache>
                <c:formatCode>General</c:formatCode>
                <c:ptCount val="12"/>
                <c:pt idx="0">
                  <c:v>1.8</c:v>
                </c:pt>
                <c:pt idx="1">
                  <c:v>1.7000000000000002</c:v>
                </c:pt>
                <c:pt idx="2">
                  <c:v>-0.6000000000000002</c:v>
                </c:pt>
                <c:pt idx="3">
                  <c:v>-12.4</c:v>
                </c:pt>
                <c:pt idx="4">
                  <c:v>-4.9000000000000004</c:v>
                </c:pt>
                <c:pt idx="5">
                  <c:v>-3.1</c:v>
                </c:pt>
                <c:pt idx="6">
                  <c:v>0.2</c:v>
                </c:pt>
                <c:pt idx="7">
                  <c:v>11.7</c:v>
                </c:pt>
                <c:pt idx="8">
                  <c:v>3.8</c:v>
                </c:pt>
                <c:pt idx="9">
                  <c:v>3.2</c:v>
                </c:pt>
                <c:pt idx="10">
                  <c:v>2.9</c:v>
                </c:pt>
              </c:numCache>
            </c:numRef>
          </c:val>
          <c:extLst xmlns:c16r2="http://schemas.microsoft.com/office/drawing/2015/06/chart">
            <c:ext xmlns:c16="http://schemas.microsoft.com/office/drawing/2014/chart" uri="{C3380CC4-5D6E-409C-BE32-E72D297353CC}">
              <c16:uniqueId val="{00000001-7457-4A38-81D1-DCD2661FDCC5}"/>
            </c:ext>
          </c:extLst>
        </c:ser>
        <c:marker val="1"/>
        <c:axId val="77469184"/>
        <c:axId val="77470720"/>
      </c:lineChart>
      <c:dateAx>
        <c:axId val="77469184"/>
        <c:scaling>
          <c:orientation val="minMax"/>
        </c:scaling>
        <c:axPos val="b"/>
        <c:numFmt formatCode="mmm\-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70720"/>
        <c:crosses val="autoZero"/>
        <c:auto val="1"/>
        <c:lblOffset val="100"/>
        <c:baseTimeUnit val="months"/>
        <c:majorUnit val="3"/>
        <c:majorTimeUnit val="months"/>
      </c:dateAx>
      <c:valAx>
        <c:axId val="774707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46918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lineChart>
        <c:grouping val="standard"/>
        <c:ser>
          <c:idx val="0"/>
          <c:order val="0"/>
          <c:tx>
            <c:strRef>
              <c:f>Sheet1!$B$1</c:f>
              <c:strCache>
                <c:ptCount val="1"/>
                <c:pt idx="0">
                  <c:v>GDP deflator %</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Eq val="1"/>
            <c:trendlineLbl>
              <c:layout>
                <c:manualLayout>
                  <c:x val="2.4426543209876542E-2"/>
                  <c:y val="0.1175503703703703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Sheet1!$A$2:$A$12</c:f>
              <c:numCache>
                <c:formatCode>mmm\-yy</c:formatCode>
                <c:ptCount val="11"/>
                <c:pt idx="0">
                  <c:v>43647</c:v>
                </c:pt>
                <c:pt idx="1">
                  <c:v>43739</c:v>
                </c:pt>
                <c:pt idx="2">
                  <c:v>43831</c:v>
                </c:pt>
                <c:pt idx="3">
                  <c:v>43922</c:v>
                </c:pt>
                <c:pt idx="4">
                  <c:v>44013</c:v>
                </c:pt>
                <c:pt idx="5">
                  <c:v>44105</c:v>
                </c:pt>
                <c:pt idx="6">
                  <c:v>44197</c:v>
                </c:pt>
                <c:pt idx="7">
                  <c:v>44287</c:v>
                </c:pt>
                <c:pt idx="8">
                  <c:v>44378</c:v>
                </c:pt>
                <c:pt idx="9">
                  <c:v>44470</c:v>
                </c:pt>
                <c:pt idx="10">
                  <c:v>44562</c:v>
                </c:pt>
              </c:numCache>
            </c:numRef>
          </c:cat>
          <c:val>
            <c:numRef>
              <c:f>Sheet1!$B$2:$B$12</c:f>
              <c:numCache>
                <c:formatCode>General</c:formatCode>
                <c:ptCount val="11"/>
                <c:pt idx="0">
                  <c:v>109.6</c:v>
                </c:pt>
                <c:pt idx="1">
                  <c:v>109.6</c:v>
                </c:pt>
                <c:pt idx="2">
                  <c:v>110.5</c:v>
                </c:pt>
                <c:pt idx="3">
                  <c:v>109.4</c:v>
                </c:pt>
                <c:pt idx="4">
                  <c:v>108.6</c:v>
                </c:pt>
                <c:pt idx="5">
                  <c:v>111</c:v>
                </c:pt>
                <c:pt idx="6">
                  <c:v>112.4</c:v>
                </c:pt>
                <c:pt idx="7">
                  <c:v>115.9</c:v>
                </c:pt>
                <c:pt idx="8">
                  <c:v>118.6</c:v>
                </c:pt>
                <c:pt idx="9">
                  <c:v>120.1</c:v>
                </c:pt>
                <c:pt idx="10">
                  <c:v>122.4</c:v>
                </c:pt>
              </c:numCache>
            </c:numRef>
          </c:val>
          <c:extLst xmlns:c16r2="http://schemas.microsoft.com/office/drawing/2015/06/chart">
            <c:ext xmlns:c16="http://schemas.microsoft.com/office/drawing/2014/chart" uri="{C3380CC4-5D6E-409C-BE32-E72D297353CC}">
              <c16:uniqueId val="{00000001-63D5-4C6A-9AEB-EAE9E7CFD1EC}"/>
            </c:ext>
          </c:extLst>
        </c:ser>
        <c:marker val="1"/>
        <c:axId val="136576384"/>
        <c:axId val="136662016"/>
      </c:lineChart>
      <c:dateAx>
        <c:axId val="136576384"/>
        <c:scaling>
          <c:orientation val="minMax"/>
        </c:scaling>
        <c:axPos val="b"/>
        <c:numFmt formatCode="mmm\-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662016"/>
        <c:crosses val="autoZero"/>
        <c:auto val="1"/>
        <c:lblOffset val="100"/>
        <c:baseTimeUnit val="months"/>
        <c:majorUnit val="3"/>
        <c:majorTimeUnit val="months"/>
      </c:dateAx>
      <c:valAx>
        <c:axId val="136662016"/>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57638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lineChart>
        <c:grouping val="standard"/>
        <c:ser>
          <c:idx val="1"/>
          <c:order val="0"/>
          <c:tx>
            <c:strRef>
              <c:f>Sheet1!$C$1</c:f>
              <c:strCache>
                <c:ptCount val="1"/>
                <c:pt idx="0">
                  <c:v>Unemployment rate %</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Eq val="1"/>
            <c:trendlineLbl>
              <c:layout>
                <c:manualLayout>
                  <c:x val="2.2113168724279858E-3"/>
                  <c:y val="-7.203259259259259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Sheet1!$A$2:$A$13</c:f>
              <c:numCache>
                <c:formatCode>mmm\-yy</c:formatCode>
                <c:ptCount val="12"/>
                <c:pt idx="0">
                  <c:v>43647</c:v>
                </c:pt>
                <c:pt idx="1">
                  <c:v>43739</c:v>
                </c:pt>
                <c:pt idx="2">
                  <c:v>43831</c:v>
                </c:pt>
                <c:pt idx="3">
                  <c:v>43922</c:v>
                </c:pt>
                <c:pt idx="4">
                  <c:v>44013</c:v>
                </c:pt>
                <c:pt idx="5">
                  <c:v>44105</c:v>
                </c:pt>
                <c:pt idx="6">
                  <c:v>44197</c:v>
                </c:pt>
                <c:pt idx="7">
                  <c:v>44287</c:v>
                </c:pt>
                <c:pt idx="8">
                  <c:v>44378</c:v>
                </c:pt>
                <c:pt idx="9">
                  <c:v>44470</c:v>
                </c:pt>
                <c:pt idx="10">
                  <c:v>44562</c:v>
                </c:pt>
                <c:pt idx="11">
                  <c:v>44652</c:v>
                </c:pt>
              </c:numCache>
            </c:numRef>
          </c:cat>
          <c:val>
            <c:numRef>
              <c:f>Sheet1!$C$2:$C$13</c:f>
              <c:numCache>
                <c:formatCode>General</c:formatCode>
                <c:ptCount val="12"/>
                <c:pt idx="0">
                  <c:v>5.7</c:v>
                </c:pt>
                <c:pt idx="1">
                  <c:v>5.8</c:v>
                </c:pt>
                <c:pt idx="2">
                  <c:v>6.4</c:v>
                </c:pt>
                <c:pt idx="3">
                  <c:v>12.9</c:v>
                </c:pt>
                <c:pt idx="4">
                  <c:v>10.1</c:v>
                </c:pt>
                <c:pt idx="5">
                  <c:v>8.9</c:v>
                </c:pt>
                <c:pt idx="6">
                  <c:v>8.5</c:v>
                </c:pt>
                <c:pt idx="7">
                  <c:v>7.9</c:v>
                </c:pt>
                <c:pt idx="8">
                  <c:v>7.2</c:v>
                </c:pt>
                <c:pt idx="9">
                  <c:v>6.3</c:v>
                </c:pt>
                <c:pt idx="10">
                  <c:v>5.8</c:v>
                </c:pt>
                <c:pt idx="11">
                  <c:v>5.0999999999999996</c:v>
                </c:pt>
              </c:numCache>
            </c:numRef>
          </c:val>
          <c:extLst xmlns:c16r2="http://schemas.microsoft.com/office/drawing/2015/06/chart">
            <c:ext xmlns:c16="http://schemas.microsoft.com/office/drawing/2014/chart" uri="{C3380CC4-5D6E-409C-BE32-E72D297353CC}">
              <c16:uniqueId val="{00000001-AE50-4D18-A530-C4A116064257}"/>
            </c:ext>
          </c:extLst>
        </c:ser>
        <c:marker val="1"/>
        <c:axId val="84964864"/>
        <c:axId val="84966400"/>
      </c:lineChart>
      <c:dateAx>
        <c:axId val="84964864"/>
        <c:scaling>
          <c:orientation val="minMax"/>
        </c:scaling>
        <c:axPos val="b"/>
        <c:numFmt formatCode="mmm\-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66400"/>
        <c:crosses val="autoZero"/>
        <c:auto val="1"/>
        <c:lblOffset val="100"/>
        <c:baseTimeUnit val="months"/>
        <c:majorUnit val="3"/>
        <c:majorTimeUnit val="months"/>
      </c:dateAx>
      <c:valAx>
        <c:axId val="8496640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648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plotArea>
      <c:layout/>
      <c:lineChart>
        <c:grouping val="standard"/>
        <c:ser>
          <c:idx val="2"/>
          <c:order val="0"/>
          <c:tx>
            <c:strRef>
              <c:f>Sheet1!$D$1</c:f>
              <c:strCache>
                <c:ptCount val="1"/>
                <c:pt idx="0">
                  <c:v>Interbank rate %</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inear"/>
            <c:dispEq val="1"/>
            <c:trendlineLbl>
              <c:layout>
                <c:manualLayout>
                  <c:x val="-6.6968106995884777E-2"/>
                  <c:y val="-0.1119940740740740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Sheet1!$A$2:$A$13</c:f>
              <c:numCache>
                <c:formatCode>mmm\-yy</c:formatCode>
                <c:ptCount val="12"/>
                <c:pt idx="0">
                  <c:v>43647</c:v>
                </c:pt>
                <c:pt idx="1">
                  <c:v>43739</c:v>
                </c:pt>
                <c:pt idx="2">
                  <c:v>43831</c:v>
                </c:pt>
                <c:pt idx="3">
                  <c:v>43922</c:v>
                </c:pt>
                <c:pt idx="4">
                  <c:v>44013</c:v>
                </c:pt>
                <c:pt idx="5">
                  <c:v>44105</c:v>
                </c:pt>
                <c:pt idx="6">
                  <c:v>44197</c:v>
                </c:pt>
                <c:pt idx="7">
                  <c:v>44287</c:v>
                </c:pt>
                <c:pt idx="8">
                  <c:v>44378</c:v>
                </c:pt>
                <c:pt idx="9">
                  <c:v>44470</c:v>
                </c:pt>
                <c:pt idx="10">
                  <c:v>44562</c:v>
                </c:pt>
                <c:pt idx="11">
                  <c:v>44652</c:v>
                </c:pt>
              </c:numCache>
            </c:numRef>
          </c:cat>
          <c:val>
            <c:numRef>
              <c:f>Sheet1!$D$2:$D$13</c:f>
              <c:numCache>
                <c:formatCode>General</c:formatCode>
                <c:ptCount val="12"/>
                <c:pt idx="0">
                  <c:v>1.83</c:v>
                </c:pt>
                <c:pt idx="1">
                  <c:v>1.86</c:v>
                </c:pt>
                <c:pt idx="2">
                  <c:v>1.6600000000000001</c:v>
                </c:pt>
                <c:pt idx="3">
                  <c:v>0.37000000000000011</c:v>
                </c:pt>
                <c:pt idx="4">
                  <c:v>0.26</c:v>
                </c:pt>
                <c:pt idx="5">
                  <c:v>0.24000000000000005</c:v>
                </c:pt>
                <c:pt idx="6">
                  <c:v>0.19</c:v>
                </c:pt>
                <c:pt idx="7">
                  <c:v>0.18000000000000005</c:v>
                </c:pt>
                <c:pt idx="8">
                  <c:v>0.21000000000000005</c:v>
                </c:pt>
                <c:pt idx="9">
                  <c:v>0.25</c:v>
                </c:pt>
                <c:pt idx="10">
                  <c:v>0.65000000000000024</c:v>
                </c:pt>
                <c:pt idx="11">
                  <c:v>1.7</c:v>
                </c:pt>
              </c:numCache>
            </c:numRef>
          </c:val>
          <c:extLst xmlns:c16r2="http://schemas.microsoft.com/office/drawing/2015/06/chart">
            <c:ext xmlns:c16="http://schemas.microsoft.com/office/drawing/2014/chart" uri="{C3380CC4-5D6E-409C-BE32-E72D297353CC}">
              <c16:uniqueId val="{00000001-7324-4ED1-A6F9-A9006CCBBFF5}"/>
            </c:ext>
          </c:extLst>
        </c:ser>
        <c:marker val="1"/>
        <c:axId val="84984576"/>
        <c:axId val="84986112"/>
      </c:lineChart>
      <c:dateAx>
        <c:axId val="84984576"/>
        <c:scaling>
          <c:orientation val="minMax"/>
        </c:scaling>
        <c:axPos val="b"/>
        <c:numFmt formatCode="mmm\-yy" sourceLinked="1"/>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86112"/>
        <c:crosses val="autoZero"/>
        <c:auto val="1"/>
        <c:lblOffset val="100"/>
        <c:baseTimeUnit val="months"/>
        <c:majorUnit val="3"/>
        <c:majorTimeUnit val="months"/>
      </c:dateAx>
      <c:valAx>
        <c:axId val="8498611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8457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1233</Words>
  <Characters>7033</Characters>
  <Application>Microsoft Office Word</Application>
  <DocSecurity>0</DocSecurity>
  <Lines>58</Lines>
  <Paragraphs>16</Paragraphs>
  <ScaleCrop>false</ScaleCrop>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2022-08-25T14:35:00Z</dcterms:created>
  <dcterms:modified xsi:type="dcterms:W3CDTF">2022-08-25T14:35:00Z</dcterms:modified>
</cp:coreProperties>
</file>