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108" w:rsidRPr="006D3108" w:rsidRDefault="00601C8A" w:rsidP="006D3108">
      <w:pPr>
        <w:pStyle w:val="normal0"/>
        <w:spacing w:before="240"/>
        <w:jc w:val="left"/>
        <w:rPr>
          <w:b/>
          <w:sz w:val="32"/>
          <w:szCs w:val="32"/>
        </w:rPr>
      </w:pPr>
      <w:r w:rsidRPr="006D3108">
        <w:rPr>
          <w:b/>
          <w:sz w:val="32"/>
          <w:szCs w:val="32"/>
        </w:rPr>
        <w:t>Application of Descriptive Statistics</w:t>
      </w:r>
    </w:p>
    <w:p w:rsidR="009F07B5" w:rsidRDefault="006D3108" w:rsidP="006D3108">
      <w:pPr>
        <w:pStyle w:val="Heading1"/>
        <w:spacing w:before="240"/>
      </w:pPr>
      <w:r>
        <w:t>Introduction</w:t>
      </w:r>
    </w:p>
    <w:p w:rsidR="009F07B5" w:rsidRDefault="00601C8A" w:rsidP="006D3108">
      <w:pPr>
        <w:pStyle w:val="normal0"/>
        <w:spacing w:before="240"/>
      </w:pPr>
      <w:r>
        <w:t xml:space="preserve">Decision machining driven by data is one of the emerging ways in case of business as well as personal decision making </w:t>
      </w:r>
      <w:r w:rsidR="006D3108">
        <w:t xml:space="preserve">too. </w:t>
      </w:r>
      <w:proofErr w:type="gramStart"/>
      <w:r w:rsidR="006D3108">
        <w:t>For instance, students now-a-</w:t>
      </w:r>
      <w:r>
        <w:t xml:space="preserve">days, before taking their final admission compare, contrast and check different alternatives for taking </w:t>
      </w:r>
      <w:r>
        <w:t>final course decision (</w:t>
      </w:r>
      <w:proofErr w:type="spellStart"/>
      <w:r>
        <w:t>Kholmauminov</w:t>
      </w:r>
      <w:proofErr w:type="spellEnd"/>
      <w:r>
        <w:t xml:space="preserve"> et al. 2019).</w:t>
      </w:r>
      <w:proofErr w:type="gramEnd"/>
      <w:r>
        <w:t xml:space="preserve"> It has made institutes to share their educational performance data as well as allowed them capture higher competitive advantage in getting better enrolment. For the present study, use of the data driven dec</w:t>
      </w:r>
      <w:r>
        <w:t>ision making in case of comparing Master of Business Administration (MBA) schools using descriptive statistics and correlation has been demonstrated. Graphical presentation has also been demonstrated to showcase easy understanding of relationship between d</w:t>
      </w:r>
      <w:r>
        <w:t xml:space="preserve">ependent and independent variable. </w:t>
      </w:r>
    </w:p>
    <w:p w:rsidR="009F07B5" w:rsidRDefault="00601C8A" w:rsidP="006D3108">
      <w:pPr>
        <w:pStyle w:val="normal0"/>
        <w:spacing w:before="240"/>
      </w:pPr>
      <w:r>
        <w:t>For the present study, four variables have been considered, which are tuition fees presented in terms of 1000$, starting salary presented in 1000$, age and work experience has been considered for ten MBA schools. Here, d</w:t>
      </w:r>
      <w:r>
        <w:t>ependent variable is starting salary as it influences the enrolment of students to a great extent. Other variables, like tuition fee, age and work experience has been considered as the independent variable (</w:t>
      </w:r>
      <w:proofErr w:type="spellStart"/>
      <w:r>
        <w:t>Siah</w:t>
      </w:r>
      <w:proofErr w:type="spellEnd"/>
      <w:r>
        <w:t xml:space="preserve"> et al. 2018). Although, as tuition </w:t>
      </w:r>
      <w:proofErr w:type="gramStart"/>
      <w:r>
        <w:t>fees is</w:t>
      </w:r>
      <w:proofErr w:type="gramEnd"/>
      <w:r>
        <w:t xml:space="preserve"> o</w:t>
      </w:r>
      <w:r>
        <w:t>ne of the major variables to influence the starting salary, relation between two has been focused upon. As the major statistical tool, descriptive analysis and correlation analysis has been considered and for the analysis Excel has been used here.</w:t>
      </w:r>
    </w:p>
    <w:p w:rsidR="009F07B5" w:rsidRDefault="00601C8A" w:rsidP="006D3108">
      <w:pPr>
        <w:pStyle w:val="Heading1"/>
        <w:spacing w:before="240"/>
      </w:pPr>
      <w:r>
        <w:t>Descript</w:t>
      </w:r>
      <w:r>
        <w:t>ive statistics:</w:t>
      </w:r>
    </w:p>
    <w:p w:rsidR="009F07B5" w:rsidRDefault="00601C8A" w:rsidP="006D3108">
      <w:pPr>
        <w:pStyle w:val="normal0"/>
        <w:keepNext/>
        <w:pBdr>
          <w:top w:val="nil"/>
          <w:left w:val="nil"/>
          <w:bottom w:val="nil"/>
          <w:right w:val="nil"/>
          <w:between w:val="nil"/>
        </w:pBdr>
        <w:spacing w:before="240" w:after="200" w:line="240" w:lineRule="auto"/>
        <w:jc w:val="center"/>
        <w:rPr>
          <w:i/>
          <w:color w:val="44546A"/>
          <w:sz w:val="18"/>
          <w:szCs w:val="18"/>
        </w:rPr>
      </w:pPr>
      <w:r>
        <w:rPr>
          <w:i/>
          <w:color w:val="44546A"/>
          <w:sz w:val="18"/>
          <w:szCs w:val="18"/>
        </w:rPr>
        <w:t>Table 1: Descriptive statistics of tuition fee</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081"/>
        <w:gridCol w:w="4935"/>
      </w:tblGrid>
      <w:tr w:rsidR="009F07B5">
        <w:trPr>
          <w:trHeight w:val="288"/>
        </w:trPr>
        <w:tc>
          <w:tcPr>
            <w:tcW w:w="9016" w:type="dxa"/>
            <w:gridSpan w:val="2"/>
          </w:tcPr>
          <w:p w:rsidR="009F07B5" w:rsidRDefault="00601C8A" w:rsidP="006D3108">
            <w:pPr>
              <w:pStyle w:val="normal0"/>
              <w:spacing w:before="240"/>
              <w:jc w:val="center"/>
              <w:rPr>
                <w:rFonts w:ascii="Calibri" w:eastAsia="Calibri" w:hAnsi="Calibri" w:cs="Calibri"/>
                <w:i/>
                <w:color w:val="000000"/>
                <w:sz w:val="22"/>
                <w:szCs w:val="22"/>
              </w:rPr>
            </w:pPr>
            <w:r>
              <w:rPr>
                <w:rFonts w:ascii="Calibri" w:eastAsia="Calibri" w:hAnsi="Calibri" w:cs="Calibri"/>
                <w:i/>
                <w:color w:val="000000"/>
                <w:sz w:val="22"/>
                <w:szCs w:val="22"/>
              </w:rPr>
              <w:t>Tuition fee (1000$)</w:t>
            </w:r>
          </w:p>
          <w:p w:rsidR="009F07B5" w:rsidRDefault="009F07B5" w:rsidP="006D3108">
            <w:pPr>
              <w:pStyle w:val="normal0"/>
              <w:spacing w:before="240"/>
              <w:jc w:val="center"/>
              <w:rPr>
                <w:rFonts w:ascii="Calibri" w:eastAsia="Calibri" w:hAnsi="Calibri" w:cs="Calibri"/>
                <w:i/>
                <w:color w:val="000000"/>
                <w:sz w:val="22"/>
                <w:szCs w:val="22"/>
              </w:rPr>
            </w:pPr>
          </w:p>
        </w:tc>
      </w:tr>
      <w:tr w:rsidR="009F07B5">
        <w:trPr>
          <w:trHeight w:val="288"/>
        </w:trPr>
        <w:tc>
          <w:tcPr>
            <w:tcW w:w="4081"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Mean</w:t>
            </w:r>
          </w:p>
        </w:tc>
        <w:tc>
          <w:tcPr>
            <w:tcW w:w="4935"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37.5</w:t>
            </w:r>
          </w:p>
        </w:tc>
      </w:tr>
      <w:tr w:rsidR="009F07B5">
        <w:trPr>
          <w:trHeight w:val="288"/>
        </w:trPr>
        <w:tc>
          <w:tcPr>
            <w:tcW w:w="4081"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Standard Error</w:t>
            </w:r>
          </w:p>
        </w:tc>
        <w:tc>
          <w:tcPr>
            <w:tcW w:w="4935"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3.004626063</w:t>
            </w:r>
          </w:p>
        </w:tc>
      </w:tr>
      <w:tr w:rsidR="009F07B5">
        <w:trPr>
          <w:trHeight w:val="288"/>
        </w:trPr>
        <w:tc>
          <w:tcPr>
            <w:tcW w:w="4081"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Median</w:t>
            </w:r>
          </w:p>
        </w:tc>
        <w:tc>
          <w:tcPr>
            <w:tcW w:w="4935"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40</w:t>
            </w:r>
          </w:p>
        </w:tc>
      </w:tr>
      <w:tr w:rsidR="009F07B5">
        <w:trPr>
          <w:trHeight w:val="288"/>
        </w:trPr>
        <w:tc>
          <w:tcPr>
            <w:tcW w:w="4081"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Mode</w:t>
            </w:r>
          </w:p>
        </w:tc>
        <w:tc>
          <w:tcPr>
            <w:tcW w:w="4935"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40</w:t>
            </w:r>
          </w:p>
        </w:tc>
      </w:tr>
      <w:tr w:rsidR="009F07B5">
        <w:trPr>
          <w:trHeight w:val="288"/>
        </w:trPr>
        <w:tc>
          <w:tcPr>
            <w:tcW w:w="4081"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Standard Deviation</w:t>
            </w:r>
          </w:p>
        </w:tc>
        <w:tc>
          <w:tcPr>
            <w:tcW w:w="4935"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9.501461876</w:t>
            </w:r>
          </w:p>
        </w:tc>
      </w:tr>
      <w:tr w:rsidR="009F07B5">
        <w:trPr>
          <w:trHeight w:val="288"/>
        </w:trPr>
        <w:tc>
          <w:tcPr>
            <w:tcW w:w="4081"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lastRenderedPageBreak/>
              <w:t>Sample Variance</w:t>
            </w:r>
          </w:p>
        </w:tc>
        <w:tc>
          <w:tcPr>
            <w:tcW w:w="4935"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90.27777778</w:t>
            </w:r>
          </w:p>
        </w:tc>
      </w:tr>
      <w:tr w:rsidR="009F07B5">
        <w:trPr>
          <w:trHeight w:val="288"/>
        </w:trPr>
        <w:tc>
          <w:tcPr>
            <w:tcW w:w="4081"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Kurtosis</w:t>
            </w:r>
          </w:p>
        </w:tc>
        <w:tc>
          <w:tcPr>
            <w:tcW w:w="4935"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-1.466779374</w:t>
            </w:r>
          </w:p>
        </w:tc>
      </w:tr>
      <w:tr w:rsidR="009F07B5">
        <w:trPr>
          <w:trHeight w:val="288"/>
        </w:trPr>
        <w:tc>
          <w:tcPr>
            <w:tcW w:w="4081"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Skewness</w:t>
            </w:r>
          </w:p>
        </w:tc>
        <w:tc>
          <w:tcPr>
            <w:tcW w:w="4935"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-0.060719401</w:t>
            </w:r>
          </w:p>
        </w:tc>
      </w:tr>
      <w:tr w:rsidR="009F07B5">
        <w:trPr>
          <w:trHeight w:val="288"/>
        </w:trPr>
        <w:tc>
          <w:tcPr>
            <w:tcW w:w="4081"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Range</w:t>
            </w:r>
          </w:p>
        </w:tc>
        <w:tc>
          <w:tcPr>
            <w:tcW w:w="4935"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25</w:t>
            </w:r>
          </w:p>
        </w:tc>
      </w:tr>
      <w:tr w:rsidR="009F07B5">
        <w:trPr>
          <w:trHeight w:val="288"/>
        </w:trPr>
        <w:tc>
          <w:tcPr>
            <w:tcW w:w="4081"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Minimum</w:t>
            </w:r>
          </w:p>
        </w:tc>
        <w:tc>
          <w:tcPr>
            <w:tcW w:w="4935"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25</w:t>
            </w:r>
          </w:p>
        </w:tc>
      </w:tr>
      <w:tr w:rsidR="009F07B5">
        <w:trPr>
          <w:trHeight w:val="288"/>
        </w:trPr>
        <w:tc>
          <w:tcPr>
            <w:tcW w:w="4081"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Maximum</w:t>
            </w:r>
          </w:p>
        </w:tc>
        <w:tc>
          <w:tcPr>
            <w:tcW w:w="4935"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50</w:t>
            </w:r>
          </w:p>
        </w:tc>
      </w:tr>
      <w:tr w:rsidR="009F07B5">
        <w:trPr>
          <w:trHeight w:val="288"/>
        </w:trPr>
        <w:tc>
          <w:tcPr>
            <w:tcW w:w="4081"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Sum</w:t>
            </w:r>
          </w:p>
        </w:tc>
        <w:tc>
          <w:tcPr>
            <w:tcW w:w="4935"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375</w:t>
            </w:r>
          </w:p>
        </w:tc>
      </w:tr>
      <w:tr w:rsidR="009F07B5">
        <w:trPr>
          <w:trHeight w:val="300"/>
        </w:trPr>
        <w:tc>
          <w:tcPr>
            <w:tcW w:w="4081"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Count</w:t>
            </w:r>
          </w:p>
        </w:tc>
        <w:tc>
          <w:tcPr>
            <w:tcW w:w="4935"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10</w:t>
            </w:r>
          </w:p>
        </w:tc>
      </w:tr>
    </w:tbl>
    <w:p w:rsidR="009F07B5" w:rsidRDefault="009F07B5" w:rsidP="006D3108">
      <w:pPr>
        <w:pStyle w:val="normal0"/>
        <w:spacing w:before="240"/>
      </w:pPr>
    </w:p>
    <w:p w:rsidR="009F07B5" w:rsidRDefault="00601C8A" w:rsidP="006D3108">
      <w:pPr>
        <w:pStyle w:val="normal0"/>
        <w:spacing w:before="240"/>
      </w:pPr>
      <w:r>
        <w:t xml:space="preserve">As per the table 1, it can be seen that mean tuition fees is 37.5 thousand $ with median and mode of 40. Hence, most of the MBA schools have tuition fees of 40 thousand $. As per the standard deviation, it is 9.50 and sample </w:t>
      </w:r>
      <w:proofErr w:type="gramStart"/>
      <w:r>
        <w:t>variance of 90.27 demonstrate</w:t>
      </w:r>
      <w:proofErr w:type="gramEnd"/>
      <w:r>
        <w:t xml:space="preserve"> m</w:t>
      </w:r>
      <w:r>
        <w:t>oderate variance in the data set. Maximum tuition fee is 50 thousand $ and minimum tuition fees is 25 thousand $. Skewness and Kurtosis demonstrates, the data has no outlier and it has right tail.</w:t>
      </w:r>
    </w:p>
    <w:p w:rsidR="009F07B5" w:rsidRDefault="00601C8A" w:rsidP="006D3108">
      <w:pPr>
        <w:pStyle w:val="normal0"/>
        <w:keepNext/>
        <w:pBdr>
          <w:top w:val="nil"/>
          <w:left w:val="nil"/>
          <w:bottom w:val="nil"/>
          <w:right w:val="nil"/>
          <w:between w:val="nil"/>
        </w:pBdr>
        <w:spacing w:before="240" w:after="200" w:line="240" w:lineRule="auto"/>
        <w:jc w:val="center"/>
        <w:rPr>
          <w:i/>
          <w:color w:val="44546A"/>
          <w:sz w:val="18"/>
          <w:szCs w:val="18"/>
        </w:rPr>
      </w:pPr>
      <w:r>
        <w:rPr>
          <w:i/>
          <w:color w:val="44546A"/>
          <w:sz w:val="18"/>
          <w:szCs w:val="18"/>
        </w:rPr>
        <w:t>Table 2: Descriptive statistics of starting salary</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679"/>
        <w:gridCol w:w="5337"/>
      </w:tblGrid>
      <w:tr w:rsidR="009F07B5">
        <w:trPr>
          <w:trHeight w:val="288"/>
        </w:trPr>
        <w:tc>
          <w:tcPr>
            <w:tcW w:w="9016" w:type="dxa"/>
            <w:gridSpan w:val="2"/>
          </w:tcPr>
          <w:p w:rsidR="009F07B5" w:rsidRDefault="00601C8A" w:rsidP="006D3108">
            <w:pPr>
              <w:pStyle w:val="normal0"/>
              <w:spacing w:before="240"/>
              <w:jc w:val="center"/>
              <w:rPr>
                <w:rFonts w:ascii="Calibri" w:eastAsia="Calibri" w:hAnsi="Calibri" w:cs="Calibri"/>
                <w:i/>
                <w:color w:val="000000"/>
                <w:sz w:val="22"/>
                <w:szCs w:val="22"/>
              </w:rPr>
            </w:pPr>
            <w:r>
              <w:rPr>
                <w:rFonts w:ascii="Calibri" w:eastAsia="Calibri" w:hAnsi="Calibri" w:cs="Calibri"/>
                <w:i/>
                <w:color w:val="000000"/>
                <w:sz w:val="22"/>
                <w:szCs w:val="22"/>
              </w:rPr>
              <w:t>Starting</w:t>
            </w:r>
            <w:r>
              <w:rPr>
                <w:rFonts w:ascii="Calibri" w:eastAsia="Calibri" w:hAnsi="Calibri" w:cs="Calibri"/>
                <w:i/>
                <w:color w:val="000000"/>
                <w:sz w:val="22"/>
                <w:szCs w:val="22"/>
              </w:rPr>
              <w:t xml:space="preserve"> Salary (1000$)</w:t>
            </w:r>
          </w:p>
          <w:p w:rsidR="009F07B5" w:rsidRDefault="009F07B5" w:rsidP="006D3108">
            <w:pPr>
              <w:pStyle w:val="normal0"/>
              <w:spacing w:before="240"/>
              <w:jc w:val="center"/>
              <w:rPr>
                <w:rFonts w:ascii="Calibri" w:eastAsia="Calibri" w:hAnsi="Calibri" w:cs="Calibri"/>
                <w:i/>
                <w:color w:val="000000"/>
                <w:sz w:val="22"/>
                <w:szCs w:val="22"/>
              </w:rPr>
            </w:pPr>
          </w:p>
        </w:tc>
      </w:tr>
      <w:tr w:rsidR="009F07B5">
        <w:trPr>
          <w:trHeight w:val="288"/>
        </w:trPr>
        <w:tc>
          <w:tcPr>
            <w:tcW w:w="367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Mean</w:t>
            </w:r>
          </w:p>
        </w:tc>
        <w:tc>
          <w:tcPr>
            <w:tcW w:w="5337"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77.5</w:t>
            </w:r>
          </w:p>
        </w:tc>
      </w:tr>
      <w:tr w:rsidR="009F07B5">
        <w:trPr>
          <w:trHeight w:val="288"/>
        </w:trPr>
        <w:tc>
          <w:tcPr>
            <w:tcW w:w="367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Standard Error</w:t>
            </w:r>
          </w:p>
        </w:tc>
        <w:tc>
          <w:tcPr>
            <w:tcW w:w="5337"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2.266911751</w:t>
            </w:r>
          </w:p>
        </w:tc>
      </w:tr>
      <w:tr w:rsidR="009F07B5">
        <w:trPr>
          <w:trHeight w:val="288"/>
        </w:trPr>
        <w:tc>
          <w:tcPr>
            <w:tcW w:w="367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Median</w:t>
            </w:r>
          </w:p>
        </w:tc>
        <w:tc>
          <w:tcPr>
            <w:tcW w:w="5337"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80</w:t>
            </w:r>
          </w:p>
        </w:tc>
      </w:tr>
      <w:tr w:rsidR="009F07B5">
        <w:trPr>
          <w:trHeight w:val="288"/>
        </w:trPr>
        <w:tc>
          <w:tcPr>
            <w:tcW w:w="367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Mode</w:t>
            </w:r>
          </w:p>
        </w:tc>
        <w:tc>
          <w:tcPr>
            <w:tcW w:w="5337"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80</w:t>
            </w:r>
          </w:p>
        </w:tc>
      </w:tr>
      <w:tr w:rsidR="009F07B5">
        <w:trPr>
          <w:trHeight w:val="288"/>
        </w:trPr>
        <w:tc>
          <w:tcPr>
            <w:tcW w:w="367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Standard Deviation</w:t>
            </w:r>
          </w:p>
        </w:tc>
        <w:tc>
          <w:tcPr>
            <w:tcW w:w="5337"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7.168604389</w:t>
            </w:r>
          </w:p>
        </w:tc>
      </w:tr>
      <w:tr w:rsidR="009F07B5">
        <w:trPr>
          <w:trHeight w:val="288"/>
        </w:trPr>
        <w:tc>
          <w:tcPr>
            <w:tcW w:w="367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Sample Variance</w:t>
            </w:r>
          </w:p>
        </w:tc>
        <w:tc>
          <w:tcPr>
            <w:tcW w:w="5337"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51.38888889</w:t>
            </w:r>
          </w:p>
        </w:tc>
      </w:tr>
      <w:tr w:rsidR="009F07B5">
        <w:trPr>
          <w:trHeight w:val="288"/>
        </w:trPr>
        <w:tc>
          <w:tcPr>
            <w:tcW w:w="367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Kurtosis</w:t>
            </w:r>
          </w:p>
        </w:tc>
        <w:tc>
          <w:tcPr>
            <w:tcW w:w="5337"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-1.001147866</w:t>
            </w:r>
          </w:p>
        </w:tc>
      </w:tr>
      <w:tr w:rsidR="009F07B5">
        <w:trPr>
          <w:trHeight w:val="288"/>
        </w:trPr>
        <w:tc>
          <w:tcPr>
            <w:tcW w:w="367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Skewness</w:t>
            </w:r>
          </w:p>
        </w:tc>
        <w:tc>
          <w:tcPr>
            <w:tcW w:w="5337"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0.282764527</w:t>
            </w:r>
          </w:p>
        </w:tc>
      </w:tr>
      <w:tr w:rsidR="009F07B5">
        <w:trPr>
          <w:trHeight w:val="288"/>
        </w:trPr>
        <w:tc>
          <w:tcPr>
            <w:tcW w:w="367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Range</w:t>
            </w:r>
          </w:p>
        </w:tc>
        <w:tc>
          <w:tcPr>
            <w:tcW w:w="5337"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20</w:t>
            </w:r>
          </w:p>
        </w:tc>
      </w:tr>
      <w:tr w:rsidR="009F07B5">
        <w:trPr>
          <w:trHeight w:val="288"/>
        </w:trPr>
        <w:tc>
          <w:tcPr>
            <w:tcW w:w="367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lastRenderedPageBreak/>
              <w:t>Minimum</w:t>
            </w:r>
          </w:p>
        </w:tc>
        <w:tc>
          <w:tcPr>
            <w:tcW w:w="5337"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70</w:t>
            </w:r>
          </w:p>
        </w:tc>
      </w:tr>
      <w:tr w:rsidR="009F07B5">
        <w:trPr>
          <w:trHeight w:val="288"/>
        </w:trPr>
        <w:tc>
          <w:tcPr>
            <w:tcW w:w="367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Maximum</w:t>
            </w:r>
          </w:p>
        </w:tc>
        <w:tc>
          <w:tcPr>
            <w:tcW w:w="5337"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90</w:t>
            </w:r>
          </w:p>
        </w:tc>
      </w:tr>
      <w:tr w:rsidR="009F07B5">
        <w:trPr>
          <w:trHeight w:val="288"/>
        </w:trPr>
        <w:tc>
          <w:tcPr>
            <w:tcW w:w="367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Sum</w:t>
            </w:r>
          </w:p>
        </w:tc>
        <w:tc>
          <w:tcPr>
            <w:tcW w:w="5337"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775</w:t>
            </w:r>
          </w:p>
        </w:tc>
      </w:tr>
      <w:tr w:rsidR="009F07B5">
        <w:trPr>
          <w:trHeight w:val="300"/>
        </w:trPr>
        <w:tc>
          <w:tcPr>
            <w:tcW w:w="367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Count</w:t>
            </w:r>
          </w:p>
        </w:tc>
        <w:tc>
          <w:tcPr>
            <w:tcW w:w="5337"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10</w:t>
            </w:r>
          </w:p>
        </w:tc>
      </w:tr>
    </w:tbl>
    <w:p w:rsidR="009F07B5" w:rsidRDefault="009F07B5" w:rsidP="006D3108">
      <w:pPr>
        <w:pStyle w:val="normal0"/>
        <w:spacing w:before="240"/>
      </w:pPr>
    </w:p>
    <w:p w:rsidR="009F07B5" w:rsidRDefault="00601C8A" w:rsidP="006D3108">
      <w:pPr>
        <w:pStyle w:val="normal0"/>
        <w:spacing w:before="240"/>
      </w:pPr>
      <w:r>
        <w:t xml:space="preserve">As per the table 2, it can be seen that mean starting salary for MBA school students is 77.5 thousand $ with median and mode of 80. Hence, most of the MBA school students have starting salary of 80 thousand $. As per the standard deviation, it is 7.16 and </w:t>
      </w:r>
      <w:r>
        <w:t xml:space="preserve">sample </w:t>
      </w:r>
      <w:proofErr w:type="gramStart"/>
      <w:r>
        <w:t>variance of 51.38 demonstrate</w:t>
      </w:r>
      <w:proofErr w:type="gramEnd"/>
      <w:r>
        <w:t xml:space="preserve"> low variance in the data set. Maximum starting salary is 90 thousand $ and minimum starting salary is 70 thousand $. Skewness and Kurtosis demonstrates, the data has no outlier and it has right tail.</w:t>
      </w:r>
    </w:p>
    <w:p w:rsidR="009F07B5" w:rsidRDefault="00601C8A" w:rsidP="006D3108">
      <w:pPr>
        <w:pStyle w:val="normal0"/>
        <w:keepNext/>
        <w:pBdr>
          <w:top w:val="nil"/>
          <w:left w:val="nil"/>
          <w:bottom w:val="nil"/>
          <w:right w:val="nil"/>
          <w:between w:val="nil"/>
        </w:pBdr>
        <w:spacing w:before="240" w:after="200" w:line="240" w:lineRule="auto"/>
        <w:jc w:val="center"/>
        <w:rPr>
          <w:i/>
          <w:color w:val="44546A"/>
          <w:sz w:val="18"/>
          <w:szCs w:val="18"/>
        </w:rPr>
      </w:pPr>
      <w:r>
        <w:rPr>
          <w:i/>
          <w:color w:val="44546A"/>
          <w:sz w:val="18"/>
          <w:szCs w:val="18"/>
        </w:rPr>
        <w:t>Table 3: Descriptiv</w:t>
      </w:r>
      <w:r>
        <w:rPr>
          <w:i/>
          <w:color w:val="44546A"/>
          <w:sz w:val="18"/>
          <w:szCs w:val="18"/>
        </w:rPr>
        <w:t>e statistics of Age</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622"/>
        <w:gridCol w:w="3394"/>
      </w:tblGrid>
      <w:tr w:rsidR="009F07B5">
        <w:trPr>
          <w:trHeight w:val="288"/>
        </w:trPr>
        <w:tc>
          <w:tcPr>
            <w:tcW w:w="9016" w:type="dxa"/>
            <w:gridSpan w:val="2"/>
          </w:tcPr>
          <w:p w:rsidR="009F07B5" w:rsidRDefault="00601C8A" w:rsidP="006D3108">
            <w:pPr>
              <w:pStyle w:val="normal0"/>
              <w:spacing w:before="240"/>
              <w:jc w:val="center"/>
              <w:rPr>
                <w:rFonts w:ascii="Calibri" w:eastAsia="Calibri" w:hAnsi="Calibri" w:cs="Calibri"/>
                <w:i/>
                <w:color w:val="000000"/>
                <w:sz w:val="22"/>
                <w:szCs w:val="22"/>
              </w:rPr>
            </w:pPr>
            <w:r>
              <w:rPr>
                <w:rFonts w:ascii="Calibri" w:eastAsia="Calibri" w:hAnsi="Calibri" w:cs="Calibri"/>
                <w:i/>
                <w:color w:val="000000"/>
                <w:sz w:val="22"/>
                <w:szCs w:val="22"/>
              </w:rPr>
              <w:t>Age</w:t>
            </w:r>
          </w:p>
        </w:tc>
      </w:tr>
      <w:tr w:rsidR="009F07B5">
        <w:trPr>
          <w:trHeight w:val="288"/>
        </w:trPr>
        <w:tc>
          <w:tcPr>
            <w:tcW w:w="5622"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Mean</w:t>
            </w:r>
          </w:p>
        </w:tc>
        <w:tc>
          <w:tcPr>
            <w:tcW w:w="3394"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21.1</w:t>
            </w:r>
          </w:p>
        </w:tc>
      </w:tr>
      <w:tr w:rsidR="009F07B5">
        <w:trPr>
          <w:trHeight w:val="288"/>
        </w:trPr>
        <w:tc>
          <w:tcPr>
            <w:tcW w:w="5622"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Standard Error</w:t>
            </w:r>
          </w:p>
        </w:tc>
        <w:tc>
          <w:tcPr>
            <w:tcW w:w="3394"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2.258072</w:t>
            </w:r>
          </w:p>
        </w:tc>
      </w:tr>
      <w:tr w:rsidR="009F07B5">
        <w:trPr>
          <w:trHeight w:val="288"/>
        </w:trPr>
        <w:tc>
          <w:tcPr>
            <w:tcW w:w="5622"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Median</w:t>
            </w:r>
          </w:p>
        </w:tc>
        <w:tc>
          <w:tcPr>
            <w:tcW w:w="3394"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20</w:t>
            </w:r>
          </w:p>
        </w:tc>
      </w:tr>
      <w:tr w:rsidR="009F07B5">
        <w:trPr>
          <w:trHeight w:val="288"/>
        </w:trPr>
        <w:tc>
          <w:tcPr>
            <w:tcW w:w="5622"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Mode</w:t>
            </w:r>
          </w:p>
        </w:tc>
        <w:tc>
          <w:tcPr>
            <w:tcW w:w="3394"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20</w:t>
            </w:r>
          </w:p>
        </w:tc>
      </w:tr>
      <w:tr w:rsidR="009F07B5">
        <w:trPr>
          <w:trHeight w:val="288"/>
        </w:trPr>
        <w:tc>
          <w:tcPr>
            <w:tcW w:w="5622"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Standard Deviation</w:t>
            </w:r>
          </w:p>
        </w:tc>
        <w:tc>
          <w:tcPr>
            <w:tcW w:w="3394"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7.14065</w:t>
            </w:r>
          </w:p>
        </w:tc>
      </w:tr>
      <w:tr w:rsidR="009F07B5">
        <w:trPr>
          <w:trHeight w:val="288"/>
        </w:trPr>
        <w:tc>
          <w:tcPr>
            <w:tcW w:w="5622"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Sample Variance</w:t>
            </w:r>
          </w:p>
        </w:tc>
        <w:tc>
          <w:tcPr>
            <w:tcW w:w="3394"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50.98889</w:t>
            </w:r>
          </w:p>
        </w:tc>
      </w:tr>
      <w:tr w:rsidR="009F07B5">
        <w:trPr>
          <w:trHeight w:val="288"/>
        </w:trPr>
        <w:tc>
          <w:tcPr>
            <w:tcW w:w="5622"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Kurtosis</w:t>
            </w:r>
          </w:p>
        </w:tc>
        <w:tc>
          <w:tcPr>
            <w:tcW w:w="3394"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0.66709</w:t>
            </w:r>
          </w:p>
        </w:tc>
      </w:tr>
      <w:tr w:rsidR="009F07B5">
        <w:trPr>
          <w:trHeight w:val="288"/>
        </w:trPr>
        <w:tc>
          <w:tcPr>
            <w:tcW w:w="5622"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Skewness</w:t>
            </w:r>
          </w:p>
        </w:tc>
        <w:tc>
          <w:tcPr>
            <w:tcW w:w="3394"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1.364621</w:t>
            </w:r>
          </w:p>
        </w:tc>
      </w:tr>
      <w:tr w:rsidR="009F07B5">
        <w:trPr>
          <w:trHeight w:val="288"/>
        </w:trPr>
        <w:tc>
          <w:tcPr>
            <w:tcW w:w="5622"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Range</w:t>
            </w:r>
          </w:p>
        </w:tc>
        <w:tc>
          <w:tcPr>
            <w:tcW w:w="3394"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19</w:t>
            </w:r>
          </w:p>
        </w:tc>
      </w:tr>
      <w:tr w:rsidR="009F07B5">
        <w:trPr>
          <w:trHeight w:val="288"/>
        </w:trPr>
        <w:tc>
          <w:tcPr>
            <w:tcW w:w="5622"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Minimum</w:t>
            </w:r>
          </w:p>
        </w:tc>
        <w:tc>
          <w:tcPr>
            <w:tcW w:w="3394"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15</w:t>
            </w:r>
          </w:p>
        </w:tc>
      </w:tr>
      <w:tr w:rsidR="009F07B5">
        <w:trPr>
          <w:trHeight w:val="288"/>
        </w:trPr>
        <w:tc>
          <w:tcPr>
            <w:tcW w:w="5622"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Maximum</w:t>
            </w:r>
          </w:p>
        </w:tc>
        <w:tc>
          <w:tcPr>
            <w:tcW w:w="3394"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34</w:t>
            </w:r>
          </w:p>
        </w:tc>
      </w:tr>
      <w:tr w:rsidR="009F07B5">
        <w:trPr>
          <w:trHeight w:val="288"/>
        </w:trPr>
        <w:tc>
          <w:tcPr>
            <w:tcW w:w="5622"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Sum</w:t>
            </w:r>
          </w:p>
        </w:tc>
        <w:tc>
          <w:tcPr>
            <w:tcW w:w="3394"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211</w:t>
            </w:r>
          </w:p>
        </w:tc>
      </w:tr>
      <w:tr w:rsidR="009F07B5">
        <w:trPr>
          <w:trHeight w:val="300"/>
        </w:trPr>
        <w:tc>
          <w:tcPr>
            <w:tcW w:w="5622"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Count</w:t>
            </w:r>
          </w:p>
        </w:tc>
        <w:tc>
          <w:tcPr>
            <w:tcW w:w="3394"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10</w:t>
            </w:r>
          </w:p>
        </w:tc>
      </w:tr>
    </w:tbl>
    <w:p w:rsidR="009F07B5" w:rsidRDefault="009F07B5" w:rsidP="006D3108">
      <w:pPr>
        <w:pStyle w:val="normal0"/>
        <w:spacing w:before="240"/>
      </w:pPr>
    </w:p>
    <w:p w:rsidR="009F07B5" w:rsidRDefault="00601C8A" w:rsidP="006D3108">
      <w:pPr>
        <w:pStyle w:val="normal0"/>
        <w:spacing w:before="240"/>
      </w:pPr>
      <w:r>
        <w:lastRenderedPageBreak/>
        <w:t xml:space="preserve">As per the table 3, it can be seen that mean age of MBA school students is 21.1 years with median and mode of 20. Hence, most of the MBA school students are of 20 years age. As per the standard deviation, it is 7.14 and sample </w:t>
      </w:r>
      <w:proofErr w:type="gramStart"/>
      <w:r>
        <w:t>variance of 50.98 demonstrate</w:t>
      </w:r>
      <w:proofErr w:type="gramEnd"/>
      <w:r>
        <w:t xml:space="preserve"> low variance in the data set. Maximum age of student of MBA </w:t>
      </w:r>
      <w:proofErr w:type="gramStart"/>
      <w:r>
        <w:t>school</w:t>
      </w:r>
      <w:proofErr w:type="gramEnd"/>
      <w:r>
        <w:t xml:space="preserve"> is 34 years and minimum age is 15 years. Skewness and Kurtosis demonstrates, the data has no outlier and it has right tail.</w:t>
      </w:r>
    </w:p>
    <w:p w:rsidR="009F07B5" w:rsidRDefault="00601C8A" w:rsidP="006D3108">
      <w:pPr>
        <w:pStyle w:val="normal0"/>
        <w:spacing w:before="240"/>
      </w:pPr>
      <w:r>
        <w:t>As far as work experience is concerned, as the data is not numer</w:t>
      </w:r>
      <w:r>
        <w:t xml:space="preserve">ic, hence they have been coded into numerical values. </w:t>
      </w:r>
      <w:proofErr w:type="gramStart"/>
      <w:r>
        <w:t>Schools with work experience has</w:t>
      </w:r>
      <w:proofErr w:type="gramEnd"/>
      <w:r>
        <w:t xml:space="preserve"> been coded as 1 and schools with no work experience has been coded as 0. As per the proportion, it has been found that out of total 10 </w:t>
      </w:r>
      <w:proofErr w:type="gramStart"/>
      <w:r>
        <w:t>school</w:t>
      </w:r>
      <w:proofErr w:type="gramEnd"/>
      <w:r>
        <w:t xml:space="preserve">, .2 have no experience and </w:t>
      </w:r>
      <w:r>
        <w:t>.8 schools have working experience.</w:t>
      </w:r>
    </w:p>
    <w:p w:rsidR="009F07B5" w:rsidRDefault="00601C8A" w:rsidP="006D3108">
      <w:pPr>
        <w:pStyle w:val="Heading1"/>
        <w:spacing w:before="240"/>
      </w:pPr>
      <w:r>
        <w:t>Association between tuition fees and salary:</w:t>
      </w:r>
    </w:p>
    <w:p w:rsidR="009F07B5" w:rsidRDefault="00601C8A" w:rsidP="006D3108">
      <w:pPr>
        <w:pStyle w:val="normal0"/>
        <w:spacing w:before="240"/>
      </w:pPr>
      <w:r>
        <w:t>To demonstrate the association between the tuition fees and starting salary, scatter plot and correlation has been considered here.</w:t>
      </w:r>
    </w:p>
    <w:p w:rsidR="009F07B5" w:rsidRDefault="00601C8A" w:rsidP="006D3108">
      <w:pPr>
        <w:pStyle w:val="normal0"/>
        <w:keepNext/>
        <w:spacing w:before="240"/>
        <w:jc w:val="center"/>
      </w:pPr>
      <w:r>
        <w:rPr>
          <w:noProof/>
          <w:lang w:val="en-US"/>
        </w:rPr>
        <w:drawing>
          <wp:inline distT="0" distB="0" distL="0" distR="0">
            <wp:extent cx="4570912" cy="2733403"/>
            <wp:effectExtent l="0" t="0" r="1270" b="1016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F07B5" w:rsidRDefault="00601C8A" w:rsidP="006D3108">
      <w:pPr>
        <w:pStyle w:val="normal0"/>
        <w:pBdr>
          <w:top w:val="nil"/>
          <w:left w:val="nil"/>
          <w:bottom w:val="nil"/>
          <w:right w:val="nil"/>
          <w:between w:val="nil"/>
        </w:pBdr>
        <w:spacing w:before="240" w:after="200" w:line="240" w:lineRule="auto"/>
        <w:jc w:val="center"/>
        <w:rPr>
          <w:i/>
          <w:color w:val="44546A"/>
          <w:sz w:val="18"/>
          <w:szCs w:val="18"/>
        </w:rPr>
      </w:pPr>
      <w:r>
        <w:rPr>
          <w:i/>
          <w:color w:val="44546A"/>
          <w:sz w:val="18"/>
          <w:szCs w:val="18"/>
        </w:rPr>
        <w:t>Figure 1: scatter plot of starting salary</w:t>
      </w:r>
      <w:r>
        <w:rPr>
          <w:i/>
          <w:color w:val="44546A"/>
          <w:sz w:val="18"/>
          <w:szCs w:val="18"/>
        </w:rPr>
        <w:t xml:space="preserve"> and tuition fees</w:t>
      </w:r>
    </w:p>
    <w:p w:rsidR="009F07B5" w:rsidRDefault="00601C8A" w:rsidP="006D3108">
      <w:pPr>
        <w:pStyle w:val="normal0"/>
        <w:spacing w:before="240"/>
      </w:pPr>
      <w:r>
        <w:t xml:space="preserve">As per the figure 1, it can be seen that the scatter plot between starting salary and tuition fees does not demonstrate good association between the variables. </w:t>
      </w:r>
      <w:proofErr w:type="gramStart"/>
      <w:r>
        <w:t>Although, as per the trend line it can be seen that there is a negative relati</w:t>
      </w:r>
      <w:r>
        <w:t>on between the tuition fees and starting salary (</w:t>
      </w:r>
      <w:proofErr w:type="spellStart"/>
      <w:r>
        <w:t>Kelkay</w:t>
      </w:r>
      <w:proofErr w:type="spellEnd"/>
      <w:r>
        <w:t xml:space="preserve"> &amp; </w:t>
      </w:r>
      <w:proofErr w:type="spellStart"/>
      <w:r>
        <w:t>Mola</w:t>
      </w:r>
      <w:proofErr w:type="spellEnd"/>
      <w:r>
        <w:t>, 2020).</w:t>
      </w:r>
      <w:proofErr w:type="gramEnd"/>
      <w:r>
        <w:t xml:space="preserve"> Hence, as the tuition fees rise, starting salary for the MBA schools tends to fall.</w:t>
      </w:r>
    </w:p>
    <w:p w:rsidR="009F07B5" w:rsidRDefault="00601C8A" w:rsidP="006D3108">
      <w:pPr>
        <w:pStyle w:val="normal0"/>
        <w:keepNext/>
        <w:pBdr>
          <w:top w:val="nil"/>
          <w:left w:val="nil"/>
          <w:bottom w:val="nil"/>
          <w:right w:val="nil"/>
          <w:between w:val="nil"/>
        </w:pBdr>
        <w:spacing w:before="240" w:after="200" w:line="240" w:lineRule="auto"/>
        <w:jc w:val="center"/>
        <w:rPr>
          <w:i/>
          <w:color w:val="44546A"/>
          <w:sz w:val="18"/>
          <w:szCs w:val="18"/>
        </w:rPr>
      </w:pPr>
      <w:r>
        <w:rPr>
          <w:i/>
          <w:color w:val="44546A"/>
          <w:sz w:val="18"/>
          <w:szCs w:val="18"/>
        </w:rPr>
        <w:lastRenderedPageBreak/>
        <w:t>Table 4: Correlation between tuition fees and starting salary</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19"/>
        <w:gridCol w:w="2128"/>
        <w:gridCol w:w="2269"/>
      </w:tblGrid>
      <w:tr w:rsidR="009F07B5">
        <w:trPr>
          <w:trHeight w:val="348"/>
        </w:trPr>
        <w:tc>
          <w:tcPr>
            <w:tcW w:w="4619" w:type="dxa"/>
          </w:tcPr>
          <w:p w:rsidR="009F07B5" w:rsidRDefault="00601C8A" w:rsidP="006D3108">
            <w:pPr>
              <w:pStyle w:val="normal0"/>
              <w:spacing w:before="240"/>
              <w:jc w:val="center"/>
              <w:rPr>
                <w:rFonts w:ascii="Calibri" w:eastAsia="Calibri" w:hAnsi="Calibri" w:cs="Calibri"/>
                <w:i/>
                <w:color w:val="000000"/>
                <w:sz w:val="22"/>
                <w:szCs w:val="22"/>
              </w:rPr>
            </w:pPr>
            <w:r>
              <w:rPr>
                <w:rFonts w:ascii="Calibri" w:eastAsia="Calibri" w:hAnsi="Calibri" w:cs="Calibri"/>
                <w:i/>
                <w:color w:val="000000"/>
                <w:sz w:val="22"/>
                <w:szCs w:val="22"/>
              </w:rPr>
              <w:t> </w:t>
            </w:r>
          </w:p>
        </w:tc>
        <w:tc>
          <w:tcPr>
            <w:tcW w:w="2128" w:type="dxa"/>
          </w:tcPr>
          <w:p w:rsidR="009F07B5" w:rsidRDefault="00601C8A" w:rsidP="006D3108">
            <w:pPr>
              <w:pStyle w:val="normal0"/>
              <w:spacing w:before="240"/>
              <w:jc w:val="center"/>
              <w:rPr>
                <w:rFonts w:ascii="Calibri" w:eastAsia="Calibri" w:hAnsi="Calibri" w:cs="Calibri"/>
                <w:i/>
                <w:color w:val="000000"/>
                <w:sz w:val="22"/>
                <w:szCs w:val="22"/>
              </w:rPr>
            </w:pPr>
            <w:r>
              <w:rPr>
                <w:rFonts w:ascii="Calibri" w:eastAsia="Calibri" w:hAnsi="Calibri" w:cs="Calibri"/>
                <w:i/>
                <w:color w:val="000000"/>
                <w:sz w:val="22"/>
                <w:szCs w:val="22"/>
              </w:rPr>
              <w:t>Tuition fee (1000$)</w:t>
            </w:r>
          </w:p>
        </w:tc>
        <w:tc>
          <w:tcPr>
            <w:tcW w:w="2269" w:type="dxa"/>
          </w:tcPr>
          <w:p w:rsidR="009F07B5" w:rsidRDefault="00601C8A" w:rsidP="006D3108">
            <w:pPr>
              <w:pStyle w:val="normal0"/>
              <w:spacing w:before="240"/>
              <w:jc w:val="center"/>
              <w:rPr>
                <w:rFonts w:ascii="Calibri" w:eastAsia="Calibri" w:hAnsi="Calibri" w:cs="Calibri"/>
                <w:i/>
                <w:color w:val="000000"/>
                <w:sz w:val="22"/>
                <w:szCs w:val="22"/>
              </w:rPr>
            </w:pPr>
            <w:r>
              <w:rPr>
                <w:rFonts w:ascii="Calibri" w:eastAsia="Calibri" w:hAnsi="Calibri" w:cs="Calibri"/>
                <w:i/>
                <w:color w:val="000000"/>
                <w:sz w:val="22"/>
                <w:szCs w:val="22"/>
              </w:rPr>
              <w:t>Starting Salary (1000$)</w:t>
            </w:r>
          </w:p>
        </w:tc>
      </w:tr>
      <w:tr w:rsidR="009F07B5">
        <w:trPr>
          <w:trHeight w:val="348"/>
        </w:trPr>
        <w:tc>
          <w:tcPr>
            <w:tcW w:w="461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Tuition fee (1000$)</w:t>
            </w:r>
          </w:p>
        </w:tc>
        <w:tc>
          <w:tcPr>
            <w:tcW w:w="2128"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2269" w:type="dxa"/>
          </w:tcPr>
          <w:p w:rsidR="009F07B5" w:rsidRDefault="009F07B5" w:rsidP="006D3108">
            <w:pPr>
              <w:pStyle w:val="normal0"/>
              <w:spacing w:before="240"/>
              <w:jc w:val="right"/>
              <w:rPr>
                <w:rFonts w:ascii="Calibri" w:eastAsia="Calibri" w:hAnsi="Calibri" w:cs="Calibri"/>
                <w:color w:val="000000"/>
                <w:sz w:val="22"/>
                <w:szCs w:val="22"/>
              </w:rPr>
            </w:pPr>
          </w:p>
        </w:tc>
      </w:tr>
      <w:tr w:rsidR="009F07B5">
        <w:trPr>
          <w:trHeight w:val="360"/>
        </w:trPr>
        <w:tc>
          <w:tcPr>
            <w:tcW w:w="4619" w:type="dxa"/>
          </w:tcPr>
          <w:p w:rsidR="009F07B5" w:rsidRDefault="00601C8A" w:rsidP="006D3108">
            <w:pPr>
              <w:pStyle w:val="normal0"/>
              <w:spacing w:before="240"/>
              <w:jc w:val="left"/>
              <w:rPr>
                <w:rFonts w:ascii="Calibri" w:eastAsia="Calibri" w:hAnsi="Calibri" w:cs="Calibri"/>
                <w:color w:val="000000"/>
                <w:sz w:val="22"/>
                <w:szCs w:val="22"/>
              </w:rPr>
            </w:pPr>
            <w:r>
              <w:rPr>
                <w:rFonts w:ascii="Calibri" w:eastAsia="Calibri" w:hAnsi="Calibri" w:cs="Calibri"/>
                <w:color w:val="000000"/>
                <w:sz w:val="22"/>
                <w:szCs w:val="22"/>
              </w:rPr>
              <w:t>Starting Salary (1000$)</w:t>
            </w:r>
          </w:p>
        </w:tc>
        <w:tc>
          <w:tcPr>
            <w:tcW w:w="2128"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-0.10196</w:t>
            </w:r>
          </w:p>
        </w:tc>
        <w:tc>
          <w:tcPr>
            <w:tcW w:w="2269" w:type="dxa"/>
          </w:tcPr>
          <w:p w:rsidR="009F07B5" w:rsidRDefault="00601C8A" w:rsidP="006D3108">
            <w:pPr>
              <w:pStyle w:val="normal0"/>
              <w:spacing w:before="240"/>
              <w:jc w:val="right"/>
              <w:rPr>
                <w:rFonts w:ascii="Calibri" w:eastAsia="Calibri" w:hAnsi="Calibri" w:cs="Calibri"/>
                <w:color w:val="000000"/>
                <w:sz w:val="22"/>
                <w:szCs w:val="22"/>
              </w:rPr>
            </w:pPr>
            <w:r>
              <w:rPr>
                <w:rFonts w:ascii="Calibri" w:eastAsia="Calibri" w:hAnsi="Calibri" w:cs="Calibri"/>
                <w:color w:val="000000"/>
                <w:sz w:val="22"/>
                <w:szCs w:val="22"/>
              </w:rPr>
              <w:t>1</w:t>
            </w:r>
          </w:p>
        </w:tc>
      </w:tr>
    </w:tbl>
    <w:p w:rsidR="009F07B5" w:rsidRDefault="009F07B5" w:rsidP="006D3108">
      <w:pPr>
        <w:pStyle w:val="normal0"/>
        <w:spacing w:before="240"/>
      </w:pPr>
    </w:p>
    <w:p w:rsidR="009F07B5" w:rsidRDefault="00601C8A" w:rsidP="006D3108">
      <w:pPr>
        <w:pStyle w:val="normal0"/>
        <w:spacing w:before="240"/>
      </w:pPr>
      <w:r>
        <w:t>When the outcome of the figure 1 is compared with the correlation output demonstrated in table 4, it can be seen that there is a negative relation between two variables. With correlation value of -0.10196, it demonstrates that the two variables are negativ</w:t>
      </w:r>
      <w:r>
        <w:t>ely associated with each other (</w:t>
      </w:r>
      <w:proofErr w:type="spellStart"/>
      <w:r>
        <w:t>Faberman</w:t>
      </w:r>
      <w:proofErr w:type="spellEnd"/>
      <w:r>
        <w:t xml:space="preserve"> &amp; </w:t>
      </w:r>
      <w:proofErr w:type="spellStart"/>
      <w:r>
        <w:t>Menzio</w:t>
      </w:r>
      <w:proofErr w:type="spellEnd"/>
      <w:r>
        <w:t xml:space="preserve">, 2018). A unit change in the tuition fees can lead to fall in the starting salary by .10196 </w:t>
      </w:r>
      <w:proofErr w:type="gramStart"/>
      <w:r>
        <w:t>time</w:t>
      </w:r>
      <w:proofErr w:type="gramEnd"/>
      <w:r>
        <w:t xml:space="preserve">. </w:t>
      </w:r>
    </w:p>
    <w:p w:rsidR="009F07B5" w:rsidRDefault="00601C8A" w:rsidP="006D3108">
      <w:pPr>
        <w:pStyle w:val="Heading1"/>
        <w:spacing w:before="240"/>
      </w:pPr>
      <w:r>
        <w:t>Conclusion:</w:t>
      </w:r>
    </w:p>
    <w:p w:rsidR="009F07B5" w:rsidRDefault="00601C8A" w:rsidP="006D3108">
      <w:pPr>
        <w:pStyle w:val="normal0"/>
        <w:spacing w:before="240"/>
      </w:pPr>
      <w:r>
        <w:t>From the analysis it can be seen that most of the MBA school have tuition fees of 40 thousand $</w:t>
      </w:r>
      <w:r>
        <w:t xml:space="preserve"> and the starting salary is 80 thousand $. Most of the students are of 20 years for the MBA schools. Though there has been significant literary evidence that demonstrate positive association between tuition fees and salary, however, present study demonstra</w:t>
      </w:r>
      <w:r>
        <w:t>ted, there is negative association between the two variables. Increase in the tuition fees lead to fall in the starting salary for MBA schools.</w:t>
      </w:r>
    </w:p>
    <w:p w:rsidR="009F07B5" w:rsidRPr="006D3108" w:rsidRDefault="006D3108" w:rsidP="006D3108">
      <w:pPr>
        <w:pStyle w:val="normal0"/>
        <w:spacing w:before="240" w:after="160" w:line="259" w:lineRule="auto"/>
        <w:jc w:val="left"/>
        <w:rPr>
          <w:b/>
        </w:rPr>
      </w:pPr>
      <w:r>
        <w:rPr>
          <w:b/>
        </w:rPr>
        <w:t>References</w:t>
      </w:r>
    </w:p>
    <w:p w:rsidR="009F07B5" w:rsidRDefault="00601C8A" w:rsidP="006D3108">
      <w:pPr>
        <w:pStyle w:val="normal0"/>
        <w:spacing w:before="240"/>
        <w:ind w:left="720" w:hanging="720"/>
        <w:rPr>
          <w:color w:val="222222"/>
          <w:highlight w:val="white"/>
        </w:rPr>
      </w:pPr>
      <w:proofErr w:type="spellStart"/>
      <w:proofErr w:type="gramStart"/>
      <w:r>
        <w:rPr>
          <w:color w:val="222222"/>
          <w:highlight w:val="white"/>
        </w:rPr>
        <w:t>Faberman</w:t>
      </w:r>
      <w:proofErr w:type="spellEnd"/>
      <w:r>
        <w:rPr>
          <w:color w:val="222222"/>
          <w:highlight w:val="white"/>
        </w:rPr>
        <w:t xml:space="preserve">, R. J., &amp; </w:t>
      </w:r>
      <w:proofErr w:type="spellStart"/>
      <w:r>
        <w:rPr>
          <w:color w:val="222222"/>
          <w:highlight w:val="white"/>
        </w:rPr>
        <w:t>Menzio</w:t>
      </w:r>
      <w:proofErr w:type="spellEnd"/>
      <w:r>
        <w:rPr>
          <w:color w:val="222222"/>
          <w:highlight w:val="white"/>
        </w:rPr>
        <w:t>, G. (2018).</w:t>
      </w:r>
      <w:proofErr w:type="gramEnd"/>
      <w:r>
        <w:rPr>
          <w:color w:val="222222"/>
          <w:highlight w:val="white"/>
        </w:rPr>
        <w:t xml:space="preserve"> </w:t>
      </w:r>
      <w:proofErr w:type="gramStart"/>
      <w:r>
        <w:rPr>
          <w:color w:val="222222"/>
          <w:highlight w:val="white"/>
        </w:rPr>
        <w:t>Evidence on the Relationship between Recruiting and the Star</w:t>
      </w:r>
      <w:r>
        <w:rPr>
          <w:color w:val="222222"/>
          <w:highlight w:val="white"/>
        </w:rPr>
        <w:t>ting Wage.</w:t>
      </w:r>
      <w:proofErr w:type="gramEnd"/>
      <w:r>
        <w:rPr>
          <w:color w:val="222222"/>
          <w:highlight w:val="white"/>
        </w:rPr>
        <w:t> </w:t>
      </w:r>
      <w:r>
        <w:rPr>
          <w:i/>
          <w:color w:val="222222"/>
          <w:highlight w:val="white"/>
        </w:rPr>
        <w:t>Labour Economics</w:t>
      </w:r>
      <w:r>
        <w:rPr>
          <w:color w:val="222222"/>
          <w:highlight w:val="white"/>
        </w:rPr>
        <w:t>, </w:t>
      </w:r>
      <w:r>
        <w:rPr>
          <w:i/>
          <w:color w:val="222222"/>
          <w:highlight w:val="white"/>
        </w:rPr>
        <w:t>50</w:t>
      </w:r>
      <w:r>
        <w:rPr>
          <w:color w:val="222222"/>
          <w:highlight w:val="white"/>
        </w:rPr>
        <w:t>, 67-79.</w:t>
      </w:r>
    </w:p>
    <w:p w:rsidR="009F07B5" w:rsidRDefault="00601C8A" w:rsidP="006D3108">
      <w:pPr>
        <w:pStyle w:val="normal0"/>
        <w:spacing w:before="240"/>
        <w:ind w:left="720" w:hanging="720"/>
        <w:rPr>
          <w:color w:val="222222"/>
          <w:highlight w:val="white"/>
        </w:rPr>
      </w:pPr>
      <w:bookmarkStart w:id="0" w:name="_gjdgxs" w:colFirst="0" w:colLast="0"/>
      <w:bookmarkEnd w:id="0"/>
      <w:proofErr w:type="spellStart"/>
      <w:r>
        <w:rPr>
          <w:color w:val="222222"/>
          <w:highlight w:val="white"/>
        </w:rPr>
        <w:t>Kelkay</w:t>
      </w:r>
      <w:proofErr w:type="spellEnd"/>
      <w:r>
        <w:rPr>
          <w:color w:val="222222"/>
          <w:highlight w:val="white"/>
        </w:rPr>
        <w:t xml:space="preserve">, A. D., &amp; </w:t>
      </w:r>
      <w:proofErr w:type="spellStart"/>
      <w:r>
        <w:rPr>
          <w:color w:val="222222"/>
          <w:highlight w:val="white"/>
        </w:rPr>
        <w:t>Mola</w:t>
      </w:r>
      <w:proofErr w:type="spellEnd"/>
      <w:r>
        <w:rPr>
          <w:color w:val="222222"/>
          <w:highlight w:val="white"/>
        </w:rPr>
        <w:t>, S. (2020). The status of teachers’ motivation and process of quality education: The case of primary school teachers, Ethiopia. </w:t>
      </w:r>
      <w:r>
        <w:rPr>
          <w:i/>
          <w:color w:val="222222"/>
          <w:highlight w:val="white"/>
        </w:rPr>
        <w:t xml:space="preserve">Global Journal of Guidance and </w:t>
      </w:r>
      <w:proofErr w:type="spellStart"/>
      <w:r>
        <w:rPr>
          <w:i/>
          <w:color w:val="222222"/>
          <w:highlight w:val="white"/>
        </w:rPr>
        <w:t>Counseling</w:t>
      </w:r>
      <w:proofErr w:type="spellEnd"/>
      <w:r>
        <w:rPr>
          <w:i/>
          <w:color w:val="222222"/>
          <w:highlight w:val="white"/>
        </w:rPr>
        <w:t xml:space="preserve"> in Schools: Current Pers</w:t>
      </w:r>
      <w:r>
        <w:rPr>
          <w:i/>
          <w:color w:val="222222"/>
          <w:highlight w:val="white"/>
        </w:rPr>
        <w:t>pectives</w:t>
      </w:r>
      <w:r>
        <w:rPr>
          <w:color w:val="222222"/>
          <w:highlight w:val="white"/>
        </w:rPr>
        <w:t>, </w:t>
      </w:r>
      <w:r>
        <w:rPr>
          <w:i/>
          <w:color w:val="222222"/>
          <w:highlight w:val="white"/>
        </w:rPr>
        <w:t>10</w:t>
      </w:r>
      <w:r>
        <w:rPr>
          <w:color w:val="222222"/>
          <w:highlight w:val="white"/>
        </w:rPr>
        <w:t>(1), 01-11.</w:t>
      </w:r>
    </w:p>
    <w:p w:rsidR="009F07B5" w:rsidRDefault="00601C8A" w:rsidP="006D3108">
      <w:pPr>
        <w:pStyle w:val="normal0"/>
        <w:spacing w:before="240"/>
        <w:ind w:left="720" w:hanging="720"/>
        <w:rPr>
          <w:color w:val="222222"/>
          <w:highlight w:val="white"/>
        </w:rPr>
      </w:pPr>
      <w:proofErr w:type="spellStart"/>
      <w:proofErr w:type="gramStart"/>
      <w:r>
        <w:rPr>
          <w:color w:val="222222"/>
          <w:highlight w:val="white"/>
        </w:rPr>
        <w:t>Kholmuminov</w:t>
      </w:r>
      <w:proofErr w:type="spellEnd"/>
      <w:r>
        <w:rPr>
          <w:color w:val="222222"/>
          <w:highlight w:val="white"/>
        </w:rPr>
        <w:t xml:space="preserve">, S., </w:t>
      </w:r>
      <w:proofErr w:type="spellStart"/>
      <w:r>
        <w:rPr>
          <w:color w:val="222222"/>
          <w:highlight w:val="white"/>
        </w:rPr>
        <w:t>Kholmuminov</w:t>
      </w:r>
      <w:proofErr w:type="spellEnd"/>
      <w:r>
        <w:rPr>
          <w:color w:val="222222"/>
          <w:highlight w:val="white"/>
        </w:rPr>
        <w:t>, S., &amp; Wright, R. E. (2019).</w:t>
      </w:r>
      <w:proofErr w:type="gramEnd"/>
      <w:r>
        <w:rPr>
          <w:color w:val="222222"/>
          <w:highlight w:val="white"/>
        </w:rPr>
        <w:t xml:space="preserve"> </w:t>
      </w:r>
      <w:proofErr w:type="gramStart"/>
      <w:r>
        <w:rPr>
          <w:color w:val="222222"/>
          <w:highlight w:val="white"/>
        </w:rPr>
        <w:t>Resource dependence theory analysis of higher education institutions in Uzbekistan.</w:t>
      </w:r>
      <w:proofErr w:type="gramEnd"/>
      <w:r>
        <w:rPr>
          <w:color w:val="222222"/>
          <w:highlight w:val="white"/>
        </w:rPr>
        <w:t> </w:t>
      </w:r>
      <w:r>
        <w:rPr>
          <w:i/>
          <w:color w:val="222222"/>
          <w:highlight w:val="white"/>
        </w:rPr>
        <w:t>Higher Education</w:t>
      </w:r>
      <w:r>
        <w:rPr>
          <w:color w:val="222222"/>
          <w:highlight w:val="white"/>
        </w:rPr>
        <w:t>, </w:t>
      </w:r>
      <w:r>
        <w:rPr>
          <w:i/>
          <w:color w:val="222222"/>
          <w:highlight w:val="white"/>
        </w:rPr>
        <w:t>77</w:t>
      </w:r>
      <w:r>
        <w:rPr>
          <w:color w:val="222222"/>
          <w:highlight w:val="white"/>
        </w:rPr>
        <w:t>(1), 59-79.</w:t>
      </w:r>
    </w:p>
    <w:p w:rsidR="009F07B5" w:rsidRDefault="00601C8A" w:rsidP="006D3108">
      <w:pPr>
        <w:pStyle w:val="normal0"/>
        <w:spacing w:before="240"/>
        <w:ind w:left="720" w:hanging="720"/>
        <w:rPr>
          <w:color w:val="222222"/>
          <w:highlight w:val="white"/>
        </w:rPr>
      </w:pPr>
      <w:proofErr w:type="spellStart"/>
      <w:r>
        <w:rPr>
          <w:color w:val="222222"/>
          <w:highlight w:val="white"/>
        </w:rPr>
        <w:lastRenderedPageBreak/>
        <w:t>Siah</w:t>
      </w:r>
      <w:proofErr w:type="spellEnd"/>
      <w:r>
        <w:rPr>
          <w:color w:val="222222"/>
          <w:highlight w:val="white"/>
        </w:rPr>
        <w:t xml:space="preserve">, P. C., Christina </w:t>
      </w:r>
      <w:proofErr w:type="spellStart"/>
      <w:r>
        <w:rPr>
          <w:color w:val="222222"/>
          <w:highlight w:val="white"/>
        </w:rPr>
        <w:t>Ong</w:t>
      </w:r>
      <w:proofErr w:type="spellEnd"/>
      <w:r>
        <w:rPr>
          <w:color w:val="222222"/>
          <w:highlight w:val="white"/>
        </w:rPr>
        <w:t xml:space="preserve">, S. B., Tan, S. M., Sim, C. P., &amp; Xian </w:t>
      </w:r>
      <w:proofErr w:type="spellStart"/>
      <w:r>
        <w:rPr>
          <w:color w:val="222222"/>
          <w:highlight w:val="white"/>
        </w:rPr>
        <w:t>Thoo</w:t>
      </w:r>
      <w:proofErr w:type="spellEnd"/>
      <w:r>
        <w:rPr>
          <w:color w:val="222222"/>
          <w:highlight w:val="white"/>
        </w:rPr>
        <w:t>, R. Y. (2018). Factors affecting school choice: What do Malaysian Chinese parents want</w:t>
      </w:r>
      <w:proofErr w:type="gramStart"/>
      <w:r>
        <w:rPr>
          <w:color w:val="222222"/>
          <w:highlight w:val="white"/>
        </w:rPr>
        <w:t>?.</w:t>
      </w:r>
      <w:proofErr w:type="gramEnd"/>
      <w:r>
        <w:rPr>
          <w:color w:val="222222"/>
          <w:highlight w:val="white"/>
        </w:rPr>
        <w:t> </w:t>
      </w:r>
      <w:r>
        <w:rPr>
          <w:i/>
          <w:color w:val="222222"/>
          <w:highlight w:val="white"/>
        </w:rPr>
        <w:t>Journal of School Choice</w:t>
      </w:r>
      <w:r>
        <w:rPr>
          <w:color w:val="222222"/>
          <w:highlight w:val="white"/>
        </w:rPr>
        <w:t>, </w:t>
      </w:r>
      <w:r>
        <w:rPr>
          <w:i/>
          <w:color w:val="222222"/>
          <w:highlight w:val="white"/>
        </w:rPr>
        <w:t>12</w:t>
      </w:r>
      <w:r>
        <w:rPr>
          <w:color w:val="222222"/>
          <w:highlight w:val="white"/>
        </w:rPr>
        <w:t>(1), 34-51.</w:t>
      </w:r>
    </w:p>
    <w:p w:rsidR="009F07B5" w:rsidRDefault="009F07B5" w:rsidP="006D3108">
      <w:pPr>
        <w:pStyle w:val="normal0"/>
        <w:spacing w:before="240"/>
      </w:pPr>
    </w:p>
    <w:p w:rsidR="009F07B5" w:rsidRDefault="009F07B5" w:rsidP="006D3108">
      <w:pPr>
        <w:pStyle w:val="normal0"/>
        <w:spacing w:before="240"/>
      </w:pPr>
    </w:p>
    <w:sectPr w:rsidR="009F07B5" w:rsidSect="009F07B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C8A" w:rsidRDefault="00601C8A" w:rsidP="006D3108">
      <w:pPr>
        <w:spacing w:line="240" w:lineRule="auto"/>
      </w:pPr>
      <w:r>
        <w:separator/>
      </w:r>
    </w:p>
  </w:endnote>
  <w:endnote w:type="continuationSeparator" w:id="0">
    <w:p w:rsidR="00601C8A" w:rsidRDefault="00601C8A" w:rsidP="006D310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108" w:rsidRDefault="006D31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108" w:rsidRDefault="006D31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108" w:rsidRDefault="006D31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C8A" w:rsidRDefault="00601C8A" w:rsidP="006D3108">
      <w:pPr>
        <w:spacing w:line="240" w:lineRule="auto"/>
      </w:pPr>
      <w:r>
        <w:separator/>
      </w:r>
    </w:p>
  </w:footnote>
  <w:footnote w:type="continuationSeparator" w:id="0">
    <w:p w:rsidR="00601C8A" w:rsidRDefault="00601C8A" w:rsidP="006D310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108" w:rsidRDefault="006D31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108" w:rsidRDefault="006D310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108" w:rsidRDefault="006D310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9F07B5"/>
    <w:rsid w:val="00601C8A"/>
    <w:rsid w:val="006D3108"/>
    <w:rsid w:val="009F0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A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F07B5"/>
    <w:pPr>
      <w:keepNext/>
      <w:keepLines/>
      <w:outlineLvl w:val="0"/>
    </w:pPr>
    <w:rPr>
      <w:b/>
    </w:rPr>
  </w:style>
  <w:style w:type="paragraph" w:styleId="Heading2">
    <w:name w:val="heading 2"/>
    <w:basedOn w:val="normal0"/>
    <w:next w:val="normal0"/>
    <w:rsid w:val="009F07B5"/>
    <w:pPr>
      <w:keepNext/>
      <w:keepLines/>
      <w:outlineLvl w:val="1"/>
    </w:pPr>
    <w:rPr>
      <w:b/>
      <w:i/>
    </w:rPr>
  </w:style>
  <w:style w:type="paragraph" w:styleId="Heading3">
    <w:name w:val="heading 3"/>
    <w:basedOn w:val="normal0"/>
    <w:next w:val="normal0"/>
    <w:rsid w:val="009F07B5"/>
    <w:pPr>
      <w:keepNext/>
      <w:keepLines/>
      <w:spacing w:before="280" w:after="80"/>
      <w:outlineLvl w:val="2"/>
    </w:pPr>
    <w:rPr>
      <w:b/>
      <w:sz w:val="28"/>
      <w:szCs w:val="28"/>
    </w:rPr>
  </w:style>
  <w:style w:type="paragraph" w:styleId="Heading4">
    <w:name w:val="heading 4"/>
    <w:basedOn w:val="normal0"/>
    <w:next w:val="normal0"/>
    <w:rsid w:val="009F07B5"/>
    <w:pPr>
      <w:keepNext/>
      <w:keepLines/>
      <w:spacing w:before="240" w:after="40"/>
      <w:outlineLvl w:val="3"/>
    </w:pPr>
    <w:rPr>
      <w:b/>
    </w:rPr>
  </w:style>
  <w:style w:type="paragraph" w:styleId="Heading5">
    <w:name w:val="heading 5"/>
    <w:basedOn w:val="normal0"/>
    <w:next w:val="normal0"/>
    <w:rsid w:val="009F07B5"/>
    <w:pPr>
      <w:keepNext/>
      <w:keepLines/>
      <w:spacing w:before="220" w:after="40"/>
      <w:outlineLvl w:val="4"/>
    </w:pPr>
    <w:rPr>
      <w:b/>
      <w:sz w:val="22"/>
      <w:szCs w:val="22"/>
    </w:rPr>
  </w:style>
  <w:style w:type="paragraph" w:styleId="Heading6">
    <w:name w:val="heading 6"/>
    <w:basedOn w:val="normal0"/>
    <w:next w:val="normal0"/>
    <w:rsid w:val="009F07B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07B5"/>
  </w:style>
  <w:style w:type="paragraph" w:styleId="Title">
    <w:name w:val="Title"/>
    <w:basedOn w:val="normal0"/>
    <w:next w:val="normal0"/>
    <w:rsid w:val="009F07B5"/>
    <w:pPr>
      <w:keepNext/>
      <w:keepLines/>
      <w:spacing w:before="480" w:after="120"/>
    </w:pPr>
    <w:rPr>
      <w:b/>
      <w:sz w:val="72"/>
      <w:szCs w:val="72"/>
    </w:rPr>
  </w:style>
  <w:style w:type="paragraph" w:styleId="Subtitle">
    <w:name w:val="Subtitle"/>
    <w:basedOn w:val="normal0"/>
    <w:next w:val="normal0"/>
    <w:rsid w:val="009F07B5"/>
    <w:pPr>
      <w:keepNext/>
      <w:keepLines/>
      <w:spacing w:before="360" w:after="80"/>
    </w:pPr>
    <w:rPr>
      <w:rFonts w:ascii="Georgia" w:eastAsia="Georgia" w:hAnsi="Georgia" w:cs="Georgia"/>
      <w:i/>
      <w:color w:val="666666"/>
      <w:sz w:val="48"/>
      <w:szCs w:val="48"/>
    </w:rPr>
  </w:style>
  <w:style w:type="table" w:customStyle="1" w:styleId="a">
    <w:basedOn w:val="TableNormal"/>
    <w:rsid w:val="009F07B5"/>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F07B5"/>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F07B5"/>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F07B5"/>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31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108"/>
    <w:rPr>
      <w:rFonts w:ascii="Tahoma" w:hAnsi="Tahoma" w:cs="Tahoma"/>
      <w:sz w:val="16"/>
      <w:szCs w:val="16"/>
    </w:rPr>
  </w:style>
  <w:style w:type="paragraph" w:styleId="Header">
    <w:name w:val="header"/>
    <w:basedOn w:val="Normal"/>
    <w:link w:val="HeaderChar"/>
    <w:uiPriority w:val="99"/>
    <w:semiHidden/>
    <w:unhideWhenUsed/>
    <w:rsid w:val="006D310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D3108"/>
  </w:style>
  <w:style w:type="paragraph" w:styleId="Footer">
    <w:name w:val="footer"/>
    <w:basedOn w:val="Normal"/>
    <w:link w:val="FooterChar"/>
    <w:uiPriority w:val="99"/>
    <w:semiHidden/>
    <w:unhideWhenUsed/>
    <w:rsid w:val="006D310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D310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tyaki%20Paul\Downloads\1467155%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plotArea>
      <c:layout/>
      <c:scatterChart>
        <c:scatterStyle val="lineMarker"/>
        <c:ser>
          <c:idx val="0"/>
          <c:order val="0"/>
          <c:tx>
            <c:strRef>
              <c:f>Sheet1!$C$1</c:f>
              <c:strCache>
                <c:ptCount val="1"/>
                <c:pt idx="0">
                  <c:v>Starting Salary (1000$)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Sheet1!$B$2:$B$11</c:f>
              <c:numCache>
                <c:formatCode>General</c:formatCode>
                <c:ptCount val="10"/>
                <c:pt idx="0">
                  <c:v>25</c:v>
                </c:pt>
                <c:pt idx="1">
                  <c:v>30</c:v>
                </c:pt>
                <c:pt idx="2">
                  <c:v>40</c:v>
                </c:pt>
                <c:pt idx="3">
                  <c:v>50</c:v>
                </c:pt>
                <c:pt idx="4">
                  <c:v>50</c:v>
                </c:pt>
                <c:pt idx="5">
                  <c:v>30</c:v>
                </c:pt>
                <c:pt idx="6">
                  <c:v>25</c:v>
                </c:pt>
                <c:pt idx="7">
                  <c:v>45</c:v>
                </c:pt>
                <c:pt idx="8">
                  <c:v>40</c:v>
                </c:pt>
                <c:pt idx="9">
                  <c:v>40</c:v>
                </c:pt>
              </c:numCache>
            </c:numRef>
          </c:xVal>
          <c:yVal>
            <c:numRef>
              <c:f>Sheet1!$C$2:$C$11</c:f>
              <c:numCache>
                <c:formatCode>General</c:formatCode>
                <c:ptCount val="10"/>
                <c:pt idx="0">
                  <c:v>80</c:v>
                </c:pt>
                <c:pt idx="1">
                  <c:v>80</c:v>
                </c:pt>
                <c:pt idx="2">
                  <c:v>70</c:v>
                </c:pt>
                <c:pt idx="3">
                  <c:v>70</c:v>
                </c:pt>
                <c:pt idx="4">
                  <c:v>80</c:v>
                </c:pt>
                <c:pt idx="5">
                  <c:v>80</c:v>
                </c:pt>
                <c:pt idx="6">
                  <c:v>70</c:v>
                </c:pt>
                <c:pt idx="7">
                  <c:v>70</c:v>
                </c:pt>
                <c:pt idx="8">
                  <c:v>90</c:v>
                </c:pt>
                <c:pt idx="9">
                  <c:v>85</c:v>
                </c:pt>
              </c:numCache>
            </c:numRef>
          </c:yVal>
          <c:extLst xmlns:c16r2="http://schemas.microsoft.com/office/drawing/2015/06/chart">
            <c:ext xmlns:c16="http://schemas.microsoft.com/office/drawing/2014/chart" uri="{C3380CC4-5D6E-409C-BE32-E72D297353CC}">
              <c16:uniqueId val="{00000001-2524-4076-B7AE-CAB3B3C2E8BB}"/>
            </c:ext>
          </c:extLst>
        </c:ser>
        <c:axId val="123671296"/>
        <c:axId val="123672832"/>
      </c:scatterChart>
      <c:valAx>
        <c:axId val="12367129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72832"/>
        <c:crosses val="autoZero"/>
        <c:crossBetween val="midCat"/>
      </c:valAx>
      <c:valAx>
        <c:axId val="12367283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71296"/>
        <c:crosses val="autoZero"/>
        <c:crossBetween val="midCat"/>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994</Words>
  <Characters>5667</Characters>
  <Application>Microsoft Office Word</Application>
  <DocSecurity>0</DocSecurity>
  <Lines>47</Lines>
  <Paragraphs>13</Paragraphs>
  <ScaleCrop>false</ScaleCrop>
  <LinksUpToDate>false</LinksUpToDate>
  <CharactersWithSpaces>6648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2022-08-25T18:43:00Z</dcterms:created>
  <dcterms:modified xsi:type="dcterms:W3CDTF">2022-08-25T18:43:00Z</dcterms:modified>
</cp:coreProperties>
</file>