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C43B52"/>
          <w:sz w:val="20"/>
          <w:szCs w:val="20"/>
        </w:rPr>
        <w:t xml:space="preserve">ParkFlow — Sistema de Gestão de Estacionamento</w:t>
      </w:r>
    </w:p>
    <w:p>
      <w:pPr>
        <w:pStyle w:val="Title"/>
        <w:spacing w:after="200"/>
      </w:pPr>
      <w:r>
        <w:rPr>
          <w:b/>
          <w:bCs/>
          <w:color w:val="1E2124"/>
          <w:sz w:val="32"/>
          <w:szCs w:val="32"/>
        </w:rPr>
        <w:t xml:space="preserve">Relatório de Justificativa das Tags Semânticas do HTML5</w:t>
      </w:r>
    </w:p>
    <w:p>
      <w:pPr>
        <w:spacing w:after="160"/>
      </w:pPr>
      <w:r>
        <w:t xml:space="preserve">Este relatório documenta e justifica as escolhas de marcação semântica adotadas na construção da interface do ParkFlow, uma página web para cadastro (entrada) e visualização (painel de vagas) de veículos em um estacionamento. O objetivo da marcação semântica é comunicar a estrutura e o significado do conteúdo tanto para navegadores quanto para tecnologias assistivas, em vez de depender apenas de elementos genéricos (div/span) estilizados visualmente.</w:t>
      </w:r>
    </w:p>
    <w:p>
      <w:pPr>
        <w:pStyle w:val="Heading1"/>
        <w:spacing w:after="160" w:before="240"/>
      </w:pPr>
      <w:r>
        <w:rPr>
          <w:b/>
          <w:bCs/>
          <w:color w:val="1E2124"/>
        </w:rPr>
        <w:t xml:space="preserve">1. Estrutura de landmarks da página</w:t>
      </w:r>
    </w:p>
    <w:p>
      <w:pPr>
        <w:spacing w:after="160"/>
      </w:pPr>
      <w:r>
        <w:t xml:space="preserve">A página utiliza os elementos estruturais do HTML5 para delimitar regiões (landmarks) reconhecidas nativamente por leitores de tela, permitindo que o usuário navegue diretamente entre blocos da página (por exemplo, pelo atalho de navegação por regiões do NVDA/VoiceOver) sem depender de atributos ARIA redundantes.</w:t>
      </w:r>
    </w:p>
    <w:tbl>
      <w:tblPr>
        <w:tblW w:type="dxa" w:w="9350"/>
        <w:tblBorders>
          <w:top w:val="single" w:color="D8DBDF" w:sz="4"/>
          <w:left w:val="single" w:color="D8DBDF" w:sz="4"/>
          <w:bottom w:val="single" w:color="D8DBDF" w:sz="4"/>
          <w:right w:val="single" w:color="D8DBDF" w:sz="4"/>
          <w:insideH w:val="single" w:color="D8DBDF" w:sz="4"/>
          <w:insideV w:val="single" w:color="D8DBDF" w:sz="4"/>
        </w:tblBorders>
      </w:tblPr>
      <w:tblGrid>
        <w:gridCol w:w="2100"/>
        <w:gridCol w:w="7250"/>
      </w:tblGrid>
      <w:tr>
        <w:trPr>
          <w:tblHeader/>
        </w:trPr>
        <w:tc>
          <w:tcPr>
            <w:tcW w:type="dxa" w:w="210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5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de uso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&lt;header&gt;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Agrupa a identidade do sistema (marca ParkFlow) e a navegação principal. Corresponde ao landmark banner e aparece uma única vez, fora de &lt;main&gt;.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&lt;nav&gt;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Envolve a lista de links de navegação interna ("Registrar entrada", "Painel de vagas"), com aria-label próprio para diferenciá-lo caso outras &lt;nav&gt; sejam adicionadas no futuro.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&lt;main&gt;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Delimita o conteúdo principal e exclusivo da página (formulário e painel de vagas), servindo de destino do link de pular navegação (skip link).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&lt;section&gt;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Usado para blocos de conteúdo com identidade própria e título — o formulário de cadastro (#cadastro) e o painel de vagas (#painel-vagas) — cada um associado a um &lt;h2&gt; via aria-labelledby.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&lt;aside&gt;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Envolve o resumo do pátio (total, livres, ocupadas): é um conteúdo complementar ao fluxo principal, não essencial à tarefa de cadastro, o que justifica o uso do landmark complementary.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&lt;footer&gt;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Agrupa informações finais de rodapé (identificação do sistema e aviso sobre persistência dos dados), correspondendo ao landmark contentinfo.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E2124"/>
        </w:rPr>
        <w:t xml:space="preserve">2. Formulário de cadastro</w:t>
      </w:r>
    </w:p>
    <w:p>
      <w:pPr>
        <w:spacing w:after="160"/>
      </w:pPr>
      <w:r>
        <w:t xml:space="preserve">O cadastro de entrada de veículos é o principal ponto de interação da página, por isso recebeu atenção especial quanto à semântica de formulários.</w:t>
      </w:r>
    </w:p>
    <w:tbl>
      <w:tblPr>
        <w:tblW w:type="dxa" w:w="9350"/>
        <w:tblBorders>
          <w:top w:val="single" w:color="D8DBDF" w:sz="4"/>
          <w:left w:val="single" w:color="D8DBDF" w:sz="4"/>
          <w:bottom w:val="single" w:color="D8DBDF" w:sz="4"/>
          <w:right w:val="single" w:color="D8DBDF" w:sz="4"/>
          <w:insideH w:val="single" w:color="D8DBDF" w:sz="4"/>
          <w:insideV w:val="single" w:color="D8DBDF" w:sz="4"/>
        </w:tblBorders>
      </w:tblPr>
      <w:tblGrid>
        <w:gridCol w:w="2100"/>
        <w:gridCol w:w="7250"/>
      </w:tblGrid>
      <w:tr>
        <w:trPr>
          <w:tblHeader/>
        </w:trPr>
        <w:tc>
          <w:tcPr>
            <w:tcW w:type="dxa" w:w="210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5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de uso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&lt;form&gt;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Define o formulário de forma nativa, permitindo submissão, validação e reset (reset) tratados pelo navegador e por JavaScript, em vez de simular esse comportamento com &lt;div&gt; e botões genéricos.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&lt;fieldset&gt; / &lt;legend&gt;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Agrupam campos relacionados ("Dados do veículo" e "Vaga e condutor"). O &lt;legend&gt; é lido por leitores de tela antes de cada campo do grupo, dando contexto adicional (ex.: "Dados do veículo, Placa").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&lt;label for=""&gt;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Associa explicitamente cada rótulo ao seu campo, essencial para que leitores de tela anunciem o nome do campo e para que um toque/clique no rótulo foque o campo — importante também em telas pequenas.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&lt;select&gt;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Usado para "Tipo de veículo" e "Vaga disponível", pois representa uma escolha entre um conjunto fechado e conhecido de opções, evitando erros de digitação que um &lt;input&gt; livre permitiria.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&lt;abbr title="obrigatório"&gt;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Indica visualmente o asterisco de campo obrigatório com um texto alternativo acessível ao passar o cursor, complementado por texto oculto (.sr-only) para leitores de tela.</w:t>
            </w:r>
          </w:p>
        </w:tc>
      </w:tr>
    </w:tbl>
    <w:p>
      <w:pPr>
        <w:spacing w:after="160"/>
      </w:pPr>
      <w:r>
        <w:t xml:space="preserve">Os atributos required, aria-required e pattern reforçam a validação nativa do HTML5 (placa no padrão Mercosul), e aria-describedby liga cada campo à sua dica de preenchimento, sem necessidade de JavaScript para comunicar essas relações.</w:t>
      </w:r>
    </w:p>
    <w:p>
      <w:pPr>
        <w:pStyle w:val="Heading1"/>
        <w:spacing w:after="160" w:before="240"/>
      </w:pPr>
      <w:r>
        <w:rPr>
          <w:b/>
          <w:bCs/>
          <w:color w:val="1E2124"/>
        </w:rPr>
        <w:t xml:space="preserve">3. Visualização de dados: tabela e resumo</w:t>
      </w:r>
    </w:p>
    <w:tbl>
      <w:tblPr>
        <w:tblW w:type="dxa" w:w="9350"/>
        <w:tblBorders>
          <w:top w:val="single" w:color="D8DBDF" w:sz="4"/>
          <w:left w:val="single" w:color="D8DBDF" w:sz="4"/>
          <w:bottom w:val="single" w:color="D8DBDF" w:sz="4"/>
          <w:right w:val="single" w:color="D8DBDF" w:sz="4"/>
          <w:insideH w:val="single" w:color="D8DBDF" w:sz="4"/>
          <w:insideV w:val="single" w:color="D8DBDF" w:sz="4"/>
        </w:tblBorders>
      </w:tblPr>
      <w:tblGrid>
        <w:gridCol w:w="2100"/>
        <w:gridCol w:w="7250"/>
      </w:tblGrid>
      <w:tr>
        <w:trPr>
          <w:tblHeader/>
        </w:trPr>
        <w:tc>
          <w:tcPr>
            <w:tcW w:type="dxa" w:w="210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250"/>
            <w:shd w:fill="1E21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Justificativa de uso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&lt;table&gt; / &lt;caption&gt;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tabela é a estrutura correta para dados tabulares (uma vaga por linha, atributos por coluna). O &lt;caption&gt;, oculto visualmente mas lido por leitores de tela, descreve o propósito da tabela.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&lt;thead&gt; / &lt;tbody&gt;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Separam o cabeçalho fixo (sticky) do corpo dinâmico da tabela, que é reconstruído via JavaScript a cada cadastro ou saída de veículo.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&lt;th scope="col"&gt;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Declara explicitamente que cada cabeçalho se refere à sua coluna, permitindo que leitores de tela anunciem "Placa: RJU4G21" ao navegar célula a célula, em vez de apenas o valor "RJU4G21".</w:t>
            </w:r>
          </w:p>
        </w:tc>
      </w:tr>
      <w:t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&lt;dl&gt; / &lt;dt&gt; / &lt;dd&gt;</w:t>
            </w:r>
          </w:p>
        </w:tc>
        <w:tc>
          <w:tcPr>
            <w:tcW w:type="dxa" w:w="7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painel de resumo, cada par termo–valor ("Vagas livres" — "8") é uma lista de descrição, semântica mais adequada do que &lt;div&gt; genéricas para dados de rótulo/valor.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1E2124"/>
        </w:rPr>
        <w:t xml:space="preserve">4. Recursos complementares de acessibilidade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Skip link — </w:t>
      </w:r>
      <w:r>
        <w:t xml:space="preserve">Link de pular navegação (skip link) direcionado a #conteudo-principal, visível apenas ao receber foco pelo teclado.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Mensagens de status — </w:t>
      </w:r>
      <w:r>
        <w:t xml:space="preserve">role="status" com aria-live="polite" na mensagem de confirmação, para que leitores de tela anunciem automaticamente o resultado de cada cadastro ou saída registrada, sem interromper o fluxo de leitura.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Status por cor e texto — </w:t>
      </w:r>
      <w:r>
        <w:t xml:space="preserve">Indicadores de vaga livre/ocupada combinam cor e texto ("Livre" / "Ocupada"), evitando depender apenas da cor para transmitir a informação, o que beneficia usuários com daltonismo.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Foco de teclado — </w:t>
      </w:r>
      <w:r>
        <w:t xml:space="preserve">Estilo :focus-visible aplicado a todos os elementos interativos, garantindo indicação clara do foco do teclado em toda a página.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Movimento reduzido — </w:t>
      </w:r>
      <w:r>
        <w:t xml:space="preserve">Consulta prefers-reduced-motion desativa transições e a rolagem suave para usuários que configuraram o sistema para reduzir animações.</w:t>
      </w:r>
    </w:p>
    <w:p>
      <w:pPr>
        <w:pStyle w:val="Heading1"/>
        <w:spacing w:after="160" w:before="240"/>
      </w:pPr>
      <w:r>
        <w:rPr>
          <w:b/>
          <w:bCs/>
          <w:color w:val="1E2124"/>
        </w:rPr>
        <w:t xml:space="preserve">5. Considerações finais</w:t>
      </w:r>
    </w:p>
    <w:p>
      <w:pPr>
        <w:spacing w:after="160"/>
      </w:pPr>
      <w:r>
        <w:t xml:space="preserve">A escolha de cada elemento semântico buscou refletir o significado do conteúdo — e não apenas sua aparência — priorizando: (a) navegação por landmarks para usuários de tecnologia assistiva; (b) associação explícita entre rótulos, campos e mensagens de ajuda no formulário; e (c) marcação tabular correta para os dados de ocupação das vagas. Como resultado, a interface permanece compreensível e operável mesmo sem a folha de estilos (CSS), o que é um indicativo prático de que a estrutura HTML está semanticamente coerente.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2026-08-08T16:54:00.149Z</dcterms:created>
  <dcterms:modified xsi:type="dcterms:W3CDTF">2026-08-08T16:54:00.167Z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