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color w:val="045577"/>
          <w:sz w:val="20"/>
        </w:rPr>
        <w:t>TRI CITIES ROP WORKSHOP 2</w:t>
      </w:r>
    </w:p>
    <w:p>
      <w:pPr>
        <w:jc w:val="center"/>
      </w:pPr>
      <w:r>
        <w:rPr>
          <w:rFonts w:ascii="Verdana" w:hAnsi="Verdana"/>
          <w:b/>
          <w:color w:val="A02383"/>
          <w:sz w:val="50"/>
        </w:rPr>
        <w:t>GOOGLE AI FOR EDUCATORS</w:t>
      </w:r>
    </w:p>
    <w:p>
      <w:pPr>
        <w:jc w:val="center"/>
      </w:pPr>
      <w:r>
        <w:rPr>
          <w:rFonts w:ascii="Verdana" w:hAnsi="Verdana"/>
          <w:b/>
          <w:color w:val="045577"/>
          <w:sz w:val="24"/>
        </w:rPr>
        <w:t>Gemini, NotebookLM &amp; the Workspace Toolkit</w:t>
      </w:r>
    </w:p>
    <w:p>
      <w:pPr>
        <w:jc w:val="center"/>
      </w:pPr>
      <w:r>
        <w:rPr>
          <w:rFonts w:ascii="Verdana" w:hAnsi="Verdana"/>
          <w:color w:val="555555"/>
          <w:sz w:val="19"/>
        </w:rPr>
        <w:t>60 Minute Facilitator Guide | Eduvators | October 2026</w:t>
      </w:r>
    </w:p>
    <w:p>
      <w:pPr>
        <w:shd w:fill="E8F3F4"/>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045577"/>
          <w:sz w:val="21"/>
        </w:rPr>
        <w:t>Hands on, practical, source grounded, accessible, and focused on one real faculty workflow.</w:t>
      </w:r>
    </w:p>
    <w:p/>
    <w:p>
      <w:pPr>
        <w:pStyle w:val="Heading2"/>
      </w:pPr>
      <w:r>
        <w:t>Workshop Finish Line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45577"/>
            <w:tcMar>
              <w:top w:w="90" w:type="dxa"/>
              <w:start w:w="100" w:type="dxa"/>
              <w:bottom w:w="90" w:type="dxa"/>
              <w:end w:w="100" w:type="dxa"/>
            </w:tcMar>
            <w:vAlign w:val="center"/>
          </w:tcPr>
          <w:p>
            <w:r>
              <w:rPr>
                <w:rFonts w:ascii="Verdana" w:hAnsi="Verdana"/>
                <w:b/>
                <w:color w:val="FFFFFF"/>
                <w:sz w:val="18"/>
              </w:rPr>
              <w:t>Participants Leave With</w:t>
            </w:r>
          </w:p>
        </w:tc>
        <w:tc>
          <w:tcPr>
            <w:tcW w:type="dxa" w:w="5227"/>
            <w:shd w:fill="045577"/>
            <w:tcMar>
              <w:top w:w="90" w:type="dxa"/>
              <w:start w:w="100" w:type="dxa"/>
              <w:bottom w:w="90" w:type="dxa"/>
              <w:end w:w="100" w:type="dxa"/>
            </w:tcMar>
            <w:vAlign w:val="center"/>
          </w:tcPr>
          <w:p>
            <w:r>
              <w:rPr>
                <w:rFonts w:ascii="Verdana" w:hAnsi="Verdana"/>
                <w:b/>
                <w:color w:val="FFFFFF"/>
                <w:sz w:val="18"/>
              </w:rPr>
              <w:t>Evidence</w:t>
            </w:r>
          </w:p>
        </w:tc>
      </w:tr>
      <w:tr>
        <w:tc>
          <w:tcPr>
            <w:tcW w:type="dxa" w:w="5227"/>
            <w:tcMar>
              <w:top w:w="90" w:type="dxa"/>
              <w:start w:w="100" w:type="dxa"/>
              <w:bottom w:w="90" w:type="dxa"/>
              <w:end w:w="100" w:type="dxa"/>
            </w:tcMar>
            <w:vAlign w:val="top"/>
          </w:tcPr>
          <w:p>
            <w:r>
              <w:rPr>
                <w:rFonts w:ascii="Verdana" w:hAnsi="Verdana"/>
                <w:sz w:val="18"/>
              </w:rPr>
              <w:t>One useful draft</w:t>
            </w:r>
          </w:p>
        </w:tc>
        <w:tc>
          <w:tcPr>
            <w:tcW w:type="dxa" w:w="5227"/>
            <w:tcMar>
              <w:top w:w="90" w:type="dxa"/>
              <w:start w:w="100" w:type="dxa"/>
              <w:bottom w:w="90" w:type="dxa"/>
              <w:end w:w="100" w:type="dxa"/>
            </w:tcMar>
            <w:vAlign w:val="top"/>
          </w:tcPr>
          <w:p>
            <w:r>
              <w:rPr>
                <w:rFonts w:ascii="Verdana" w:hAnsi="Verdana"/>
                <w:sz w:val="18"/>
              </w:rPr>
              <w:t>A communication, study support, activity, Workspace improvement, or reusable AI assistant concept.</w:t>
            </w:r>
          </w:p>
        </w:tc>
      </w:tr>
      <w:tr>
        <w:tc>
          <w:tcPr>
            <w:tcW w:type="dxa" w:w="5227"/>
            <w:tcMar>
              <w:top w:w="90" w:type="dxa"/>
              <w:start w:w="100" w:type="dxa"/>
              <w:bottom w:w="90" w:type="dxa"/>
              <w:end w:w="100" w:type="dxa"/>
            </w:tcMar>
            <w:shd w:fill="F8F8F8"/>
            <w:vAlign w:val="top"/>
          </w:tcPr>
          <w:p>
            <w:r>
              <w:rPr>
                <w:rFonts w:ascii="Verdana" w:hAnsi="Verdana"/>
                <w:sz w:val="18"/>
              </w:rPr>
              <w:t>One better workflow</w:t>
            </w:r>
          </w:p>
        </w:tc>
        <w:tc>
          <w:tcPr>
            <w:tcW w:type="dxa" w:w="5227"/>
            <w:tcMar>
              <w:top w:w="90" w:type="dxa"/>
              <w:start w:w="100" w:type="dxa"/>
              <w:bottom w:w="90" w:type="dxa"/>
              <w:end w:w="100" w:type="dxa"/>
            </w:tcMar>
            <w:shd w:fill="F8F8F8"/>
            <w:vAlign w:val="top"/>
          </w:tcPr>
          <w:p>
            <w:r>
              <w:rPr>
                <w:rFonts w:ascii="Verdana" w:hAnsi="Verdana"/>
                <w:sz w:val="18"/>
              </w:rPr>
              <w:t>They can explain when Gemini, NotebookLM, or Workspace is the better fit.</w:t>
            </w:r>
          </w:p>
        </w:tc>
      </w:tr>
      <w:tr>
        <w:tc>
          <w:tcPr>
            <w:tcW w:type="dxa" w:w="5227"/>
            <w:tcMar>
              <w:top w:w="90" w:type="dxa"/>
              <w:start w:w="100" w:type="dxa"/>
              <w:bottom w:w="90" w:type="dxa"/>
              <w:end w:w="100" w:type="dxa"/>
            </w:tcMar>
            <w:vAlign w:val="top"/>
          </w:tcPr>
          <w:p>
            <w:r>
              <w:rPr>
                <w:rFonts w:ascii="Verdana" w:hAnsi="Verdana"/>
                <w:sz w:val="18"/>
              </w:rPr>
              <w:t>One review habit</w:t>
            </w:r>
          </w:p>
        </w:tc>
        <w:tc>
          <w:tcPr>
            <w:tcW w:type="dxa" w:w="5227"/>
            <w:tcMar>
              <w:top w:w="90" w:type="dxa"/>
              <w:start w:w="100" w:type="dxa"/>
              <w:bottom w:w="90" w:type="dxa"/>
              <w:end w:w="100" w:type="dxa"/>
            </w:tcMar>
            <w:vAlign w:val="top"/>
          </w:tcPr>
          <w:p>
            <w:r>
              <w:rPr>
                <w:rFonts w:ascii="Verdana" w:hAnsi="Verdana"/>
                <w:sz w:val="18"/>
              </w:rPr>
              <w:t>They verify sources, privacy, accessibility, bias, and human approval before sharing.</w:t>
            </w:r>
          </w:p>
        </w:tc>
      </w:tr>
      <w:tr>
        <w:tc>
          <w:tcPr>
            <w:tcW w:type="dxa" w:w="5227"/>
            <w:tcMar>
              <w:top w:w="90" w:type="dxa"/>
              <w:start w:w="100" w:type="dxa"/>
              <w:bottom w:w="90" w:type="dxa"/>
              <w:end w:w="100" w:type="dxa"/>
            </w:tcMar>
            <w:shd w:fill="F8F8F8"/>
            <w:vAlign w:val="top"/>
          </w:tcPr>
          <w:p>
            <w:r>
              <w:rPr>
                <w:rFonts w:ascii="Verdana" w:hAnsi="Verdana"/>
                <w:sz w:val="18"/>
              </w:rPr>
              <w:t>One action step</w:t>
            </w:r>
          </w:p>
        </w:tc>
        <w:tc>
          <w:tcPr>
            <w:tcW w:type="dxa" w:w="5227"/>
            <w:tcMar>
              <w:top w:w="90" w:type="dxa"/>
              <w:start w:w="100" w:type="dxa"/>
              <w:bottom w:w="90" w:type="dxa"/>
              <w:end w:w="100" w:type="dxa"/>
            </w:tcMar>
            <w:shd w:fill="F8F8F8"/>
            <w:vAlign w:val="top"/>
          </w:tcPr>
          <w:p>
            <w:r>
              <w:rPr>
                <w:rFonts w:ascii="Verdana" w:hAnsi="Verdana"/>
                <w:sz w:val="18"/>
              </w:rPr>
              <w:t>A 7 day next step and a 30 day implementation goal.</w:t>
            </w:r>
          </w:p>
        </w:tc>
      </w:tr>
    </w:tbl>
    <w:p/>
    <w:p>
      <w:pPr>
        <w:pStyle w:val="Heading2"/>
      </w:pPr>
      <w:r>
        <w:t>Materials to Prepare</w:t>
      </w:r>
    </w:p>
    <w:p>
      <w:pPr>
        <w:pStyle w:val="ListBullet"/>
        <w:spacing w:after="60"/>
      </w:pPr>
      <w:r>
        <w:t>Participant Packet: Companion Guide, Faculty Action Plan, Tiered Prompt Playbook, and Practice Cards.</w:t>
      </w:r>
    </w:p>
    <w:p>
      <w:pPr>
        <w:pStyle w:val="ListBullet"/>
        <w:spacing w:after="60"/>
      </w:pPr>
      <w:r>
        <w:t>One verified Tri Cities ROP program brief for the live demo.</w:t>
      </w:r>
    </w:p>
    <w:p>
      <w:pPr>
        <w:pStyle w:val="ListBullet"/>
        <w:spacing w:after="60"/>
      </w:pPr>
      <w:r>
        <w:t>One short source set for NotebookLM, such as a program page, course outline, handbook excerpt, or standards document.</w:t>
      </w:r>
    </w:p>
    <w:p>
      <w:pPr>
        <w:pStyle w:val="ListBullet"/>
        <w:spacing w:after="60"/>
      </w:pPr>
      <w:r>
        <w:t>A Google account with Gemini and NotebookLM access for the live demonstration.</w:t>
      </w:r>
    </w:p>
    <w:p>
      <w:pPr>
        <w:pStyle w:val="ListBullet"/>
        <w:spacing w:after="60"/>
      </w:pPr>
      <w:r>
        <w:t>Optional: a Workspace account with Gemini enabled in Docs, Slides, Sheets, or Gmail.</w:t>
      </w:r>
    </w:p>
    <w:p>
      <w:pPr>
        <w:pStyle w:val="ListBullet"/>
        <w:spacing w:after="60"/>
      </w:pPr>
      <w:r>
        <w:t>QR codes or short links to Gemini, NotebookLM, and the workshop folder.</w:t>
      </w:r>
    </w:p>
    <w:p>
      <w:r>
        <w:br w:type="page"/>
      </w:r>
    </w:p>
    <w:p>
      <w:pPr>
        <w:pStyle w:val="Heading1"/>
      </w:pPr>
      <w:r>
        <w:t>60 Minute Run of Show</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045577"/>
            <w:tcMar>
              <w:top w:w="90" w:type="dxa"/>
              <w:start w:w="100" w:type="dxa"/>
              <w:bottom w:w="90" w:type="dxa"/>
              <w:end w:w="100" w:type="dxa"/>
            </w:tcMar>
            <w:vAlign w:val="center"/>
          </w:tcPr>
          <w:p>
            <w:r>
              <w:rPr>
                <w:rFonts w:ascii="Verdana" w:hAnsi="Verdana"/>
                <w:b/>
                <w:color w:val="FFFFFF"/>
                <w:sz w:val="18"/>
              </w:rPr>
              <w:t>Time</w:t>
            </w:r>
          </w:p>
        </w:tc>
        <w:tc>
          <w:tcPr>
            <w:tcW w:type="dxa" w:w="3485"/>
            <w:shd w:fill="045577"/>
            <w:tcMar>
              <w:top w:w="90" w:type="dxa"/>
              <w:start w:w="100" w:type="dxa"/>
              <w:bottom w:w="90" w:type="dxa"/>
              <w:end w:w="100" w:type="dxa"/>
            </w:tcMar>
            <w:vAlign w:val="center"/>
          </w:tcPr>
          <w:p>
            <w:r>
              <w:rPr>
                <w:rFonts w:ascii="Verdana" w:hAnsi="Verdana"/>
                <w:b/>
                <w:color w:val="FFFFFF"/>
                <w:sz w:val="18"/>
              </w:rPr>
              <w:t>Focus</w:t>
            </w:r>
          </w:p>
        </w:tc>
        <w:tc>
          <w:tcPr>
            <w:tcW w:type="dxa" w:w="3485"/>
            <w:shd w:fill="045577"/>
            <w:tcMar>
              <w:top w:w="90" w:type="dxa"/>
              <w:start w:w="100" w:type="dxa"/>
              <w:bottom w:w="90" w:type="dxa"/>
              <w:end w:w="100" w:type="dxa"/>
            </w:tcMar>
            <w:vAlign w:val="center"/>
          </w:tcPr>
          <w:p>
            <w:r>
              <w:rPr>
                <w:rFonts w:ascii="Verdana" w:hAnsi="Verdana"/>
                <w:b/>
                <w:color w:val="FFFFFF"/>
                <w:sz w:val="18"/>
              </w:rPr>
              <w:t>Participant Output</w:t>
            </w:r>
          </w:p>
        </w:tc>
      </w:tr>
      <w:tr>
        <w:tc>
          <w:tcPr>
            <w:tcW w:type="dxa" w:w="3485"/>
            <w:tcMar>
              <w:top w:w="90" w:type="dxa"/>
              <w:start w:w="100" w:type="dxa"/>
              <w:bottom w:w="90" w:type="dxa"/>
              <w:end w:w="100" w:type="dxa"/>
            </w:tcMar>
            <w:vAlign w:val="top"/>
          </w:tcPr>
          <w:p>
            <w:r>
              <w:rPr>
                <w:rFonts w:ascii="Verdana" w:hAnsi="Verdana"/>
                <w:sz w:val="18"/>
              </w:rPr>
              <w:t>00 to 05</w:t>
            </w:r>
          </w:p>
        </w:tc>
        <w:tc>
          <w:tcPr>
            <w:tcW w:type="dxa" w:w="3485"/>
            <w:tcMar>
              <w:top w:w="90" w:type="dxa"/>
              <w:start w:w="100" w:type="dxa"/>
              <w:bottom w:w="90" w:type="dxa"/>
              <w:end w:w="100" w:type="dxa"/>
            </w:tcMar>
            <w:vAlign w:val="top"/>
          </w:tcPr>
          <w:p>
            <w:r>
              <w:rPr>
                <w:rFonts w:ascii="Verdana" w:hAnsi="Verdana"/>
                <w:sz w:val="18"/>
              </w:rPr>
              <w:t>Welcome, purpose, and finish line</w:t>
            </w:r>
          </w:p>
        </w:tc>
        <w:tc>
          <w:tcPr>
            <w:tcW w:type="dxa" w:w="3485"/>
            <w:tcMar>
              <w:top w:w="90" w:type="dxa"/>
              <w:start w:w="100" w:type="dxa"/>
              <w:bottom w:w="90" w:type="dxa"/>
              <w:end w:w="100" w:type="dxa"/>
            </w:tcMar>
            <w:vAlign w:val="top"/>
          </w:tcPr>
          <w:p>
            <w:r>
              <w:rPr>
                <w:rFonts w:ascii="Verdana" w:hAnsi="Verdana"/>
                <w:sz w:val="18"/>
              </w:rPr>
              <w:t>Choose one real faculty task.</w:t>
            </w:r>
          </w:p>
        </w:tc>
      </w:tr>
      <w:tr>
        <w:tc>
          <w:tcPr>
            <w:tcW w:type="dxa" w:w="3485"/>
            <w:tcMar>
              <w:top w:w="90" w:type="dxa"/>
              <w:start w:w="100" w:type="dxa"/>
              <w:bottom w:w="90" w:type="dxa"/>
              <w:end w:w="100" w:type="dxa"/>
            </w:tcMar>
            <w:shd w:fill="F8F8F8"/>
            <w:vAlign w:val="top"/>
          </w:tcPr>
          <w:p>
            <w:r>
              <w:rPr>
                <w:rFonts w:ascii="Verdana" w:hAnsi="Verdana"/>
                <w:sz w:val="18"/>
              </w:rPr>
              <w:t>05 to 15</w:t>
            </w:r>
          </w:p>
        </w:tc>
        <w:tc>
          <w:tcPr>
            <w:tcW w:type="dxa" w:w="3485"/>
            <w:tcMar>
              <w:top w:w="90" w:type="dxa"/>
              <w:start w:w="100" w:type="dxa"/>
              <w:bottom w:w="90" w:type="dxa"/>
              <w:end w:w="100" w:type="dxa"/>
            </w:tcMar>
            <w:shd w:fill="F8F8F8"/>
            <w:vAlign w:val="top"/>
          </w:tcPr>
          <w:p>
            <w:r>
              <w:rPr>
                <w:rFonts w:ascii="Verdana" w:hAnsi="Verdana"/>
                <w:sz w:val="18"/>
              </w:rPr>
              <w:t>Gemini: from verified brief to useful content</w:t>
            </w:r>
          </w:p>
        </w:tc>
        <w:tc>
          <w:tcPr>
            <w:tcW w:type="dxa" w:w="3485"/>
            <w:tcMar>
              <w:top w:w="90" w:type="dxa"/>
              <w:start w:w="100" w:type="dxa"/>
              <w:bottom w:w="90" w:type="dxa"/>
              <w:end w:w="100" w:type="dxa"/>
            </w:tcMar>
            <w:shd w:fill="F8F8F8"/>
            <w:vAlign w:val="top"/>
          </w:tcPr>
          <w:p>
            <w:r>
              <w:rPr>
                <w:rFonts w:ascii="Verdana" w:hAnsi="Verdana"/>
                <w:sz w:val="18"/>
              </w:rPr>
              <w:t>One draft plus one human revision.</w:t>
            </w:r>
          </w:p>
        </w:tc>
      </w:tr>
      <w:tr>
        <w:tc>
          <w:tcPr>
            <w:tcW w:type="dxa" w:w="3485"/>
            <w:tcMar>
              <w:top w:w="90" w:type="dxa"/>
              <w:start w:w="100" w:type="dxa"/>
              <w:bottom w:w="90" w:type="dxa"/>
              <w:end w:w="100" w:type="dxa"/>
            </w:tcMar>
            <w:vAlign w:val="top"/>
          </w:tcPr>
          <w:p>
            <w:r>
              <w:rPr>
                <w:rFonts w:ascii="Verdana" w:hAnsi="Verdana"/>
                <w:sz w:val="18"/>
              </w:rPr>
              <w:t>15 to 25</w:t>
            </w:r>
          </w:p>
        </w:tc>
        <w:tc>
          <w:tcPr>
            <w:tcW w:type="dxa" w:w="3485"/>
            <w:tcMar>
              <w:top w:w="90" w:type="dxa"/>
              <w:start w:w="100" w:type="dxa"/>
              <w:bottom w:w="90" w:type="dxa"/>
              <w:end w:w="100" w:type="dxa"/>
            </w:tcMar>
            <w:vAlign w:val="top"/>
          </w:tcPr>
          <w:p>
            <w:r>
              <w:rPr>
                <w:rFonts w:ascii="Verdana" w:hAnsi="Verdana"/>
                <w:sz w:val="18"/>
              </w:rPr>
              <w:t>Reusable Gemini: Gems and repeatable instructions</w:t>
            </w:r>
          </w:p>
        </w:tc>
        <w:tc>
          <w:tcPr>
            <w:tcW w:type="dxa" w:w="3485"/>
            <w:tcMar>
              <w:top w:w="90" w:type="dxa"/>
              <w:start w:w="100" w:type="dxa"/>
              <w:bottom w:w="90" w:type="dxa"/>
              <w:end w:w="100" w:type="dxa"/>
            </w:tcMar>
            <w:vAlign w:val="top"/>
          </w:tcPr>
          <w:p>
            <w:r>
              <w:rPr>
                <w:rFonts w:ascii="Verdana" w:hAnsi="Verdana"/>
                <w:sz w:val="18"/>
              </w:rPr>
              <w:t>A Gem concept or instruction set.</w:t>
            </w:r>
          </w:p>
        </w:tc>
      </w:tr>
      <w:tr>
        <w:tc>
          <w:tcPr>
            <w:tcW w:type="dxa" w:w="3485"/>
            <w:tcMar>
              <w:top w:w="90" w:type="dxa"/>
              <w:start w:w="100" w:type="dxa"/>
              <w:bottom w:w="90" w:type="dxa"/>
              <w:end w:w="100" w:type="dxa"/>
            </w:tcMar>
            <w:shd w:fill="F8F8F8"/>
            <w:vAlign w:val="top"/>
          </w:tcPr>
          <w:p>
            <w:r>
              <w:rPr>
                <w:rFonts w:ascii="Verdana" w:hAnsi="Verdana"/>
                <w:sz w:val="18"/>
              </w:rPr>
              <w:t>25 to 40</w:t>
            </w:r>
          </w:p>
        </w:tc>
        <w:tc>
          <w:tcPr>
            <w:tcW w:type="dxa" w:w="3485"/>
            <w:tcMar>
              <w:top w:w="90" w:type="dxa"/>
              <w:start w:w="100" w:type="dxa"/>
              <w:bottom w:w="90" w:type="dxa"/>
              <w:end w:w="100" w:type="dxa"/>
            </w:tcMar>
            <w:shd w:fill="F8F8F8"/>
            <w:vAlign w:val="top"/>
          </w:tcPr>
          <w:p>
            <w:r>
              <w:rPr>
                <w:rFonts w:ascii="Verdana" w:hAnsi="Verdana"/>
                <w:sz w:val="18"/>
              </w:rPr>
              <w:t>NotebookLM: grounded course and program resources</w:t>
            </w:r>
          </w:p>
        </w:tc>
        <w:tc>
          <w:tcPr>
            <w:tcW w:type="dxa" w:w="3485"/>
            <w:tcMar>
              <w:top w:w="90" w:type="dxa"/>
              <w:start w:w="100" w:type="dxa"/>
              <w:bottom w:w="90" w:type="dxa"/>
              <w:end w:w="100" w:type="dxa"/>
            </w:tcMar>
            <w:shd w:fill="F8F8F8"/>
            <w:vAlign w:val="top"/>
          </w:tcPr>
          <w:p>
            <w:r>
              <w:rPr>
                <w:rFonts w:ascii="Verdana" w:hAnsi="Verdana"/>
                <w:sz w:val="18"/>
              </w:rPr>
              <w:t>A study guide, FAQ, comparison, or review set.</w:t>
            </w:r>
          </w:p>
        </w:tc>
      </w:tr>
      <w:tr>
        <w:tc>
          <w:tcPr>
            <w:tcW w:type="dxa" w:w="3485"/>
            <w:tcMar>
              <w:top w:w="90" w:type="dxa"/>
              <w:start w:w="100" w:type="dxa"/>
              <w:bottom w:w="90" w:type="dxa"/>
              <w:end w:w="100" w:type="dxa"/>
            </w:tcMar>
            <w:vAlign w:val="top"/>
          </w:tcPr>
          <w:p>
            <w:r>
              <w:rPr>
                <w:rFonts w:ascii="Verdana" w:hAnsi="Verdana"/>
                <w:sz w:val="18"/>
              </w:rPr>
              <w:t>40 to 52</w:t>
            </w:r>
          </w:p>
        </w:tc>
        <w:tc>
          <w:tcPr>
            <w:tcW w:type="dxa" w:w="3485"/>
            <w:tcMar>
              <w:top w:w="90" w:type="dxa"/>
              <w:start w:w="100" w:type="dxa"/>
              <w:bottom w:w="90" w:type="dxa"/>
              <w:end w:w="100" w:type="dxa"/>
            </w:tcMar>
            <w:vAlign w:val="top"/>
          </w:tcPr>
          <w:p>
            <w:r>
              <w:rPr>
                <w:rFonts w:ascii="Verdana" w:hAnsi="Verdana"/>
                <w:sz w:val="18"/>
              </w:rPr>
              <w:t>Gemini in Workspace: Docs, Slides, Sheets, Gmail</w:t>
            </w:r>
          </w:p>
        </w:tc>
        <w:tc>
          <w:tcPr>
            <w:tcW w:type="dxa" w:w="3485"/>
            <w:tcMar>
              <w:top w:w="90" w:type="dxa"/>
              <w:start w:w="100" w:type="dxa"/>
              <w:bottom w:w="90" w:type="dxa"/>
              <w:end w:w="100" w:type="dxa"/>
            </w:tcMar>
            <w:vAlign w:val="top"/>
          </w:tcPr>
          <w:p>
            <w:r>
              <w:rPr>
                <w:rFonts w:ascii="Verdana" w:hAnsi="Verdana"/>
                <w:sz w:val="18"/>
              </w:rPr>
              <w:t>One improved routine workflow.</w:t>
            </w:r>
          </w:p>
        </w:tc>
      </w:tr>
      <w:tr>
        <w:tc>
          <w:tcPr>
            <w:tcW w:type="dxa" w:w="3485"/>
            <w:tcMar>
              <w:top w:w="90" w:type="dxa"/>
              <w:start w:w="100" w:type="dxa"/>
              <w:bottom w:w="90" w:type="dxa"/>
              <w:end w:w="100" w:type="dxa"/>
            </w:tcMar>
            <w:shd w:fill="F8F8F8"/>
            <w:vAlign w:val="top"/>
          </w:tcPr>
          <w:p>
            <w:r>
              <w:rPr>
                <w:rFonts w:ascii="Verdana" w:hAnsi="Verdana"/>
                <w:sz w:val="18"/>
              </w:rPr>
              <w:t>52 to 58</w:t>
            </w:r>
          </w:p>
        </w:tc>
        <w:tc>
          <w:tcPr>
            <w:tcW w:type="dxa" w:w="3485"/>
            <w:tcMar>
              <w:top w:w="90" w:type="dxa"/>
              <w:start w:w="100" w:type="dxa"/>
              <w:bottom w:w="90" w:type="dxa"/>
              <w:end w:w="100" w:type="dxa"/>
            </w:tcMar>
            <w:shd w:fill="F8F8F8"/>
            <w:vAlign w:val="top"/>
          </w:tcPr>
          <w:p>
            <w:r>
              <w:rPr>
                <w:rFonts w:ascii="Verdana" w:hAnsi="Verdana"/>
                <w:sz w:val="18"/>
              </w:rPr>
              <w:t>Choice practice and responsible AI review</w:t>
            </w:r>
          </w:p>
        </w:tc>
        <w:tc>
          <w:tcPr>
            <w:tcW w:type="dxa" w:w="3485"/>
            <w:tcMar>
              <w:top w:w="90" w:type="dxa"/>
              <w:start w:w="100" w:type="dxa"/>
              <w:bottom w:w="90" w:type="dxa"/>
              <w:end w:w="100" w:type="dxa"/>
            </w:tcMar>
            <w:shd w:fill="F8F8F8"/>
            <w:vAlign w:val="top"/>
          </w:tcPr>
          <w:p>
            <w:r>
              <w:rPr>
                <w:rFonts w:ascii="Verdana" w:hAnsi="Verdana"/>
                <w:sz w:val="18"/>
              </w:rPr>
              <w:t>One refined output or workflow.</w:t>
            </w:r>
          </w:p>
        </w:tc>
      </w:tr>
      <w:tr>
        <w:tc>
          <w:tcPr>
            <w:tcW w:type="dxa" w:w="3485"/>
            <w:tcMar>
              <w:top w:w="90" w:type="dxa"/>
              <w:start w:w="100" w:type="dxa"/>
              <w:bottom w:w="90" w:type="dxa"/>
              <w:end w:w="100" w:type="dxa"/>
            </w:tcMar>
            <w:vAlign w:val="top"/>
          </w:tcPr>
          <w:p>
            <w:r>
              <w:rPr>
                <w:rFonts w:ascii="Verdana" w:hAnsi="Verdana"/>
                <w:sz w:val="18"/>
              </w:rPr>
              <w:t>58 to 60</w:t>
            </w:r>
          </w:p>
        </w:tc>
        <w:tc>
          <w:tcPr>
            <w:tcW w:type="dxa" w:w="3485"/>
            <w:tcMar>
              <w:top w:w="90" w:type="dxa"/>
              <w:start w:w="100" w:type="dxa"/>
              <w:bottom w:w="90" w:type="dxa"/>
              <w:end w:w="100" w:type="dxa"/>
            </w:tcMar>
            <w:vAlign w:val="top"/>
          </w:tcPr>
          <w:p>
            <w:r>
              <w:rPr>
                <w:rFonts w:ascii="Verdana" w:hAnsi="Verdana"/>
                <w:sz w:val="18"/>
              </w:rPr>
              <w:t>Action plan and close</w:t>
            </w:r>
          </w:p>
        </w:tc>
        <w:tc>
          <w:tcPr>
            <w:tcW w:type="dxa" w:w="3485"/>
            <w:tcMar>
              <w:top w:w="90" w:type="dxa"/>
              <w:start w:w="100" w:type="dxa"/>
              <w:bottom w:w="90" w:type="dxa"/>
              <w:end w:w="100" w:type="dxa"/>
            </w:tcMar>
            <w:vAlign w:val="top"/>
          </w:tcPr>
          <w:p>
            <w:r>
              <w:rPr>
                <w:rFonts w:ascii="Verdana" w:hAnsi="Verdana"/>
                <w:sz w:val="18"/>
              </w:rPr>
              <w:t>7 day next step plus 30 day goal.</w:t>
            </w:r>
          </w:p>
        </w:tc>
      </w:tr>
    </w:tbl>
    <w:p/>
    <w:p>
      <w:pPr>
        <w:pStyle w:val="Heading2"/>
      </w:pPr>
      <w:r>
        <w:t>Facilitation Notes</w:t>
      </w:r>
    </w:p>
    <w:p>
      <w:pPr>
        <w:pStyle w:val="ListBullet"/>
        <w:spacing w:after="60"/>
      </w:pPr>
      <w:r>
        <w:t>Keep demos short. The goal is participant use, not a tour of every feature.</w:t>
      </w:r>
    </w:p>
    <w:p>
      <w:pPr>
        <w:pStyle w:val="ListBullet"/>
        <w:spacing w:after="60"/>
      </w:pPr>
      <w:r>
        <w:t>Use one verified program brief across multiple tools so participants see the workflow rather than isolated tricks.</w:t>
      </w:r>
    </w:p>
    <w:p>
      <w:pPr>
        <w:pStyle w:val="ListBullet"/>
        <w:spacing w:after="60"/>
      </w:pPr>
      <w:r>
        <w:t>If a feature is missing in an account, demonstrate the concept and move to the next activity without troubleshooting the license.</w:t>
      </w:r>
    </w:p>
    <w:p>
      <w:pPr>
        <w:pStyle w:val="ListBullet"/>
        <w:spacing w:after="60"/>
      </w:pPr>
      <w:r>
        <w:t>Ask participants to show one human decision they made after the AI response.</w:t>
      </w:r>
    </w:p>
    <w:p>
      <w:pPr>
        <w:pStyle w:val="ListBullet"/>
        <w:spacing w:after="60"/>
      </w:pPr>
      <w:r>
        <w:t>Protect the final eight minutes for practice, review, and the action plan.</w:t>
      </w:r>
    </w:p>
    <w:p>
      <w:r>
        <w:br w:type="page"/>
      </w:r>
    </w:p>
    <w:p>
      <w:pPr>
        <w:pStyle w:val="Heading1"/>
      </w:pPr>
      <w:r>
        <w:t>Demo 1: Gemini</w:t>
      </w:r>
    </w:p>
    <w:p>
      <w:r>
        <w:t>Use a short, verified program brief. Demonstrate how the same information becomes a concise orientation message, FAQ, visual concept, or activity.</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Live Prompt</w:t>
      </w:r>
      <w:r>
        <w:rPr>
          <w:rFonts w:ascii="Verdana" w:hAnsi="Verdana"/>
          <w:sz w:val="19"/>
        </w:rPr>
        <w:br/>
        <w:t>Create a short orientation message for [AUDIENCE] entering [PROGRAM]. Use only the facts below. Keep it welcoming, practical, and under 180 words. Preserve all dates and requirements exactly. Mark missing information [CONFIRM]. Finish with a short accessibility review. Facts: [PASTE VERIFIED BRIEF].</w:t>
      </w:r>
    </w:p>
    <w:p/>
    <w:p>
      <w:pPr>
        <w:pStyle w:val="Heading2"/>
      </w:pPr>
      <w:r>
        <w:t>What to Point Out</w:t>
      </w:r>
    </w:p>
    <w:p>
      <w:pPr>
        <w:pStyle w:val="ListBullet"/>
        <w:spacing w:after="60"/>
      </w:pPr>
      <w:r>
        <w:t>The prompt names the audience, task, source, constraints, and output.</w:t>
      </w:r>
    </w:p>
    <w:p>
      <w:pPr>
        <w:pStyle w:val="ListBullet"/>
        <w:spacing w:after="60"/>
      </w:pPr>
      <w:r>
        <w:t>The AI is told what not to invent.</w:t>
      </w:r>
    </w:p>
    <w:p>
      <w:pPr>
        <w:pStyle w:val="ListBullet"/>
        <w:spacing w:after="60"/>
      </w:pPr>
      <w:r>
        <w:t>The instructor still chooses what to keep, revise, or reject.</w:t>
      </w:r>
    </w:p>
    <w:p>
      <w:pPr>
        <w:pStyle w:val="ListBullet"/>
        <w:spacing w:after="60"/>
      </w:pPr>
      <w:r>
        <w:t>A strong prompt does not replace source verification.</w:t>
      </w:r>
    </w:p>
    <w:p>
      <w:pPr>
        <w:pStyle w:val="Heading2"/>
      </w:pPr>
      <w:r>
        <w:t>Demo 2: Gem</w:t>
      </w:r>
    </w:p>
    <w:p>
      <w:r>
        <w:t>Show how reusable instructions can turn the one time prompt into a repeatable faculty assistant. Keep the demonstration focused on instructions and guardrails rather than customization for its own sake.</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Gem Instruction Starter</w:t>
      </w:r>
      <w:r>
        <w:rPr>
          <w:rFonts w:ascii="Verdana" w:hAnsi="Verdana"/>
          <w:sz w:val="19"/>
        </w:rPr>
        <w:br/>
        <w:t>Support Tri Cities ROP faculty with clear, accurate, accessible student communication. Use only instructor supplied facts or knowledge files. Never invent dates, eligibility, credentials, safety rules, or outcomes. Mark uncertainty [CONFIRM]. Use plain language and descriptive links. End each response with a brief accuracy, privacy, and accessibility check.</w:t>
      </w:r>
    </w:p>
    <w:p/>
    <w:p>
      <w:r>
        <w:br w:type="page"/>
      </w:r>
    </w:p>
    <w:p>
      <w:pPr>
        <w:pStyle w:val="Heading1"/>
      </w:pPr>
      <w:r>
        <w:t>Demo 3: NotebookLM</w:t>
      </w:r>
    </w:p>
    <w:p>
      <w:r>
        <w:t>Create one notebook from a small trusted source set. Ask one question that would be risky to answer from memory alone, then open a source reference or citation.</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Live Prompt</w:t>
      </w:r>
      <w:r>
        <w:rPr>
          <w:rFonts w:ascii="Verdana" w:hAnsi="Verdana"/>
          <w:sz w:val="19"/>
        </w:rPr>
        <w:br/>
        <w:t>Using only the selected sources, create a one page study guide for [TOPIC]. Include 8 key ideas, 6 vocabulary terms, 5 practice questions, and a short section called 'What learners often confuse.' Cite the supporting source for each major section.</w:t>
      </w:r>
    </w:p>
    <w:p/>
    <w:p>
      <w:pPr>
        <w:pStyle w:val="Heading2"/>
      </w:pPr>
      <w:r>
        <w:t>What to Point Out</w:t>
      </w:r>
    </w:p>
    <w:p>
      <w:pPr>
        <w:pStyle w:val="ListBullet"/>
        <w:spacing w:after="60"/>
      </w:pPr>
      <w:r>
        <w:t>NotebookLM is valuable because the task is tied to selected sources.</w:t>
      </w:r>
    </w:p>
    <w:p>
      <w:pPr>
        <w:pStyle w:val="ListBullet"/>
        <w:spacing w:after="60"/>
      </w:pPr>
      <w:r>
        <w:t>Participants should still verify critical details in the original document.</w:t>
      </w:r>
    </w:p>
    <w:p>
      <w:pPr>
        <w:pStyle w:val="ListBullet"/>
        <w:spacing w:after="60"/>
      </w:pPr>
      <w:r>
        <w:t>Source choice matters. A poor source set produces a poor grounded result.</w:t>
      </w:r>
    </w:p>
    <w:p>
      <w:pPr>
        <w:pStyle w:val="ListBullet"/>
        <w:spacing w:after="60"/>
      </w:pPr>
      <w:r>
        <w:t>This is a strong fit for course outlines, policies, manuals, standards, handbooks, and approved program documents.</w:t>
      </w:r>
    </w:p>
    <w:p>
      <w:pPr>
        <w:pStyle w:val="Heading2"/>
      </w:pPr>
      <w:r>
        <w:t>Fast Practice Options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45577"/>
            <w:tcMar>
              <w:top w:w="90" w:type="dxa"/>
              <w:start w:w="100" w:type="dxa"/>
              <w:bottom w:w="90" w:type="dxa"/>
              <w:end w:w="100" w:type="dxa"/>
            </w:tcMar>
            <w:vAlign w:val="center"/>
          </w:tcPr>
          <w:p>
            <w:r>
              <w:rPr>
                <w:rFonts w:ascii="Verdana" w:hAnsi="Verdana"/>
                <w:b/>
                <w:color w:val="FFFFFF"/>
                <w:sz w:val="18"/>
              </w:rPr>
              <w:t>Choose One</w:t>
            </w:r>
          </w:p>
        </w:tc>
        <w:tc>
          <w:tcPr>
            <w:tcW w:type="dxa" w:w="5227"/>
            <w:shd w:fill="045577"/>
            <w:tcMar>
              <w:top w:w="90" w:type="dxa"/>
              <w:start w:w="100" w:type="dxa"/>
              <w:bottom w:w="90" w:type="dxa"/>
              <w:end w:w="100" w:type="dxa"/>
            </w:tcMar>
            <w:vAlign w:val="center"/>
          </w:tcPr>
          <w:p>
            <w:r>
              <w:rPr>
                <w:rFonts w:ascii="Verdana" w:hAnsi="Verdana"/>
                <w:b/>
                <w:color w:val="FFFFFF"/>
                <w:sz w:val="18"/>
              </w:rPr>
              <w:t>Participant Prompt</w:t>
            </w:r>
          </w:p>
        </w:tc>
      </w:tr>
      <w:tr>
        <w:tc>
          <w:tcPr>
            <w:tcW w:type="dxa" w:w="5227"/>
            <w:tcMar>
              <w:top w:w="90" w:type="dxa"/>
              <w:start w:w="100" w:type="dxa"/>
              <w:bottom w:w="90" w:type="dxa"/>
              <w:end w:w="100" w:type="dxa"/>
            </w:tcMar>
            <w:vAlign w:val="top"/>
          </w:tcPr>
          <w:p>
            <w:r>
              <w:rPr>
                <w:rFonts w:ascii="Verdana" w:hAnsi="Verdana"/>
                <w:sz w:val="18"/>
              </w:rPr>
              <w:t>FAQ</w:t>
            </w:r>
          </w:p>
        </w:tc>
        <w:tc>
          <w:tcPr>
            <w:tcW w:type="dxa" w:w="5227"/>
            <w:tcMar>
              <w:top w:w="90" w:type="dxa"/>
              <w:start w:w="100" w:type="dxa"/>
              <w:bottom w:w="90" w:type="dxa"/>
              <w:end w:w="100" w:type="dxa"/>
            </w:tcMar>
            <w:vAlign w:val="top"/>
          </w:tcPr>
          <w:p>
            <w:r>
              <w:rPr>
                <w:rFonts w:ascii="Verdana" w:hAnsi="Verdana"/>
                <w:sz w:val="18"/>
              </w:rPr>
              <w:t>Create six questions and answers a new learner would ask about these materials. Use only the sources.</w:t>
            </w:r>
          </w:p>
        </w:tc>
      </w:tr>
      <w:tr>
        <w:tc>
          <w:tcPr>
            <w:tcW w:type="dxa" w:w="5227"/>
            <w:tcMar>
              <w:top w:w="90" w:type="dxa"/>
              <w:start w:w="100" w:type="dxa"/>
              <w:bottom w:w="90" w:type="dxa"/>
              <w:end w:w="100" w:type="dxa"/>
            </w:tcMar>
            <w:shd w:fill="F8F8F8"/>
            <w:vAlign w:val="top"/>
          </w:tcPr>
          <w:p>
            <w:r>
              <w:rPr>
                <w:rFonts w:ascii="Verdana" w:hAnsi="Verdana"/>
                <w:sz w:val="18"/>
              </w:rPr>
              <w:t>Study Guide</w:t>
            </w:r>
          </w:p>
        </w:tc>
        <w:tc>
          <w:tcPr>
            <w:tcW w:type="dxa" w:w="5227"/>
            <w:tcMar>
              <w:top w:w="90" w:type="dxa"/>
              <w:start w:w="100" w:type="dxa"/>
              <w:bottom w:w="90" w:type="dxa"/>
              <w:end w:w="100" w:type="dxa"/>
            </w:tcMar>
            <w:shd w:fill="F8F8F8"/>
            <w:vAlign w:val="top"/>
          </w:tcPr>
          <w:p>
            <w:r>
              <w:rPr>
                <w:rFonts w:ascii="Verdana" w:hAnsi="Verdana"/>
                <w:sz w:val="18"/>
              </w:rPr>
              <w:t>Create a concise review guide with vocabulary, key ideas, and practice questions.</w:t>
            </w:r>
          </w:p>
        </w:tc>
      </w:tr>
      <w:tr>
        <w:tc>
          <w:tcPr>
            <w:tcW w:type="dxa" w:w="5227"/>
            <w:tcMar>
              <w:top w:w="90" w:type="dxa"/>
              <w:start w:w="100" w:type="dxa"/>
              <w:bottom w:w="90" w:type="dxa"/>
              <w:end w:w="100" w:type="dxa"/>
            </w:tcMar>
            <w:vAlign w:val="top"/>
          </w:tcPr>
          <w:p>
            <w:r>
              <w:rPr>
                <w:rFonts w:ascii="Verdana" w:hAnsi="Verdana"/>
                <w:sz w:val="18"/>
              </w:rPr>
              <w:t>Compare</w:t>
            </w:r>
          </w:p>
        </w:tc>
        <w:tc>
          <w:tcPr>
            <w:tcW w:type="dxa" w:w="5227"/>
            <w:tcMar>
              <w:top w:w="90" w:type="dxa"/>
              <w:start w:w="100" w:type="dxa"/>
              <w:bottom w:w="90" w:type="dxa"/>
              <w:end w:w="100" w:type="dxa"/>
            </w:tcMar>
            <w:vAlign w:val="top"/>
          </w:tcPr>
          <w:p>
            <w:r>
              <w:rPr>
                <w:rFonts w:ascii="Verdana" w:hAnsi="Verdana"/>
                <w:sz w:val="18"/>
              </w:rPr>
              <w:t>Compare these two documents and identify what changed. Cite both sources.</w:t>
            </w:r>
          </w:p>
        </w:tc>
      </w:tr>
      <w:tr>
        <w:tc>
          <w:tcPr>
            <w:tcW w:type="dxa" w:w="5227"/>
            <w:tcMar>
              <w:top w:w="90" w:type="dxa"/>
              <w:start w:w="100" w:type="dxa"/>
              <w:bottom w:w="90" w:type="dxa"/>
              <w:end w:w="100" w:type="dxa"/>
            </w:tcMar>
            <w:shd w:fill="F8F8F8"/>
            <w:vAlign w:val="top"/>
          </w:tcPr>
          <w:p>
            <w:r>
              <w:rPr>
                <w:rFonts w:ascii="Verdana" w:hAnsi="Verdana"/>
                <w:sz w:val="18"/>
              </w:rPr>
              <w:t>Orientation</w:t>
            </w:r>
          </w:p>
        </w:tc>
        <w:tc>
          <w:tcPr>
            <w:tcW w:type="dxa" w:w="5227"/>
            <w:tcMar>
              <w:top w:w="90" w:type="dxa"/>
              <w:start w:w="100" w:type="dxa"/>
              <w:bottom w:w="90" w:type="dxa"/>
              <w:end w:w="100" w:type="dxa"/>
            </w:tcMar>
            <w:shd w:fill="F8F8F8"/>
            <w:vAlign w:val="top"/>
          </w:tcPr>
          <w:p>
            <w:r>
              <w:rPr>
                <w:rFonts w:ascii="Verdana" w:hAnsi="Verdana"/>
                <w:sz w:val="18"/>
              </w:rPr>
              <w:t>Create a one page student orientation using only the selected course materials.</w:t>
            </w:r>
          </w:p>
        </w:tc>
      </w:tr>
    </w:tbl>
    <w:p/>
    <w:p>
      <w:r>
        <w:br w:type="page"/>
      </w:r>
    </w:p>
    <w:p>
      <w:pPr>
        <w:pStyle w:val="Heading1"/>
      </w:pPr>
      <w:r>
        <w:t>Demo 4: Gemini in Workspace</w:t>
      </w:r>
    </w:p>
    <w:p>
      <w:r>
        <w:t>Use the Workspace tool that is most likely to be available. Docs is the safest primary demo. Mention Slides, Sheets, Gmail, Drive, Forms, or Vids as extensions rather than trying to demo all of them.</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Docs Example</w:t>
      </w:r>
      <w:r>
        <w:rPr>
          <w:rFonts w:ascii="Verdana" w:hAnsi="Verdana"/>
          <w:sz w:val="19"/>
        </w:rPr>
        <w:br/>
        <w:t>Rewrite this orientation page for an adult learner audience. Keep all verified dates, requirements, links, and safety language unchanged. Use clear headings, short paragraphs, and a short checklist. Do not add new information.</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Sheets Example</w:t>
      </w:r>
      <w:r>
        <w:rPr>
          <w:rFonts w:ascii="Verdana" w:hAnsi="Verdana"/>
          <w:sz w:val="19"/>
        </w:rPr>
        <w:br/>
        <w:t>Using this anonymized response table, group the comments into 5 themes. Create a two column summary with theme and representative ideas. Do not infer personal characteristics or identify individuals.</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Gmail Example</w:t>
      </w:r>
      <w:r>
        <w:rPr>
          <w:rFonts w:ascii="Verdana" w:hAnsi="Verdana"/>
          <w:sz w:val="19"/>
        </w:rPr>
        <w:br/>
        <w:t>Draft a friendly reminder using the information below. Put the required action first. Keep all dates and links exactly as written. Use a professional, encouraging tone.</w:t>
      </w:r>
    </w:p>
    <w:p/>
    <w:p>
      <w:pPr>
        <w:pStyle w:val="Heading2"/>
      </w:pPr>
      <w:r>
        <w:t>Account Variability Plan</w:t>
      </w:r>
    </w:p>
    <w:p>
      <w:pPr>
        <w:pStyle w:val="ListBullet"/>
        <w:spacing w:after="60"/>
      </w:pPr>
      <w:r>
        <w:t>If Gemini in Workspace is unavailable, paste the same content into Gemini and demonstrate the workflow concept.</w:t>
      </w:r>
    </w:p>
    <w:p>
      <w:pPr>
        <w:pStyle w:val="ListBullet"/>
        <w:spacing w:after="60"/>
      </w:pPr>
      <w:r>
        <w:t>If Gems are unavailable, have participants write reusable instruction text in the packet.</w:t>
      </w:r>
    </w:p>
    <w:p>
      <w:pPr>
        <w:pStyle w:val="ListBullet"/>
        <w:spacing w:after="60"/>
      </w:pPr>
      <w:r>
        <w:t>If NotebookLM source import is limited, use one PDF or copied text source.</w:t>
      </w:r>
    </w:p>
    <w:p>
      <w:pPr>
        <w:pStyle w:val="ListBullet"/>
        <w:spacing w:after="60"/>
      </w:pPr>
      <w:r>
        <w:t>Do not spend workshop time solving account or administrator access issues.</w:t>
      </w:r>
    </w:p>
    <w:p>
      <w:pPr>
        <w:pStyle w:val="Heading2"/>
      </w:pPr>
      <w:r>
        <w:t>Closing Questions</w:t>
      </w:r>
    </w:p>
    <w:p>
      <w:pPr>
        <w:pStyle w:val="ListBullet"/>
        <w:spacing w:after="60"/>
      </w:pPr>
      <w:r>
        <w:t>Which task will you try first this week?</w:t>
      </w:r>
    </w:p>
    <w:p>
      <w:pPr>
        <w:pStyle w:val="ListBullet"/>
        <w:spacing w:after="60"/>
      </w:pPr>
      <w:r>
        <w:t>Which source will you use to keep the AI grounded?</w:t>
      </w:r>
    </w:p>
    <w:p>
      <w:pPr>
        <w:pStyle w:val="ListBullet"/>
        <w:spacing w:after="60"/>
      </w:pPr>
      <w:r>
        <w:t>What must remain a human decision in your workflow?</w:t>
      </w:r>
    </w:p>
    <w:p>
      <w:pPr>
        <w:pStyle w:val="ListBullet"/>
        <w:spacing w:after="60"/>
      </w:pPr>
      <w:r>
        <w:t>What accessibility or privacy check will you build in?</w:t>
      </w:r>
    </w:p>
    <w:p>
      <w:r>
        <w:t>Recommended close: AI is most useful when it supports the expertise already in the room. Start with a real task, give the system reliable context, and keep human judgment visible from beginning to end.</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color w:val="A02383"/>
        <w:sz w:val="17"/>
      </w:rPr>
      <w:t>www.eduvators.net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Verdana" w:hAnsi="Verdana"/>
        <w:b/>
        <w:color w:val="045577"/>
        <w:sz w:val="17"/>
      </w:rPr>
      <w:t>EDUVATORS   |   Launching new dimensions of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Verdana" w:hAnsi="Verdana" w:eastAsia="Verdan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Verdana" w:hAnsi="Verdana" w:eastAsia="Verdana"/>
      <w:b/>
      <w:bCs/>
      <w:color w:val="A0238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Verdana" w:hAnsi="Verdana" w:eastAsia="Verdana"/>
      <w:b/>
      <w:bCs/>
      <w:color w:val="04557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Verdana" w:hAnsi="Verdana" w:eastAsia="Verdana"/>
      <w:b/>
      <w:bCs/>
      <w:color w:val="0455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Verdana" w:hAnsi="Verdana" w:eastAsia="Verdana"/>
      <w:b/>
      <w:color w:val="A0238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pPr>
    <w:rPr>
      <w:rFonts w:ascii="Verdana" w:hAnsi="Verdana" w:eastAsia="Verdana"/>
      <w:b/>
      <w:color w:val="04557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