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Institute Configuration and Operations Framework</w:t>
      </w:r>
    </w:p>
    <w:p>
      <w:pPr>
        <w:pStyle w:val="Subtitle"/>
      </w:pPr>
      <w:r>
        <w:t>Governance configuration and daily work for schools colleges and coaching institutes</w:t>
      </w:r>
    </w:p>
    <w:p>
      <w:r>
        <w:t>Version 2.1  |  Adopted for OmniSchool  |  7 October 2026</w:t>
      </w:r>
    </w:p>
    <w:p>
      <w:pPr>
        <w:pStyle w:val="Heading1"/>
      </w:pPr>
      <w:r>
        <w:t>Changes in version 2.1</w:t>
      </w:r>
    </w:p>
    <w:p>
      <w:r>
        <w:t>Version 2.1 retains the governance model and adds the implementation decisions needed to make it unambiguous in OmniSchool. It reconciles institutional authority with the adopted work-profile access architecture and establishes a minimum-input automation contract for setup and daily work.</w:t>
      </w:r>
    </w:p>
    <w:p>
      <w:pPr>
        <w:pStyle w:val="ListBullet"/>
      </w:pPr>
      <w:r>
        <w:t>Authority sources, offices, bodies, seats, appointments and bounded delegation are explicit.</w:t>
      </w:r>
    </w:p>
    <w:p>
      <w:pPr>
        <w:pStyle w:val="ListBullet"/>
      </w:pPr>
      <w:r>
        <w:t>Governed matters distinguish proposal, recommendation, decision, publication and execution.</w:t>
      </w:r>
    </w:p>
    <w:p>
      <w:pPr>
        <w:pStyle w:val="ListBullet"/>
      </w:pPr>
      <w:r>
        <w:t>Collective procedures preserve eligibility, conflicts, quorum, voting rules and resolution evidence.</w:t>
      </w:r>
    </w:p>
    <w:p>
      <w:pPr>
        <w:pStyle w:val="ListBullet"/>
      </w:pPr>
      <w:r>
        <w:t>Mobile work includes decision papers, permitted participation, implementation tracking and oversight.</w:t>
      </w:r>
    </w:p>
    <w:p>
      <w:pPr>
        <w:pStyle w:val="ListBullet"/>
      </w:pPr>
      <w:r>
        <w:t>Current authority, material versions, external conditions and evidence are checked at the appropriate action boundary.</w:t>
      </w:r>
    </w:p>
    <w:p>
      <w:pPr>
        <w:pStyle w:val="ListBullet"/>
      </w:pPr>
      <w:r>
        <w:t>The original 35 model cases are retained and 24 governance acceptance cases are added.</w:t>
      </w:r>
    </w:p>
    <w:p>
      <w:pPr>
        <w:pStyle w:val="ListBullet"/>
      </w:pPr>
      <w:r>
        <w:t>Work profiles express eligibility; dated responsibility assignments activate technical capability. Neither creates an institutional office, committee seat, vote or reserved decision power.</w:t>
      </w:r>
    </w:p>
    <w:p>
      <w:pPr>
        <w:pStyle w:val="ListBullet"/>
      </w:pPr>
      <w:r>
        <w:t>Users provide only facts the product cannot safely know. The app prepares explainable structures, routes, tasks and defaults and keeps them reviewable.</w:t>
      </w:r>
    </w:p>
    <w:p>
      <w:pPr>
        <w:pStyle w:val="ListBullet"/>
      </w:pPr>
      <w:r>
        <w:t>Automation may draft and recommend. It must not silently create authority, adopt a rule, invent evidence, infer a legal conclusion or report an unaccepted offline action as recorded.</w:t>
      </w:r>
    </w:p>
    <w:p>
      <w:pPr>
        <w:pStyle w:val="ListBullet"/>
      </w:pPr>
      <w:r>
        <w:t>Implementation proceeds from authority sources and appointments to one complete collective decision and bounded execution path before advanced procedures are introduced.</w:t>
      </w:r>
    </w:p>
    <w:p>
      <w:pPr>
        <w:pStyle w:val="Heading1"/>
      </w:pPr>
      <w:r>
        <w:t>Reading guide</w:t>
      </w:r>
    </w:p>
    <w:p>
      <w:r>
        <w:t>Sections 1 to 4 describe the shared model. Sections 5 to 7 cover modules and the two app experiences. Section 8 covers duties and access, and the new section 8A specifies institutional governance and mobile use. Sections 9 to 17 connect these to workflows, history and implementation. Appendix A inventories records, Appendices B and D contain coverage cases, and Appendix C lists sources.</w:t>
      </w:r>
    </w:p>
    <w:p>
      <w:pPr>
        <w:pStyle w:val="Heading1"/>
      </w:pPr>
      <w:r>
        <w:t>Purpose and central decision</w:t>
      </w:r>
    </w:p>
    <w:p>
      <w:r>
        <w:t>Build one institute platform with two clear management experiences: Institute Setup for defining how an institute operates, and Daily Work for carrying out authorised work. Both experiences use one shared institutional model, the same domain services and the same access rules. Schools, colleges and coaching centres start from different templates and familiar terminology while retaining compatible underlying concepts.</w:t>
      </w:r>
    </w:p>
    <w:p>
      <w:r>
        <w:t>Governance defines who may establish rules, make reserved decisions and oversee results. Setup records and publishes the authorised arrangements; Daily Work carries out routine duties, governance decisions and their follow-up. Both experiences operate under the same authority controls. The detailed governance contract is in section 8A.</w:t>
      </w:r>
    </w:p>
    <w:p>
      <w:r>
        <w:t>The design goal is compositional coverage: an institute can combine the capabilities the product supports without requiring a custom application for each combination. A genuinely new kind of business behaviour is added through a typed module. Configurability is broad, but published rules cannot redefine basic facts such as what constitutes a payment, an assessment attempt, a recorded observation or an independent approval.</w:t>
      </w:r>
    </w:p>
    <w:p>
      <w:r>
        <w:t>This is framework specification version 2.1, reviewed and adopted for OmniSchool on 7 October 2026. The institute examples, 35 original coverage cases and 24 governance cases are hypothetical. They explain and challenge the design; they are not an implemented application, a formal proof of universal coverage, or a universal set of institutional regulations. Requirements expressed as must describe the product contract unless a later recorded architecture decision explicitly supersedes them.</w:t>
      </w:r>
    </w:p>
    <w:p>
      <w:pPr>
        <w:pStyle w:val="Heading1"/>
      </w:pPr>
      <w:r>
        <w:t>Product operating rule: simple for users, exact underneath</w:t>
      </w:r>
    </w:p>
    <w:p>
      <w:pPr/>
      <w:r>
        <w:t>The internal model may be precise and complex, but the user journey must remain short. Ask for a fact only when the institute must know or confirm it. Reuse verified information, infer safe defaults and generate the connected records behind one plain-language choice.</w:t>
      </w:r>
    </w:p>
    <w:p>
      <w:pPr/>
      <w:r>
        <w:t>The user normally supplies the legal operator and applicable context, the current holder of a main office or seat, source evidence for material authority, and any institution-specific limit or final authorised decision. The app prepares suitable offices, bodies, seats, work-profile recommendations, mandates, decision routes, review tasks and the readable Who can decide what preview.</w:t>
      </w:r>
    </w:p>
    <w:p>
      <w:pPr/>
      <w:r>
        <w:t>Every generated item retains its source and status. A suggestion stays a suggestion until the required authority confirms it. The product never exchanges fewer questions for false certainty.</w:t>
      </w:r>
    </w:p>
    <w:p>
      <w:pPr>
        <w:pStyle w:val="Heading1"/>
      </w:pPr>
      <w:r>
        <w:t>1 Two experiences over three data layers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8"/>
        <w:gridCol w:w="3150"/>
        <w:gridCol w:w="4687"/>
      </w:tblGrid>
      <w:tr>
        <w:trPr>
          <w:tblHeader w:val="true"/>
          <w:cantSplit/>
        </w:trPr>
        <w:tc>
          <w:tcPr>
            <w:tcW w:type="dxa" w:w="1998"/>
            <w:shd w:fill="1D3A50"/>
            <w:vAlign w:val="center"/>
            <w:tcMar>
              <w:top w:w="80" w:type="dxa"/>
              <w:bottom w:w="80" w:type="dxa"/>
              <w:left w:w="90" w:type="dxa"/>
              <w:right w:w="90" w:type="dxa"/>
            </w:tcMar>
          </w:tcPr>
          <w:p>
            <w:pPr>
              <w:spacing w:after="40" w:line="252" w:lineRule="auto"/>
            </w:pPr>
            <w:r>
              <w:rPr>
                <w:b/>
                <w:color w:val="FFFFFF"/>
                <w:sz w:val="19"/>
              </w:rPr>
              <w:t>Experience</w:t>
            </w:r>
          </w:p>
        </w:tc>
        <w:tc>
          <w:tcPr>
            <w:tcW w:type="dxa" w:w="3150"/>
            <w:shd w:fill="1D3A50"/>
            <w:vAlign w:val="center"/>
            <w:tcMar>
              <w:top w:w="80" w:type="dxa"/>
              <w:bottom w:w="80" w:type="dxa"/>
              <w:left w:w="90" w:type="dxa"/>
              <w:right w:w="90" w:type="dxa"/>
            </w:tcMar>
          </w:tcPr>
          <w:p>
            <w:pPr>
              <w:spacing w:after="40" w:line="252" w:lineRule="auto"/>
            </w:pPr>
            <w:r>
              <w:rPr>
                <w:b/>
                <w:color w:val="FFFFFF"/>
                <w:sz w:val="19"/>
              </w:rPr>
              <w:t>Question it answers</w:t>
            </w:r>
          </w:p>
        </w:tc>
        <w:tc>
          <w:tcPr>
            <w:tcW w:type="dxa" w:w="4687"/>
            <w:shd w:fill="1D3A50"/>
            <w:vAlign w:val="center"/>
            <w:tcMar>
              <w:top w:w="80" w:type="dxa"/>
              <w:bottom w:w="80" w:type="dxa"/>
              <w:left w:w="90" w:type="dxa"/>
              <w:right w:w="90" w:type="dxa"/>
            </w:tcMar>
          </w:tcPr>
          <w:p>
            <w:pPr>
              <w:spacing w:after="40" w:line="252" w:lineRule="auto"/>
            </w:pPr>
            <w:r>
              <w:rPr>
                <w:b/>
                <w:color w:val="FFFFFF"/>
                <w:sz w:val="19"/>
              </w:rPr>
              <w:t>Typical actions</w:t>
            </w:r>
          </w:p>
        </w:tc>
      </w:tr>
      <w:tr>
        <w:trPr>
          <w:cantSplit/>
        </w:trPr>
        <w:tc>
          <w:tcPr>
            <w:tcW w:type="dxa" w:w="1998"/>
            <w:shd w:fill="F3F6F8"/>
            <w:vAlign w:val="center"/>
            <w:tcMar>
              <w:top w:w="80" w:type="dxa"/>
              <w:bottom w:w="80" w:type="dxa"/>
              <w:left w:w="90" w:type="dxa"/>
              <w:right w:w="90" w:type="dxa"/>
            </w:tcMar>
          </w:tcPr>
          <w:p>
            <w:pPr>
              <w:spacing w:after="40" w:line="252" w:lineRule="auto"/>
            </w:pPr>
            <w:r>
              <w:rPr>
                <w:sz w:val="19"/>
              </w:rPr>
              <w:t>Institute Setup</w:t>
            </w:r>
          </w:p>
        </w:tc>
        <w:tc>
          <w:tcPr>
            <w:tcW w:type="dxa" w:w="3150"/>
            <w:shd w:fill="F3F6F8"/>
            <w:vAlign w:val="center"/>
            <w:tcMar>
              <w:top w:w="80" w:type="dxa"/>
              <w:bottom w:w="80" w:type="dxa"/>
              <w:left w:w="90" w:type="dxa"/>
              <w:right w:w="90" w:type="dxa"/>
            </w:tcMar>
          </w:tcPr>
          <w:p>
            <w:pPr>
              <w:spacing w:after="40" w:line="252" w:lineRule="auto"/>
            </w:pPr>
            <w:r>
              <w:rPr>
                <w:sz w:val="19"/>
              </w:rPr>
              <w:t>How are we organised, what do we offer, and how should our work happen?</w:t>
            </w:r>
          </w:p>
        </w:tc>
        <w:tc>
          <w:tcPr>
            <w:tcW w:type="dxa" w:w="4687"/>
            <w:shd w:fill="F3F6F8"/>
            <w:vAlign w:val="center"/>
            <w:tcMar>
              <w:top w:w="80" w:type="dxa"/>
              <w:bottom w:w="80" w:type="dxa"/>
              <w:left w:w="90" w:type="dxa"/>
              <w:right w:w="90" w:type="dxa"/>
            </w:tcMar>
          </w:tcPr>
          <w:p>
            <w:pPr>
              <w:spacing w:after="40" w:line="252" w:lineRule="auto"/>
            </w:pPr>
            <w:r>
              <w:rPr>
                <w:sz w:val="19"/>
              </w:rPr>
              <w:t>Choose capabilities; define academic and service structures; configure rules, forms, roles, workflows and publications; review and publish changes. Record authority sources, offices, bodies, reserved decisions and permitted delegation.</w:t>
            </w:r>
          </w:p>
        </w:tc>
      </w:tr>
      <w:tr>
        <w:trPr>
          <w:cantSplit/>
        </w:trPr>
        <w:tc>
          <w:tcPr>
            <w:tcW w:type="dxa" w:w="1998"/>
            <w:shd w:fill="FFFFFF"/>
            <w:vAlign w:val="center"/>
            <w:tcMar>
              <w:top w:w="80" w:type="dxa"/>
              <w:bottom w:w="80" w:type="dxa"/>
              <w:left w:w="90" w:type="dxa"/>
              <w:right w:w="90" w:type="dxa"/>
            </w:tcMar>
          </w:tcPr>
          <w:p>
            <w:pPr>
              <w:spacing w:after="40" w:line="252" w:lineRule="auto"/>
            </w:pPr>
            <w:r>
              <w:rPr>
                <w:sz w:val="19"/>
              </w:rPr>
              <w:t>Daily Work</w:t>
            </w:r>
          </w:p>
        </w:tc>
        <w:tc>
          <w:tcPr>
            <w:tcW w:type="dxa" w:w="3150"/>
            <w:shd w:fill="FFFFFF"/>
            <w:vAlign w:val="center"/>
            <w:tcMar>
              <w:top w:w="80" w:type="dxa"/>
              <w:bottom w:w="80" w:type="dxa"/>
              <w:left w:w="90" w:type="dxa"/>
              <w:right w:w="90" w:type="dxa"/>
            </w:tcMar>
          </w:tcPr>
          <w:p>
            <w:pPr>
              <w:spacing w:after="40" w:line="252" w:lineRule="auto"/>
            </w:pPr>
            <w:r>
              <w:rPr>
                <w:sz w:val="19"/>
              </w:rPr>
              <w:t>What must happen now, which records does it affect, and who is responsible?</w:t>
            </w:r>
          </w:p>
        </w:tc>
        <w:tc>
          <w:tcPr>
            <w:tcW w:type="dxa" w:w="4687"/>
            <w:shd w:fill="FFFFFF"/>
            <w:vAlign w:val="center"/>
            <w:tcMar>
              <w:top w:w="80" w:type="dxa"/>
              <w:bottom w:w="80" w:type="dxa"/>
              <w:left w:w="90" w:type="dxa"/>
              <w:right w:w="90" w:type="dxa"/>
            </w:tcMar>
          </w:tcPr>
          <w:p>
            <w:pPr>
              <w:spacing w:after="40" w:line="252" w:lineRule="auto"/>
            </w:pPr>
            <w:r>
              <w:rPr>
                <w:sz w:val="19"/>
              </w:rPr>
              <w:t>Enrol learners; open a batch; allocate teachers; schedule sessions; mark attendance; assess work; collect payments; approve requests; run services; communicate. Review proposals, hold permitted decision proceedings, record resolutions and verify resulting actions.</w:t>
            </w:r>
          </w:p>
        </w:tc>
      </w:tr>
    </w:tbl>
    <w:p>
      <w:pPr>
        <w:spacing w:after="20" w:before="0"/>
      </w:pPr>
    </w:p>
    <w:p>
      <w:r>
        <w:t>These are modes of work, not two mutually exclusive kinds of people. A principal may use both; a teacher may manage a narrowly delegated timetable function; an accountant may operate fees and configure only the financial policies entrusted to them. Opening Setup does not grant access to every setting. Parent, student and external-party views remain focused surfaces over authorised records in the same model.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1"/>
        <w:gridCol w:w="4072"/>
        <w:gridCol w:w="3611"/>
      </w:tblGrid>
      <w:tr>
        <w:trPr>
          <w:tblHeader w:val="true"/>
          <w:cantSplit/>
        </w:trPr>
        <w:tc>
          <w:tcPr>
            <w:tcW w:type="dxa" w:w="2151"/>
            <w:shd w:fill="1D3A50"/>
            <w:vAlign w:val="center"/>
            <w:tcMar>
              <w:top w:w="80" w:type="dxa"/>
              <w:bottom w:w="80" w:type="dxa"/>
              <w:left w:w="90" w:type="dxa"/>
              <w:right w:w="90" w:type="dxa"/>
            </w:tcMar>
          </w:tcPr>
          <w:p>
            <w:pPr>
              <w:spacing w:after="40" w:line="252" w:lineRule="auto"/>
            </w:pPr>
            <w:r>
              <w:rPr>
                <w:b/>
                <w:color w:val="FFFFFF"/>
                <w:sz w:val="19"/>
              </w:rPr>
              <w:t>Layer</w:t>
            </w:r>
          </w:p>
        </w:tc>
        <w:tc>
          <w:tcPr>
            <w:tcW w:type="dxa" w:w="4072"/>
            <w:shd w:fill="1D3A50"/>
            <w:vAlign w:val="center"/>
            <w:tcMar>
              <w:top w:w="80" w:type="dxa"/>
              <w:bottom w:w="80" w:type="dxa"/>
              <w:left w:w="90" w:type="dxa"/>
              <w:right w:w="90" w:type="dxa"/>
            </w:tcMar>
          </w:tcPr>
          <w:p>
            <w:pPr>
              <w:spacing w:after="40" w:line="252" w:lineRule="auto"/>
            </w:pPr>
            <w:r>
              <w:rPr>
                <w:b/>
                <w:color w:val="FFFFFF"/>
                <w:sz w:val="19"/>
              </w:rPr>
              <w:t>What belongs here</w:t>
            </w:r>
          </w:p>
        </w:tc>
        <w:tc>
          <w:tcPr>
            <w:tcW w:type="dxa" w:w="3611"/>
            <w:shd w:fill="1D3A50"/>
            <w:vAlign w:val="center"/>
            <w:tcMar>
              <w:top w:w="80" w:type="dxa"/>
              <w:bottom w:w="80" w:type="dxa"/>
              <w:left w:w="90" w:type="dxa"/>
              <w:right w:w="90" w:type="dxa"/>
            </w:tcMar>
          </w:tcPr>
          <w:p>
            <w:pPr>
              <w:spacing w:after="40" w:line="252" w:lineRule="auto"/>
            </w:pPr>
            <w:r>
              <w:rPr>
                <w:b/>
                <w:color w:val="FFFFFF"/>
                <w:sz w:val="19"/>
              </w:rPr>
              <w:t>How change works</w:t>
            </w:r>
          </w:p>
        </w:tc>
      </w:tr>
      <w:tr>
        <w:trPr>
          <w:cantSplit/>
        </w:trPr>
        <w:tc>
          <w:tcPr>
            <w:tcW w:type="dxa" w:w="2151"/>
            <w:shd w:fill="F3F6F8"/>
            <w:vAlign w:val="center"/>
            <w:tcMar>
              <w:top w:w="80" w:type="dxa"/>
              <w:bottom w:w="80" w:type="dxa"/>
              <w:left w:w="90" w:type="dxa"/>
              <w:right w:w="90" w:type="dxa"/>
            </w:tcMar>
          </w:tcPr>
          <w:p>
            <w:pPr>
              <w:spacing w:after="40" w:line="252" w:lineRule="auto"/>
            </w:pPr>
            <w:r>
              <w:rPr>
                <w:sz w:val="19"/>
              </w:rPr>
              <w:t>Reusable definitions</w:t>
            </w:r>
          </w:p>
        </w:tc>
        <w:tc>
          <w:tcPr>
            <w:tcW w:type="dxa" w:w="4072"/>
            <w:shd w:fill="F3F6F8"/>
            <w:vAlign w:val="center"/>
            <w:tcMar>
              <w:top w:w="80" w:type="dxa"/>
              <w:bottom w:w="80" w:type="dxa"/>
              <w:left w:w="90" w:type="dxa"/>
              <w:right w:w="90" w:type="dxa"/>
            </w:tcMar>
          </w:tcPr>
          <w:p>
            <w:pPr>
              <w:spacing w:after="40" w:line="252" w:lineRule="auto"/>
            </w:pPr>
            <w:r>
              <w:rPr>
                <w:sz w:val="19"/>
              </w:rPr>
              <w:t>Group types, catalogues and curriculum versions, role templates, assessment schemes, charge plans, workflow definitions, forms and policy rules. Governance charters, matter rules and decision procedures are versioned definitions.</w:t>
            </w:r>
          </w:p>
        </w:tc>
        <w:tc>
          <w:tcPr>
            <w:tcW w:type="dxa" w:w="3611"/>
            <w:shd w:fill="F3F6F8"/>
            <w:vAlign w:val="center"/>
            <w:tcMar>
              <w:top w:w="80" w:type="dxa"/>
              <w:bottom w:w="80" w:type="dxa"/>
              <w:left w:w="90" w:type="dxa"/>
              <w:right w:w="90" w:type="dxa"/>
            </w:tcMar>
          </w:tcPr>
          <w:p>
            <w:pPr>
              <w:spacing w:after="40" w:line="252" w:lineRule="auto"/>
            </w:pPr>
            <w:r>
              <w:rPr>
                <w:sz w:val="19"/>
              </w:rPr>
              <w:t>Draft, validate, inspect impact, authorise where needed, publish with an effective version.</w:t>
            </w:r>
          </w:p>
        </w:tc>
      </w:tr>
      <w:tr>
        <w:trPr>
          <w:cantSplit/>
        </w:trPr>
        <w:tc>
          <w:tcPr>
            <w:tcW w:type="dxa" w:w="2151"/>
            <w:shd w:fill="FFFFFF"/>
            <w:vAlign w:val="center"/>
            <w:tcMar>
              <w:top w:w="80" w:type="dxa"/>
              <w:bottom w:w="80" w:type="dxa"/>
              <w:left w:w="90" w:type="dxa"/>
              <w:right w:w="90" w:type="dxa"/>
            </w:tcMar>
          </w:tcPr>
          <w:p>
            <w:pPr>
              <w:spacing w:after="40" w:line="252" w:lineRule="auto"/>
            </w:pPr>
            <w:r>
              <w:rPr>
                <w:sz w:val="19"/>
              </w:rPr>
              <w:t>Live institute records</w:t>
            </w:r>
          </w:p>
        </w:tc>
        <w:tc>
          <w:tcPr>
            <w:tcW w:type="dxa" w:w="4072"/>
            <w:shd w:fill="FFFFFF"/>
            <w:vAlign w:val="center"/>
            <w:tcMar>
              <w:top w:w="80" w:type="dxa"/>
              <w:bottom w:w="80" w:type="dxa"/>
              <w:left w:w="90" w:type="dxa"/>
              <w:right w:w="90" w:type="dxa"/>
            </w:tcMar>
          </w:tcPr>
          <w:p>
            <w:pPr>
              <w:spacing w:after="40" w:line="252" w:lineRule="auto"/>
            </w:pPr>
            <w:r>
              <w:rPr>
                <w:sz w:val="19"/>
              </w:rPr>
              <w:t>Actual campuses, people, offerings, batches, enrolments, resource allocations, guardian links and named work assignments. Offices, bodies, seats, appointments and delegations are live records.</w:t>
            </w:r>
          </w:p>
        </w:tc>
        <w:tc>
          <w:tcPr>
            <w:tcW w:type="dxa" w:w="3611"/>
            <w:shd w:fill="FFFFFF"/>
            <w:vAlign w:val="center"/>
            <w:tcMar>
              <w:top w:w="80" w:type="dxa"/>
              <w:bottom w:w="80" w:type="dxa"/>
              <w:left w:w="90" w:type="dxa"/>
              <w:right w:w="90" w:type="dxa"/>
            </w:tcMar>
          </w:tcPr>
          <w:p>
            <w:pPr>
              <w:spacing w:after="40" w:line="252" w:lineRule="auto"/>
            </w:pPr>
            <w:r>
              <w:rPr>
                <w:sz w:val="19"/>
              </w:rPr>
              <w:t>Governed business actions with effective dates and history. Routine changes do not require publishing the whole institute definition.</w:t>
            </w:r>
          </w:p>
        </w:tc>
      </w:tr>
      <w:tr>
        <w:trPr>
          <w:cantSplit/>
        </w:trPr>
        <w:tc>
          <w:tcPr>
            <w:tcW w:type="dxa" w:w="2151"/>
            <w:shd w:fill="F3F6F8"/>
            <w:vAlign w:val="center"/>
            <w:tcMar>
              <w:top w:w="80" w:type="dxa"/>
              <w:bottom w:w="80" w:type="dxa"/>
              <w:left w:w="90" w:type="dxa"/>
              <w:right w:w="90" w:type="dxa"/>
            </w:tcMar>
          </w:tcPr>
          <w:p>
            <w:pPr>
              <w:spacing w:after="40" w:line="252" w:lineRule="auto"/>
            </w:pPr>
            <w:r>
              <w:rPr>
                <w:sz w:val="19"/>
              </w:rPr>
              <w:t>Operational transactions and evidence</w:t>
            </w:r>
          </w:p>
        </w:tc>
        <w:tc>
          <w:tcPr>
            <w:tcW w:type="dxa" w:w="4072"/>
            <w:shd w:fill="F3F6F8"/>
            <w:vAlign w:val="center"/>
            <w:tcMar>
              <w:top w:w="80" w:type="dxa"/>
              <w:bottom w:w="80" w:type="dxa"/>
              <w:left w:w="90" w:type="dxa"/>
              <w:right w:w="90" w:type="dxa"/>
            </w:tcMar>
          </w:tcPr>
          <w:p>
            <w:pPr>
              <w:spacing w:after="40" w:line="252" w:lineRule="auto"/>
            </w:pPr>
            <w:r>
              <w:rPr>
                <w:sz w:val="19"/>
              </w:rPr>
              <w:t>Attendance observations, submissions, assessment attempts, results, invoices, receipts, approvals, incidents and communications. Proposals, participation, ballots, resolutions and verified action closure are transactions and evidence.</w:t>
            </w:r>
          </w:p>
        </w:tc>
        <w:tc>
          <w:tcPr>
            <w:tcW w:type="dxa" w:w="3611"/>
            <w:shd w:fill="F3F6F8"/>
            <w:vAlign w:val="center"/>
            <w:tcMar>
              <w:top w:w="80" w:type="dxa"/>
              <w:bottom w:w="80" w:type="dxa"/>
              <w:left w:w="90" w:type="dxa"/>
              <w:right w:w="90" w:type="dxa"/>
            </w:tcMar>
          </w:tcPr>
          <w:p>
            <w:pPr>
              <w:spacing w:after="40" w:line="252" w:lineRule="auto"/>
            </w:pPr>
            <w:r>
              <w:rPr>
                <w:sz w:val="19"/>
              </w:rPr>
              <w:t>Domain commands validate and record the action. Corrections and reversals retain relevant history.</w:t>
            </w:r>
          </w:p>
        </w:tc>
      </w:tr>
    </w:tbl>
    <w:p>
      <w:pPr>
        <w:spacing w:after="20" w:before="0"/>
      </w:pPr>
    </w:p>
    <w:p>
      <w:r>
        <w:t>Some live records are created during initial setup and remain visible to administrators. Their screen location does not change their semantics. Adding a learner, transferring a learner to another group, or naming a substitute is a live operational change. Defining the transfer approval policy or adding a new role capability changes a reusable definition.</w:t>
      </w:r>
    </w:p>
    <w:p>
      <w:pPr>
        <w:pStyle w:val="Heading1"/>
      </w:pPr>
      <w:r>
        <w:t>2 Eight concept families</w:t>
      </w:r>
    </w:p>
    <w:p>
      <w:r>
        <w:t>Keep the conceptual vocabulary small. The following are eight families of records and behaviour, not a claim that the database needs only eight tables. Each family has explicit types and relationships; optional detail appears when the corresponding capability is enabled.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28"/>
        <w:gridCol w:w="3227"/>
        <w:gridCol w:w="4380"/>
      </w:tblGrid>
      <w:tr>
        <w:trPr>
          <w:tblHeader w:val="true"/>
          <w:cantSplit/>
        </w:trPr>
        <w:tc>
          <w:tcPr>
            <w:tcW w:type="dxa" w:w="2228"/>
            <w:shd w:fill="1D3A50"/>
            <w:vAlign w:val="center"/>
            <w:tcMar>
              <w:top w:w="80" w:type="dxa"/>
              <w:bottom w:w="80" w:type="dxa"/>
              <w:left w:w="90" w:type="dxa"/>
              <w:right w:w="90" w:type="dxa"/>
            </w:tcMar>
          </w:tcPr>
          <w:p>
            <w:pPr>
              <w:spacing w:after="40" w:line="252" w:lineRule="auto"/>
            </w:pPr>
            <w:r>
              <w:rPr>
                <w:b/>
                <w:color w:val="FFFFFF"/>
                <w:sz w:val="19"/>
              </w:rPr>
              <w:t>Family</w:t>
            </w:r>
          </w:p>
        </w:tc>
        <w:tc>
          <w:tcPr>
            <w:tcW w:type="dxa" w:w="3227"/>
            <w:shd w:fill="1D3A50"/>
            <w:vAlign w:val="center"/>
            <w:tcMar>
              <w:top w:w="80" w:type="dxa"/>
              <w:bottom w:w="80" w:type="dxa"/>
              <w:left w:w="90" w:type="dxa"/>
              <w:right w:w="90" w:type="dxa"/>
            </w:tcMar>
          </w:tcPr>
          <w:p>
            <w:pPr>
              <w:spacing w:after="40" w:line="252" w:lineRule="auto"/>
            </w:pPr>
            <w:r>
              <w:rPr>
                <w:b/>
                <w:color w:val="FFFFFF"/>
                <w:sz w:val="19"/>
              </w:rPr>
              <w:t>Meaning</w:t>
            </w:r>
          </w:p>
        </w:tc>
        <w:tc>
          <w:tcPr>
            <w:tcW w:type="dxa" w:w="4380"/>
            <w:shd w:fill="1D3A50"/>
            <w:vAlign w:val="center"/>
            <w:tcMar>
              <w:top w:w="80" w:type="dxa"/>
              <w:bottom w:w="80" w:type="dxa"/>
              <w:left w:w="90" w:type="dxa"/>
              <w:right w:w="90" w:type="dxa"/>
            </w:tcMar>
          </w:tcPr>
          <w:p>
            <w:pPr>
              <w:spacing w:after="40" w:line="252" w:lineRule="auto"/>
            </w:pPr>
            <w:r>
              <w:rPr>
                <w:b/>
                <w:color w:val="FFFFFF"/>
                <w:sz w:val="19"/>
              </w:rPr>
              <w:t>Representative records</w:t>
            </w:r>
          </w:p>
        </w:tc>
      </w:tr>
      <w:tr>
        <w:trPr>
          <w:cantSplit/>
        </w:trPr>
        <w:tc>
          <w:tcPr>
            <w:tcW w:type="dxa" w:w="2228"/>
            <w:shd w:fill="F3F6F8"/>
            <w:vAlign w:val="center"/>
            <w:tcMar>
              <w:top w:w="80" w:type="dxa"/>
              <w:bottom w:w="80" w:type="dxa"/>
              <w:left w:w="90" w:type="dxa"/>
              <w:right w:w="90" w:type="dxa"/>
            </w:tcMar>
          </w:tcPr>
          <w:p>
            <w:pPr>
              <w:spacing w:after="40" w:line="252" w:lineRule="auto"/>
            </w:pPr>
            <w:r>
              <w:rPr>
                <w:sz w:val="19"/>
              </w:rPr>
              <w:t>Organisation and time</w:t>
            </w:r>
          </w:p>
        </w:tc>
        <w:tc>
          <w:tcPr>
            <w:tcW w:type="dxa" w:w="3227"/>
            <w:shd w:fill="F3F6F8"/>
            <w:vAlign w:val="center"/>
            <w:tcMar>
              <w:top w:w="80" w:type="dxa"/>
              <w:bottom w:w="80" w:type="dxa"/>
              <w:left w:w="90" w:type="dxa"/>
              <w:right w:w="90" w:type="dxa"/>
            </w:tcMar>
          </w:tcPr>
          <w:p>
            <w:pPr>
              <w:spacing w:after="40" w:line="252" w:lineRule="auto"/>
            </w:pPr>
            <w:r>
              <w:rPr>
                <w:sz w:val="19"/>
              </w:rPr>
              <w:t>Where authority belongs and when activity takes place.</w:t>
            </w:r>
          </w:p>
        </w:tc>
        <w:tc>
          <w:tcPr>
            <w:tcW w:type="dxa" w:w="4380"/>
            <w:shd w:fill="F3F6F8"/>
            <w:vAlign w:val="center"/>
            <w:tcMar>
              <w:top w:w="80" w:type="dxa"/>
              <w:bottom w:w="80" w:type="dxa"/>
              <w:left w:w="90" w:type="dxa"/>
              <w:right w:w="90" w:type="dxa"/>
            </w:tcMar>
          </w:tcPr>
          <w:p>
            <w:pPr>
              <w:spacing w:after="40" w:line="252" w:lineRule="auto"/>
            </w:pPr>
            <w:r>
              <w:rPr>
                <w:sz w:val="19"/>
              </w:rPr>
              <w:t>Institution, campus/department unit, calendar, academic period, timezone. Legal operator and documented external authority relationships.</w:t>
            </w:r>
          </w:p>
        </w:tc>
      </w:tr>
      <w:tr>
        <w:trPr>
          <w:cantSplit/>
        </w:trPr>
        <w:tc>
          <w:tcPr>
            <w:tcW w:type="dxa" w:w="2228"/>
            <w:shd w:fill="FFFFFF"/>
            <w:vAlign w:val="center"/>
            <w:tcMar>
              <w:top w:w="80" w:type="dxa"/>
              <w:bottom w:w="80" w:type="dxa"/>
              <w:left w:w="90" w:type="dxa"/>
              <w:right w:w="90" w:type="dxa"/>
            </w:tcMar>
          </w:tcPr>
          <w:p>
            <w:pPr>
              <w:spacing w:after="40" w:line="252" w:lineRule="auto"/>
            </w:pPr>
            <w:r>
              <w:rPr>
                <w:sz w:val="19"/>
              </w:rPr>
              <w:t>People and relationships</w:t>
            </w:r>
          </w:p>
        </w:tc>
        <w:tc>
          <w:tcPr>
            <w:tcW w:type="dxa" w:w="3227"/>
            <w:shd w:fill="FFFFFF"/>
            <w:vAlign w:val="center"/>
            <w:tcMar>
              <w:top w:w="80" w:type="dxa"/>
              <w:bottom w:w="80" w:type="dxa"/>
              <w:left w:w="90" w:type="dxa"/>
              <w:right w:w="90" w:type="dxa"/>
            </w:tcMar>
          </w:tcPr>
          <w:p>
            <w:pPr>
              <w:spacing w:after="40" w:line="252" w:lineRule="auto"/>
            </w:pPr>
            <w:r>
              <w:rPr>
                <w:sz w:val="19"/>
              </w:rPr>
              <w:t>Who participates and in which capacity.</w:t>
            </w:r>
          </w:p>
        </w:tc>
        <w:tc>
          <w:tcPr>
            <w:tcW w:type="dxa" w:w="4380"/>
            <w:shd w:fill="FFFFFF"/>
            <w:vAlign w:val="center"/>
            <w:tcMar>
              <w:top w:w="80" w:type="dxa"/>
              <w:bottom w:w="80" w:type="dxa"/>
              <w:left w:w="90" w:type="dxa"/>
              <w:right w:w="90" w:type="dxa"/>
            </w:tcMar>
          </w:tcPr>
          <w:p>
            <w:pPr>
              <w:spacing w:after="40" w:line="252" w:lineRule="auto"/>
            </w:pPr>
            <w:r>
              <w:rPr>
                <w:sz w:val="19"/>
              </w:rPr>
              <w:t>Person, optional login account, institution membership, learner/staff profile, guardian/payer/pickup relationship.</w:t>
            </w:r>
          </w:p>
        </w:tc>
      </w:tr>
      <w:tr>
        <w:trPr>
          <w:cantSplit/>
        </w:trPr>
        <w:tc>
          <w:tcPr>
            <w:tcW w:type="dxa" w:w="2228"/>
            <w:shd w:fill="F3F6F8"/>
            <w:vAlign w:val="center"/>
            <w:tcMar>
              <w:top w:w="80" w:type="dxa"/>
              <w:bottom w:w="80" w:type="dxa"/>
              <w:left w:w="90" w:type="dxa"/>
              <w:right w:w="90" w:type="dxa"/>
            </w:tcMar>
          </w:tcPr>
          <w:p>
            <w:pPr>
              <w:spacing w:after="40" w:line="252" w:lineRule="auto"/>
            </w:pPr>
            <w:r>
              <w:rPr>
                <w:sz w:val="19"/>
              </w:rPr>
              <w:t>Learning definitions</w:t>
            </w:r>
          </w:p>
        </w:tc>
        <w:tc>
          <w:tcPr>
            <w:tcW w:type="dxa" w:w="3227"/>
            <w:shd w:fill="F3F6F8"/>
            <w:vAlign w:val="center"/>
            <w:tcMar>
              <w:top w:w="80" w:type="dxa"/>
              <w:bottom w:w="80" w:type="dxa"/>
              <w:left w:w="90" w:type="dxa"/>
              <w:right w:w="90" w:type="dxa"/>
            </w:tcMar>
          </w:tcPr>
          <w:p>
            <w:pPr>
              <w:spacing w:after="40" w:line="252" w:lineRule="auto"/>
            </w:pPr>
            <w:r>
              <w:rPr>
                <w:sz w:val="19"/>
              </w:rPr>
              <w:t>What learning is available and which requirements form a pathway.</w:t>
            </w:r>
          </w:p>
        </w:tc>
        <w:tc>
          <w:tcPr>
            <w:tcW w:type="dxa" w:w="4380"/>
            <w:shd w:fill="F3F6F8"/>
            <w:vAlign w:val="center"/>
            <w:tcMar>
              <w:top w:w="80" w:type="dxa"/>
              <w:bottom w:w="80" w:type="dxa"/>
              <w:left w:w="90" w:type="dxa"/>
              <w:right w:w="90" w:type="dxa"/>
            </w:tcMar>
          </w:tcPr>
          <w:p>
            <w:pPr>
              <w:spacing w:after="40" w:line="252" w:lineRule="auto"/>
            </w:pPr>
            <w:r>
              <w:rPr>
                <w:sz w:val="19"/>
              </w:rPr>
              <w:t>Programme, curriculum version, stage, course definition, prerequisite or elective requirement.</w:t>
            </w:r>
          </w:p>
        </w:tc>
      </w:tr>
      <w:tr>
        <w:trPr>
          <w:cantSplit/>
        </w:trPr>
        <w:tc>
          <w:tcPr>
            <w:tcW w:type="dxa" w:w="2228"/>
            <w:shd w:fill="FFFFFF"/>
            <w:vAlign w:val="center"/>
            <w:tcMar>
              <w:top w:w="80" w:type="dxa"/>
              <w:bottom w:w="80" w:type="dxa"/>
              <w:left w:w="90" w:type="dxa"/>
              <w:right w:w="90" w:type="dxa"/>
            </w:tcMar>
          </w:tcPr>
          <w:p>
            <w:pPr>
              <w:spacing w:after="40" w:line="252" w:lineRule="auto"/>
            </w:pPr>
            <w:r>
              <w:rPr>
                <w:sz w:val="19"/>
              </w:rPr>
              <w:t>Delivery and participation</w:t>
            </w:r>
          </w:p>
        </w:tc>
        <w:tc>
          <w:tcPr>
            <w:tcW w:type="dxa" w:w="3227"/>
            <w:shd w:fill="FFFFFF"/>
            <w:vAlign w:val="center"/>
            <w:tcMar>
              <w:top w:w="80" w:type="dxa"/>
              <w:bottom w:w="80" w:type="dxa"/>
              <w:left w:w="90" w:type="dxa"/>
              <w:right w:w="90" w:type="dxa"/>
            </w:tcMar>
          </w:tcPr>
          <w:p>
            <w:pPr>
              <w:spacing w:after="40" w:line="252" w:lineRule="auto"/>
            </w:pPr>
            <w:r>
              <w:rPr>
                <w:sz w:val="19"/>
              </w:rPr>
              <w:t>What is actually running and who participates.</w:t>
            </w:r>
          </w:p>
        </w:tc>
        <w:tc>
          <w:tcPr>
            <w:tcW w:type="dxa" w:w="4380"/>
            <w:shd w:fill="FFFFFF"/>
            <w:vAlign w:val="center"/>
            <w:tcMar>
              <w:top w:w="80" w:type="dxa"/>
              <w:bottom w:w="80" w:type="dxa"/>
              <w:left w:w="90" w:type="dxa"/>
              <w:right w:w="90" w:type="dxa"/>
            </w:tcMar>
          </w:tcPr>
          <w:p>
            <w:pPr>
              <w:spacing w:after="40" w:line="252" w:lineRule="auto"/>
            </w:pPr>
            <w:r>
              <w:rPr>
                <w:sz w:val="19"/>
              </w:rPr>
              <w:t>Programme run where needed, course offering, administrative cohort, teaching group, programme enrolment, course registration, dated group membership.</w:t>
            </w:r>
          </w:p>
        </w:tc>
      </w:tr>
      <w:tr>
        <w:trPr>
          <w:cantSplit/>
        </w:trPr>
        <w:tc>
          <w:tcPr>
            <w:tcW w:type="dxa" w:w="2228"/>
            <w:shd w:fill="F3F6F8"/>
            <w:vAlign w:val="center"/>
            <w:tcMar>
              <w:top w:w="80" w:type="dxa"/>
              <w:bottom w:w="80" w:type="dxa"/>
              <w:left w:w="90" w:type="dxa"/>
              <w:right w:w="90" w:type="dxa"/>
            </w:tcMar>
          </w:tcPr>
          <w:p>
            <w:pPr>
              <w:spacing w:after="40" w:line="252" w:lineRule="auto"/>
            </w:pPr>
            <w:r>
              <w:rPr>
                <w:sz w:val="19"/>
              </w:rPr>
              <w:t>Authority responsibilities and access</w:t>
            </w:r>
          </w:p>
        </w:tc>
        <w:tc>
          <w:tcPr>
            <w:tcW w:type="dxa" w:w="3227"/>
            <w:shd w:fill="F3F6F8"/>
            <w:vAlign w:val="center"/>
            <w:tcMar>
              <w:top w:w="80" w:type="dxa"/>
              <w:bottom w:w="80" w:type="dxa"/>
              <w:left w:w="90" w:type="dxa"/>
              <w:right w:w="90" w:type="dxa"/>
            </w:tcMar>
          </w:tcPr>
          <w:p>
            <w:pPr>
              <w:spacing w:after="40" w:line="252" w:lineRule="auto"/>
            </w:pPr>
            <w:r>
              <w:rPr>
                <w:sz w:val="19"/>
              </w:rPr>
              <w:t>Where powers come from, who holds them, and which actions people may perform.</w:t>
            </w:r>
          </w:p>
        </w:tc>
        <w:tc>
          <w:tcPr>
            <w:tcW w:type="dxa" w:w="4380"/>
            <w:shd w:fill="F3F6F8"/>
            <w:vAlign w:val="center"/>
            <w:tcMar>
              <w:top w:w="80" w:type="dxa"/>
              <w:bottom w:w="80" w:type="dxa"/>
              <w:left w:w="90" w:type="dxa"/>
              <w:right w:w="90" w:type="dxa"/>
            </w:tcMar>
          </w:tcPr>
          <w:p>
            <w:pPr>
              <w:spacing w:after="40" w:line="252" w:lineRule="auto"/>
            </w:pPr>
            <w:r>
              <w:rPr>
                <w:sz w:val="19"/>
              </w:rPr>
              <w:t>Authority source, body, office, seat, appointment, mandate, role/responsibility template, work assignment and access policy.</w:t>
            </w:r>
          </w:p>
        </w:tc>
      </w:tr>
      <w:tr>
        <w:trPr>
          <w:cantSplit/>
        </w:trPr>
        <w:tc>
          <w:tcPr>
            <w:tcW w:type="dxa" w:w="2228"/>
            <w:shd w:fill="FFFFFF"/>
            <w:vAlign w:val="center"/>
            <w:tcMar>
              <w:top w:w="80" w:type="dxa"/>
              <w:bottom w:w="80" w:type="dxa"/>
              <w:left w:w="90" w:type="dxa"/>
              <w:right w:w="90" w:type="dxa"/>
            </w:tcMar>
          </w:tcPr>
          <w:p>
            <w:pPr>
              <w:spacing w:after="40" w:line="252" w:lineRule="auto"/>
            </w:pPr>
            <w:r>
              <w:rPr>
                <w:sz w:val="19"/>
              </w:rPr>
              <w:t>Resources and sessions</w:t>
            </w:r>
          </w:p>
        </w:tc>
        <w:tc>
          <w:tcPr>
            <w:tcW w:type="dxa" w:w="3227"/>
            <w:shd w:fill="FFFFFF"/>
            <w:vAlign w:val="center"/>
            <w:tcMar>
              <w:top w:w="80" w:type="dxa"/>
              <w:bottom w:w="80" w:type="dxa"/>
              <w:left w:w="90" w:type="dxa"/>
              <w:right w:w="90" w:type="dxa"/>
            </w:tcMar>
          </w:tcPr>
          <w:p>
            <w:pPr>
              <w:spacing w:after="40" w:line="252" w:lineRule="auto"/>
            </w:pPr>
            <w:r>
              <w:rPr>
                <w:sz w:val="19"/>
              </w:rPr>
              <w:t>Where and when work happens and which resources it uses.</w:t>
            </w:r>
          </w:p>
        </w:tc>
        <w:tc>
          <w:tcPr>
            <w:tcW w:type="dxa" w:w="4380"/>
            <w:shd w:fill="FFFFFF"/>
            <w:vAlign w:val="center"/>
            <w:tcMar>
              <w:top w:w="80" w:type="dxa"/>
              <w:bottom w:w="80" w:type="dxa"/>
              <w:left w:w="90" w:type="dxa"/>
              <w:right w:w="90" w:type="dxa"/>
            </w:tcMar>
          </w:tcPr>
          <w:p>
            <w:pPr>
              <w:spacing w:after="40" w:line="252" w:lineRule="auto"/>
            </w:pPr>
            <w:r>
              <w:rPr>
                <w:sz w:val="19"/>
              </w:rPr>
              <w:t>Room, lab, vehicle, bed, equipment, session, event, booking/allocation.</w:t>
            </w:r>
          </w:p>
        </w:tc>
      </w:tr>
      <w:tr>
        <w:trPr>
          <w:cantSplit/>
        </w:trPr>
        <w:tc>
          <w:tcPr>
            <w:tcW w:type="dxa" w:w="2228"/>
            <w:shd w:fill="F3F6F8"/>
            <w:vAlign w:val="center"/>
            <w:tcMar>
              <w:top w:w="80" w:type="dxa"/>
              <w:bottom w:w="80" w:type="dxa"/>
              <w:left w:w="90" w:type="dxa"/>
              <w:right w:w="90" w:type="dxa"/>
            </w:tcMar>
          </w:tcPr>
          <w:p>
            <w:pPr>
              <w:spacing w:after="40" w:line="252" w:lineRule="auto"/>
            </w:pPr>
            <w:r>
              <w:rPr>
                <w:sz w:val="19"/>
              </w:rPr>
              <w:t>Rules and processes</w:t>
            </w:r>
          </w:p>
        </w:tc>
        <w:tc>
          <w:tcPr>
            <w:tcW w:type="dxa" w:w="3227"/>
            <w:shd w:fill="F3F6F8"/>
            <w:vAlign w:val="center"/>
            <w:tcMar>
              <w:top w:w="80" w:type="dxa"/>
              <w:bottom w:w="80" w:type="dxa"/>
              <w:left w:w="90" w:type="dxa"/>
              <w:right w:w="90" w:type="dxa"/>
            </w:tcMar>
          </w:tcPr>
          <w:p>
            <w:pPr>
              <w:spacing w:after="40" w:line="252" w:lineRule="auto"/>
            </w:pPr>
            <w:r>
              <w:rPr>
                <w:sz w:val="19"/>
              </w:rPr>
              <w:t>How decisions, approvals and follow-up happen.</w:t>
            </w:r>
          </w:p>
        </w:tc>
        <w:tc>
          <w:tcPr>
            <w:tcW w:type="dxa" w:w="4380"/>
            <w:shd w:fill="F3F6F8"/>
            <w:vAlign w:val="center"/>
            <w:tcMar>
              <w:top w:w="80" w:type="dxa"/>
              <w:bottom w:w="80" w:type="dxa"/>
              <w:left w:w="90" w:type="dxa"/>
              <w:right w:w="90" w:type="dxa"/>
            </w:tcMar>
          </w:tcPr>
          <w:p>
            <w:pPr>
              <w:spacing w:after="40" w:line="252" w:lineRule="auto"/>
            </w:pPr>
            <w:r>
              <w:rPr>
                <w:sz w:val="19"/>
              </w:rPr>
              <w:t>Typed rules, decision tables, workflow definitions and instances, tasks, decisions and escalations. Matter rules, decision procedures, resolution conditions and governance review cycles.</w:t>
            </w:r>
          </w:p>
        </w:tc>
      </w:tr>
      <w:tr>
        <w:trPr>
          <w:cantSplit/>
        </w:trPr>
        <w:tc>
          <w:tcPr>
            <w:tcW w:type="dxa" w:w="2228"/>
            <w:shd w:fill="FFFFFF"/>
            <w:vAlign w:val="center"/>
            <w:tcMar>
              <w:top w:w="80" w:type="dxa"/>
              <w:bottom w:w="80" w:type="dxa"/>
              <w:left w:w="90" w:type="dxa"/>
              <w:right w:w="90" w:type="dxa"/>
            </w:tcMar>
          </w:tcPr>
          <w:p>
            <w:pPr>
              <w:spacing w:after="40" w:line="252" w:lineRule="auto"/>
            </w:pPr>
            <w:r>
              <w:rPr>
                <w:sz w:val="19"/>
              </w:rPr>
              <w:t>Domain records and evidence</w:t>
            </w:r>
          </w:p>
        </w:tc>
        <w:tc>
          <w:tcPr>
            <w:tcW w:type="dxa" w:w="3227"/>
            <w:shd w:fill="FFFFFF"/>
            <w:vAlign w:val="center"/>
            <w:tcMar>
              <w:top w:w="80" w:type="dxa"/>
              <w:bottom w:w="80" w:type="dxa"/>
              <w:left w:w="90" w:type="dxa"/>
              <w:right w:w="90" w:type="dxa"/>
            </w:tcMar>
          </w:tcPr>
          <w:p>
            <w:pPr>
              <w:spacing w:after="40" w:line="252" w:lineRule="auto"/>
            </w:pPr>
            <w:r>
              <w:rPr>
                <w:sz w:val="19"/>
              </w:rPr>
              <w:t>The actual academic, financial and service facts.</w:t>
            </w:r>
          </w:p>
        </w:tc>
        <w:tc>
          <w:tcPr>
            <w:tcW w:type="dxa" w:w="4380"/>
            <w:shd w:fill="FFFFFF"/>
            <w:vAlign w:val="center"/>
            <w:tcMar>
              <w:top w:w="80" w:type="dxa"/>
              <w:bottom w:w="80" w:type="dxa"/>
              <w:left w:w="90" w:type="dxa"/>
              <w:right w:w="90" w:type="dxa"/>
            </w:tcMar>
          </w:tcPr>
          <w:p>
            <w:pPr>
              <w:spacing w:after="40" w:line="252" w:lineRule="auto"/>
            </w:pPr>
            <w:r>
              <w:rPr>
                <w:sz w:val="19"/>
              </w:rPr>
              <w:t>Attendance, assessed work, results, charges, receipts, entitlements, trip events, cases, loans and audit history.</w:t>
            </w:r>
          </w:p>
        </w:tc>
      </w:tr>
    </w:tbl>
    <w:p>
      <w:pPr>
        <w:spacing w:after="20" w:before="0"/>
      </w:pPr>
    </w:p>
    <w:p>
      <w:r>
        <w:t>Organisation, learning, people, services and time form related structures. A reporting tree is useful for departments and campuses, but enrolment and service participation need multiple relationships. A learner can have an administrative home cohort, several course registrations, two instructional groups, a transport subscription and a hostel allocation at the same time.</w:t>
      </w:r>
    </w:p>
    <w:p>
      <w:r>
        <w:t>Governance is a first-class domain within these families. It has explicit authority and collective-decision records; it must not be approximated as an arbitrary chain of staff approvals. A governing body may cover multiple institutions only through recorded, scoped mandates.</w:t>
      </w:r>
    </w:p>
    <w:p>
      <w:pPr>
        <w:pStyle w:val="Heading1"/>
      </w:pPr>
      <w:r>
        <w:t>3 Distinctions that must survive simplification</w:t>
      </w:r>
    </w:p>
    <w:p>
      <w:pPr>
        <w:pStyle w:val="Heading2"/>
      </w:pPr>
      <w:r>
        <w:t>3 1 Institution is different from campus and brand</w:t>
      </w:r>
    </w:p>
    <w:p>
      <w:r>
        <w:t>An institution is the default membership and data-authority boundary in this design. A tenant may contain several institutions under explicitly configured governance; each institution-scoped business record still has an owning institution and any required contracting or issuing entity. A campus is an operating location, and a department is an organisational unit. Shared branding, ownership, templates or buildings do not automatically merge records, financial issuers or access.</w:t>
      </w:r>
    </w:p>
    <w:p>
      <w:r>
        <w:t>Platform accounts, reusable starter templates and explicitly shared resource metadata have their own defined ownership and sharing rules. They need not be assigned to a fictitious school. Institution-specific profiles, bookings and transactions remain institution-scoped; an import from one institution cannot overwrite another institution’s private profile fields.</w:t>
      </w:r>
    </w:p>
    <w:p>
      <w:r>
        <w:t>Use explicit relationships for cross-institution collaboration and reporting. A central office may receive authorised aggregates without receiving all personal records. A teacher working across two campuses can share availability for conflict checking while each campus sees only the details it is entitled to see.</w:t>
      </w:r>
    </w:p>
    <w:p>
      <w:r>
        <w:t>A legal operator, university, affiliating body or government authority can have a documented governance relationship without becoming the parent of every data record. Internal organisational reporting, academic affiliation, financial control and access sharing are different relationships.</w:t>
      </w:r>
    </w:p>
    <w:p>
      <w:pPr>
        <w:pStyle w:val="Heading2"/>
      </w:pPr>
      <w:r>
        <w:t>3 2 A person need not have a login</w:t>
      </w:r>
    </w:p>
    <w:p>
      <w:r>
        <w:t>A person record represents an individual; an account represents an authenticated actor. A nursery learner, a guardian without a smartphone, or a contracted worker may have records without a login. A verified account can operate through several institution memberships and relationships. Matching a name, phone number or surname is not sufficient to merge people or grant child access.</w:t>
      </w:r>
    </w:p>
    <w:p>
      <w:r>
        <w:t>Staff, learner and guardian are capacities that can coexist. Adult learners do not require a guardian link. An emergency contact, fee payer, pickup delegate and educational representative have distinct recorded authority and dates. Service integrations use their own narrowly scoped machine identities rather than a shared human administrator account.</w:t>
      </w:r>
    </w:p>
    <w:p>
      <w:pPr>
        <w:pStyle w:val="Heading2"/>
      </w:pPr>
      <w:r>
        <w:t>3 3 Catalogue is different from delivery</w:t>
      </w:r>
    </w:p>
    <w:p>
      <w:r>
        <w:t>A course definition describes reusable learning, such as Grade VIII Mathematics or Introduction to Programming. A course offering is a particular delivery with applicable dates, rules, teachers, capacity and participation. A programme describes a learning pathway and its requirements; a standalone course or test series may exist without a programme enrolment.</w:t>
      </w:r>
    </w:p>
    <w:p>
      <w:r>
        <w:t>A college programme may have curriculum versions for different intakes, credit requirements, electives and approved substitutions. A school programme may have stages and prescribed subject requirements. A coaching centre may use independent courses and commercial bundles. The programme/run layer is optional when it adds no meaning to the service.</w:t>
      </w:r>
    </w:p>
    <w:p>
      <w:r>
        <w:t>An achievement records the recognised outcome of learning or assessment. A requirement-fulfilment record links that achievement to a particular programme enrolment, curriculum requirement and counting-policy version. One achievement can serve more than one authorised pathway without duplicating the original result; each programme’s reuse, credit and substitution rules determine whether and how it counts.</w:t>
      </w:r>
    </w:p>
    <w:p>
      <w:r>
        <w:t>The catalogue/delivery distinction has precedents in OneRoster and Edu-API. OneRoster separates Course, Class and Enrollment; the inspected Edu-API document separates time-independent CourseTemplate from CourseOffering and includes scheduled and unscheduled offerings. These are useful interoperability precedents, not the complete product model. [1][2]</w:t>
      </w:r>
    </w:p>
    <w:p>
      <w:pPr>
        <w:pStyle w:val="Heading2"/>
      </w:pPr>
      <w:r>
        <w:t>3 4 Administrative cohort is different from teaching group</w:t>
      </w:r>
    </w:p>
    <w:p>
      <w:r>
        <w:t>An administrative cohort groups learners for coordination: VIII-A, the 2026 admission batch, or a programme intake. A teaching group identifies who learns together for particular instruction: a shared elective, laboratory section, remedial group or coaching batch. One course registration can require several component groups, such as lecture, tutorial and lab.</w:t>
      </w:r>
    </w:p>
    <w:p>
      <w:r>
        <w:t>The label batch has at least two useful meanings. A college admission batch describes when learners entered a programme; a coaching teaching batch describes when they attend instruction. Label configuration changes what the user sees. A typed group purpose determines behaviour and valid access scopes.</w:t>
      </w:r>
    </w:p>
    <w:p>
      <w:r>
        <w:t>Programme enrolment, course registration and group membership are separate records. A learner can move from an evening group to a morning group without necessarily dropping the course. A failed course can be repeated through a later registration/attempt while preserving the earlier result. A supplementary assessment can create a new assessment attempt without repeating all teaching.</w:t>
      </w:r>
    </w:p>
    <w:p>
      <w:r>
        <w:t>Assessment participation can be authorised without an active teaching registration. A standalone test uses a valid assessment participation/eligibility record; a supplementary examination can reference the original course attempt and a permitted reassessment decision. A test-series entitlement can authorise the relevant assessment participation without creating a fictional course classroom. Publication and scoring still follow the assessment module’s commands and access rules.</w:t>
      </w:r>
    </w:p>
    <w:p>
      <w:pPr>
        <w:pStyle w:val="Heading2"/>
      </w:pPr>
      <w:r>
        <w:t>3 5 Period is different from session</w:t>
      </w:r>
    </w:p>
    <w:p>
      <w:r>
        <w:t>An academic year, semester or term is a named period. A session is a specific scheduled or delivered occurrence. An offering can use an academic calendar, a rolling schedule or no scheduled sessions. Individual registration dates can determine access in a self-paced course. Do not require a global academic year or a timetable for every offering.</w:t>
      </w:r>
    </w:p>
    <w:p>
      <w:r>
        <w:t>Daily school attendance, session attendance, gate entry, transport boarding, content consumption and assessment completion are different evidence contexts. A configured attendance or completion rule may combine specified evidence, but one observation must not silently become a different observation.</w:t>
      </w:r>
    </w:p>
    <w:p>
      <w:r>
        <w:t>An attendance context declares its type, target, calendar binding and expected participation. Daily cohort attendance can bind directly to the class/cohort calendar and effective roster even when subject offerings are not enabled. Session attendance instead uses the relevant occurrence and roster; transport or gate contexts retain their own meaning. Attendance denominators use the applicable expected days or delivered sessions and policy, not one global day count.</w:t>
      </w:r>
    </w:p>
    <w:p>
      <w:pPr>
        <w:pStyle w:val="Heading2"/>
      </w:pPr>
      <w:r>
        <w:t>3 6 Enrolment is different from commercial access</w:t>
      </w:r>
    </w:p>
    <w:p>
      <w:r>
        <w:t>A product or agreement describes what is purchased or promised; an entitlement describes the learning or service access granted; an invoice records a demand; a payment records a financial transaction. These records are related but have independent meaning. A scholarship or trial can grant access without an immediate payment. A test-only package need not create a fictional class. A sponsor may pay only part of one programme.</w:t>
      </w:r>
    </w:p>
    <w:p>
      <w:r>
        <w:t>Academic standing, financial balance, transport access and hostel residence must have independent lifecycle states. Pausing transport should not withdraw a learner from academics. Cancelling a subscription must not delete completed attendance, assessments or earlier receipts.</w:t>
      </w:r>
    </w:p>
    <w:p>
      <w:pPr>
        <w:pStyle w:val="Heading1"/>
      </w:pPr>
      <w:r>
        <w:t>4 A common mapping for schools colleges and coaching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8"/>
        <w:gridCol w:w="2459"/>
        <w:gridCol w:w="2608"/>
        <w:gridCol w:w="2980"/>
      </w:tblGrid>
      <w:tr>
        <w:trPr>
          <w:tblHeader w:val="true"/>
          <w:cantSplit/>
        </w:trPr>
        <w:tc>
          <w:tcPr>
            <w:tcW w:type="dxa" w:w="1788"/>
            <w:shd w:fill="1D3A50"/>
            <w:vAlign w:val="center"/>
            <w:tcMar>
              <w:top w:w="80" w:type="dxa"/>
              <w:bottom w:w="80" w:type="dxa"/>
              <w:left w:w="90" w:type="dxa"/>
              <w:right w:w="90" w:type="dxa"/>
            </w:tcMar>
          </w:tcPr>
          <w:p>
            <w:pPr>
              <w:spacing w:after="40" w:line="252" w:lineRule="auto"/>
            </w:pPr>
            <w:r>
              <w:rPr>
                <w:b/>
                <w:color w:val="FFFFFF"/>
                <w:sz w:val="19"/>
              </w:rPr>
              <w:t>Concept</w:t>
            </w:r>
          </w:p>
        </w:tc>
        <w:tc>
          <w:tcPr>
            <w:tcW w:type="dxa" w:w="2459"/>
            <w:shd w:fill="1D3A50"/>
            <w:vAlign w:val="center"/>
            <w:tcMar>
              <w:top w:w="80" w:type="dxa"/>
              <w:bottom w:w="80" w:type="dxa"/>
              <w:left w:w="90" w:type="dxa"/>
              <w:right w:w="90" w:type="dxa"/>
            </w:tcMar>
          </w:tcPr>
          <w:p>
            <w:pPr>
              <w:spacing w:after="40" w:line="252" w:lineRule="auto"/>
            </w:pPr>
            <w:r>
              <w:rPr>
                <w:b/>
                <w:color w:val="FFFFFF"/>
                <w:sz w:val="19"/>
              </w:rPr>
              <w:t>School example</w:t>
            </w:r>
          </w:p>
        </w:tc>
        <w:tc>
          <w:tcPr>
            <w:tcW w:type="dxa" w:w="2608"/>
            <w:shd w:fill="1D3A50"/>
            <w:vAlign w:val="center"/>
            <w:tcMar>
              <w:top w:w="80" w:type="dxa"/>
              <w:bottom w:w="80" w:type="dxa"/>
              <w:left w:w="90" w:type="dxa"/>
              <w:right w:w="90" w:type="dxa"/>
            </w:tcMar>
          </w:tcPr>
          <w:p>
            <w:pPr>
              <w:spacing w:after="40" w:line="252" w:lineRule="auto"/>
            </w:pPr>
            <w:r>
              <w:rPr>
                <w:b/>
                <w:color w:val="FFFFFF"/>
                <w:sz w:val="19"/>
              </w:rPr>
              <w:t>College example</w:t>
            </w:r>
          </w:p>
        </w:tc>
        <w:tc>
          <w:tcPr>
            <w:tcW w:type="dxa" w:w="2980"/>
            <w:shd w:fill="1D3A50"/>
            <w:vAlign w:val="center"/>
            <w:tcMar>
              <w:top w:w="80" w:type="dxa"/>
              <w:bottom w:w="80" w:type="dxa"/>
              <w:left w:w="90" w:type="dxa"/>
              <w:right w:w="90" w:type="dxa"/>
            </w:tcMar>
          </w:tcPr>
          <w:p>
            <w:pPr>
              <w:spacing w:after="40" w:line="252" w:lineRule="auto"/>
            </w:pPr>
            <w:r>
              <w:rPr>
                <w:b/>
                <w:color w:val="FFFFFF"/>
                <w:sz w:val="19"/>
              </w:rPr>
              <w:t>Coaching example</w:t>
            </w:r>
          </w:p>
        </w:tc>
      </w:tr>
      <w:tr>
        <w:trPr>
          <w:cantSplit/>
        </w:trPr>
        <w:tc>
          <w:tcPr>
            <w:tcW w:type="dxa" w:w="1788"/>
            <w:shd w:fill="F3F6F8"/>
            <w:vAlign w:val="center"/>
            <w:tcMar>
              <w:top w:w="80" w:type="dxa"/>
              <w:bottom w:w="80" w:type="dxa"/>
              <w:left w:w="90" w:type="dxa"/>
              <w:right w:w="90" w:type="dxa"/>
            </w:tcMar>
          </w:tcPr>
          <w:p>
            <w:pPr>
              <w:spacing w:after="40" w:line="252" w:lineRule="auto"/>
            </w:pPr>
            <w:r>
              <w:rPr>
                <w:sz w:val="19"/>
              </w:rPr>
              <w:t>Organisational unit</w:t>
            </w:r>
          </w:p>
        </w:tc>
        <w:tc>
          <w:tcPr>
            <w:tcW w:type="dxa" w:w="2459"/>
            <w:shd w:fill="F3F6F8"/>
            <w:vAlign w:val="center"/>
            <w:tcMar>
              <w:top w:w="80" w:type="dxa"/>
              <w:bottom w:w="80" w:type="dxa"/>
              <w:left w:w="90" w:type="dxa"/>
              <w:right w:w="90" w:type="dxa"/>
            </w:tcMar>
          </w:tcPr>
          <w:p>
            <w:pPr>
              <w:spacing w:after="40" w:line="252" w:lineRule="auto"/>
            </w:pPr>
            <w:r>
              <w:rPr>
                <w:sz w:val="19"/>
              </w:rPr>
              <w:t>Primary wing or campus</w:t>
            </w:r>
          </w:p>
        </w:tc>
        <w:tc>
          <w:tcPr>
            <w:tcW w:type="dxa" w:w="2608"/>
            <w:shd w:fill="F3F6F8"/>
            <w:vAlign w:val="center"/>
            <w:tcMar>
              <w:top w:w="80" w:type="dxa"/>
              <w:bottom w:w="80" w:type="dxa"/>
              <w:left w:w="90" w:type="dxa"/>
              <w:right w:w="90" w:type="dxa"/>
            </w:tcMar>
          </w:tcPr>
          <w:p>
            <w:pPr>
              <w:spacing w:after="40" w:line="252" w:lineRule="auto"/>
            </w:pPr>
            <w:r>
              <w:rPr>
                <w:sz w:val="19"/>
              </w:rPr>
              <w:t>Faculty, department or campus</w:t>
            </w:r>
          </w:p>
        </w:tc>
        <w:tc>
          <w:tcPr>
            <w:tcW w:type="dxa" w:w="2980"/>
            <w:shd w:fill="F3F6F8"/>
            <w:vAlign w:val="center"/>
            <w:tcMar>
              <w:top w:w="80" w:type="dxa"/>
              <w:bottom w:w="80" w:type="dxa"/>
              <w:left w:w="90" w:type="dxa"/>
              <w:right w:w="90" w:type="dxa"/>
            </w:tcMar>
          </w:tcPr>
          <w:p>
            <w:pPr>
              <w:spacing w:after="40" w:line="252" w:lineRule="auto"/>
            </w:pPr>
            <w:r>
              <w:rPr>
                <w:sz w:val="19"/>
              </w:rPr>
              <w:t>Centre or branch</w:t>
            </w:r>
          </w:p>
        </w:tc>
      </w:tr>
      <w:tr>
        <w:trPr>
          <w:cantSplit/>
        </w:trPr>
        <w:tc>
          <w:tcPr>
            <w:tcW w:type="dxa" w:w="1788"/>
            <w:shd w:fill="FFFFFF"/>
            <w:vAlign w:val="center"/>
            <w:tcMar>
              <w:top w:w="80" w:type="dxa"/>
              <w:bottom w:w="80" w:type="dxa"/>
              <w:left w:w="90" w:type="dxa"/>
              <w:right w:w="90" w:type="dxa"/>
            </w:tcMar>
          </w:tcPr>
          <w:p>
            <w:pPr>
              <w:spacing w:after="40" w:line="252" w:lineRule="auto"/>
            </w:pPr>
            <w:r>
              <w:rPr>
                <w:sz w:val="19"/>
              </w:rPr>
              <w:t>Programme/pathway</w:t>
            </w:r>
          </w:p>
        </w:tc>
        <w:tc>
          <w:tcPr>
            <w:tcW w:type="dxa" w:w="2459"/>
            <w:shd w:fill="FFFFFF"/>
            <w:vAlign w:val="center"/>
            <w:tcMar>
              <w:top w:w="80" w:type="dxa"/>
              <w:bottom w:w="80" w:type="dxa"/>
              <w:left w:w="90" w:type="dxa"/>
              <w:right w:w="90" w:type="dxa"/>
            </w:tcMar>
          </w:tcPr>
          <w:p>
            <w:pPr>
              <w:spacing w:after="40" w:line="252" w:lineRule="auto"/>
            </w:pPr>
            <w:r>
              <w:rPr>
                <w:sz w:val="19"/>
              </w:rPr>
              <w:t>Schooling curriculum and grade stages</w:t>
            </w:r>
          </w:p>
        </w:tc>
        <w:tc>
          <w:tcPr>
            <w:tcW w:type="dxa" w:w="2608"/>
            <w:shd w:fill="FFFFFF"/>
            <w:vAlign w:val="center"/>
            <w:tcMar>
              <w:top w:w="80" w:type="dxa"/>
              <w:bottom w:w="80" w:type="dxa"/>
              <w:left w:w="90" w:type="dxa"/>
              <w:right w:w="90" w:type="dxa"/>
            </w:tcMar>
          </w:tcPr>
          <w:p>
            <w:pPr>
              <w:spacing w:after="40" w:line="252" w:lineRule="auto"/>
            </w:pPr>
            <w:r>
              <w:rPr>
                <w:sz w:val="19"/>
              </w:rPr>
              <w:t>B.Tech programme and intake curriculum</w:t>
            </w:r>
          </w:p>
        </w:tc>
        <w:tc>
          <w:tcPr>
            <w:tcW w:type="dxa" w:w="2980"/>
            <w:shd w:fill="FFFFFF"/>
            <w:vAlign w:val="center"/>
            <w:tcMar>
              <w:top w:w="80" w:type="dxa"/>
              <w:bottom w:w="80" w:type="dxa"/>
              <w:left w:w="90" w:type="dxa"/>
              <w:right w:w="90" w:type="dxa"/>
            </w:tcMar>
          </w:tcPr>
          <w:p>
            <w:pPr>
              <w:spacing w:after="40" w:line="252" w:lineRule="auto"/>
            </w:pPr>
            <w:r>
              <w:rPr>
                <w:sz w:val="19"/>
              </w:rPr>
              <w:t>JEE preparation pathway; optional for standalone courses</w:t>
            </w:r>
          </w:p>
        </w:tc>
      </w:tr>
      <w:tr>
        <w:trPr>
          <w:cantSplit/>
        </w:trPr>
        <w:tc>
          <w:tcPr>
            <w:tcW w:type="dxa" w:w="1788"/>
            <w:shd w:fill="F3F6F8"/>
            <w:vAlign w:val="center"/>
            <w:tcMar>
              <w:top w:w="80" w:type="dxa"/>
              <w:bottom w:w="80" w:type="dxa"/>
              <w:left w:w="90" w:type="dxa"/>
              <w:right w:w="90" w:type="dxa"/>
            </w:tcMar>
          </w:tcPr>
          <w:p>
            <w:pPr>
              <w:spacing w:after="40" w:line="252" w:lineRule="auto"/>
            </w:pPr>
            <w:r>
              <w:rPr>
                <w:sz w:val="19"/>
              </w:rPr>
              <w:t>Course definition</w:t>
            </w:r>
          </w:p>
        </w:tc>
        <w:tc>
          <w:tcPr>
            <w:tcW w:type="dxa" w:w="2459"/>
            <w:shd w:fill="F3F6F8"/>
            <w:vAlign w:val="center"/>
            <w:tcMar>
              <w:top w:w="80" w:type="dxa"/>
              <w:bottom w:w="80" w:type="dxa"/>
              <w:left w:w="90" w:type="dxa"/>
              <w:right w:w="90" w:type="dxa"/>
            </w:tcMar>
          </w:tcPr>
          <w:p>
            <w:pPr>
              <w:spacing w:after="40" w:line="252" w:lineRule="auto"/>
            </w:pPr>
            <w:r>
              <w:rPr>
                <w:sz w:val="19"/>
              </w:rPr>
              <w:t>Grade VIII Mathematics</w:t>
            </w:r>
          </w:p>
        </w:tc>
        <w:tc>
          <w:tcPr>
            <w:tcW w:type="dxa" w:w="2608"/>
            <w:shd w:fill="F3F6F8"/>
            <w:vAlign w:val="center"/>
            <w:tcMar>
              <w:top w:w="80" w:type="dxa"/>
              <w:bottom w:w="80" w:type="dxa"/>
              <w:left w:w="90" w:type="dxa"/>
              <w:right w:w="90" w:type="dxa"/>
            </w:tcMar>
          </w:tcPr>
          <w:p>
            <w:pPr>
              <w:spacing w:after="40" w:line="252" w:lineRule="auto"/>
            </w:pPr>
            <w:r>
              <w:rPr>
                <w:sz w:val="19"/>
              </w:rPr>
              <w:t>Introduction to Programming</w:t>
            </w:r>
          </w:p>
        </w:tc>
        <w:tc>
          <w:tcPr>
            <w:tcW w:type="dxa" w:w="2980"/>
            <w:shd w:fill="F3F6F8"/>
            <w:vAlign w:val="center"/>
            <w:tcMar>
              <w:top w:w="80" w:type="dxa"/>
              <w:bottom w:w="80" w:type="dxa"/>
              <w:left w:w="90" w:type="dxa"/>
              <w:right w:w="90" w:type="dxa"/>
            </w:tcMar>
          </w:tcPr>
          <w:p>
            <w:pPr>
              <w:spacing w:after="40" w:line="252" w:lineRule="auto"/>
            </w:pPr>
            <w:r>
              <w:rPr>
                <w:sz w:val="19"/>
              </w:rPr>
              <w:t>Spoken English Level 1</w:t>
            </w:r>
          </w:p>
        </w:tc>
      </w:tr>
      <w:tr>
        <w:trPr>
          <w:cantSplit/>
        </w:trPr>
        <w:tc>
          <w:tcPr>
            <w:tcW w:type="dxa" w:w="1788"/>
            <w:shd w:fill="FFFFFF"/>
            <w:vAlign w:val="center"/>
            <w:tcMar>
              <w:top w:w="80" w:type="dxa"/>
              <w:bottom w:w="80" w:type="dxa"/>
              <w:left w:w="90" w:type="dxa"/>
              <w:right w:w="90" w:type="dxa"/>
            </w:tcMar>
          </w:tcPr>
          <w:p>
            <w:pPr>
              <w:spacing w:after="40" w:line="252" w:lineRule="auto"/>
            </w:pPr>
            <w:r>
              <w:rPr>
                <w:sz w:val="19"/>
              </w:rPr>
              <w:t>Offering</w:t>
            </w:r>
          </w:p>
        </w:tc>
        <w:tc>
          <w:tcPr>
            <w:tcW w:type="dxa" w:w="2459"/>
            <w:shd w:fill="FFFFFF"/>
            <w:vAlign w:val="center"/>
            <w:tcMar>
              <w:top w:w="80" w:type="dxa"/>
              <w:bottom w:w="80" w:type="dxa"/>
              <w:left w:w="90" w:type="dxa"/>
              <w:right w:w="90" w:type="dxa"/>
            </w:tcMar>
          </w:tcPr>
          <w:p>
            <w:pPr>
              <w:spacing w:after="40" w:line="252" w:lineRule="auto"/>
            </w:pPr>
            <w:r>
              <w:rPr>
                <w:sz w:val="19"/>
              </w:rPr>
              <w:t>Mathematics delivered in 2026-27</w:t>
            </w:r>
          </w:p>
        </w:tc>
        <w:tc>
          <w:tcPr>
            <w:tcW w:type="dxa" w:w="2608"/>
            <w:shd w:fill="FFFFFF"/>
            <w:vAlign w:val="center"/>
            <w:tcMar>
              <w:top w:w="80" w:type="dxa"/>
              <w:bottom w:w="80" w:type="dxa"/>
              <w:left w:w="90" w:type="dxa"/>
              <w:right w:w="90" w:type="dxa"/>
            </w:tcMar>
          </w:tcPr>
          <w:p>
            <w:pPr>
              <w:spacing w:after="40" w:line="252" w:lineRule="auto"/>
            </w:pPr>
            <w:r>
              <w:rPr>
                <w:sz w:val="19"/>
              </w:rPr>
              <w:t>Programming delivered in an autumn term</w:t>
            </w:r>
          </w:p>
        </w:tc>
        <w:tc>
          <w:tcPr>
            <w:tcW w:type="dxa" w:w="2980"/>
            <w:shd w:fill="FFFFFF"/>
            <w:vAlign w:val="center"/>
            <w:tcMar>
              <w:top w:w="80" w:type="dxa"/>
              <w:bottom w:w="80" w:type="dxa"/>
              <w:left w:w="90" w:type="dxa"/>
              <w:right w:w="90" w:type="dxa"/>
            </w:tcMar>
          </w:tcPr>
          <w:p>
            <w:pPr>
              <w:spacing w:after="40" w:line="252" w:lineRule="auto"/>
            </w:pPr>
            <w:r>
              <w:rPr>
                <w:sz w:val="19"/>
              </w:rPr>
              <w:t>October evening delivery or rolling self-paced delivery</w:t>
            </w:r>
          </w:p>
        </w:tc>
      </w:tr>
      <w:tr>
        <w:trPr>
          <w:cantSplit/>
        </w:trPr>
        <w:tc>
          <w:tcPr>
            <w:tcW w:type="dxa" w:w="1788"/>
            <w:shd w:fill="F3F6F8"/>
            <w:vAlign w:val="center"/>
            <w:tcMar>
              <w:top w:w="80" w:type="dxa"/>
              <w:bottom w:w="80" w:type="dxa"/>
              <w:left w:w="90" w:type="dxa"/>
              <w:right w:w="90" w:type="dxa"/>
            </w:tcMar>
          </w:tcPr>
          <w:p>
            <w:pPr>
              <w:spacing w:after="40" w:line="252" w:lineRule="auto"/>
            </w:pPr>
            <w:r>
              <w:rPr>
                <w:sz w:val="19"/>
              </w:rPr>
              <w:t>Administrative cohort</w:t>
            </w:r>
          </w:p>
        </w:tc>
        <w:tc>
          <w:tcPr>
            <w:tcW w:type="dxa" w:w="2459"/>
            <w:shd w:fill="F3F6F8"/>
            <w:vAlign w:val="center"/>
            <w:tcMar>
              <w:top w:w="80" w:type="dxa"/>
              <w:bottom w:w="80" w:type="dxa"/>
              <w:left w:w="90" w:type="dxa"/>
              <w:right w:w="90" w:type="dxa"/>
            </w:tcMar>
          </w:tcPr>
          <w:p>
            <w:pPr>
              <w:spacing w:after="40" w:line="252" w:lineRule="auto"/>
            </w:pPr>
            <w:r>
              <w:rPr>
                <w:sz w:val="19"/>
              </w:rPr>
              <w:t>VIII-A homeroom</w:t>
            </w:r>
          </w:p>
        </w:tc>
        <w:tc>
          <w:tcPr>
            <w:tcW w:type="dxa" w:w="2608"/>
            <w:shd w:fill="F3F6F8"/>
            <w:vAlign w:val="center"/>
            <w:tcMar>
              <w:top w:w="80" w:type="dxa"/>
              <w:bottom w:w="80" w:type="dxa"/>
              <w:left w:w="90" w:type="dxa"/>
              <w:right w:w="90" w:type="dxa"/>
            </w:tcMar>
          </w:tcPr>
          <w:p>
            <w:pPr>
              <w:spacing w:after="40" w:line="252" w:lineRule="auto"/>
            </w:pPr>
            <w:r>
              <w:rPr>
                <w:sz w:val="19"/>
              </w:rPr>
              <w:t>2026 programme intake</w:t>
            </w:r>
          </w:p>
        </w:tc>
        <w:tc>
          <w:tcPr>
            <w:tcW w:type="dxa" w:w="2980"/>
            <w:shd w:fill="F3F6F8"/>
            <w:vAlign w:val="center"/>
            <w:tcMar>
              <w:top w:w="80" w:type="dxa"/>
              <w:bottom w:w="80" w:type="dxa"/>
              <w:left w:w="90" w:type="dxa"/>
              <w:right w:w="90" w:type="dxa"/>
            </w:tcMar>
          </w:tcPr>
          <w:p>
            <w:pPr>
              <w:spacing w:after="40" w:line="252" w:lineRule="auto"/>
            </w:pPr>
            <w:r>
              <w:rPr>
                <w:sz w:val="19"/>
              </w:rPr>
              <w:t>Intake group, if useful</w:t>
            </w:r>
          </w:p>
        </w:tc>
      </w:tr>
      <w:tr>
        <w:trPr>
          <w:cantSplit/>
        </w:trPr>
        <w:tc>
          <w:tcPr>
            <w:tcW w:type="dxa" w:w="1788"/>
            <w:shd w:fill="FFFFFF"/>
            <w:vAlign w:val="center"/>
            <w:tcMar>
              <w:top w:w="80" w:type="dxa"/>
              <w:bottom w:w="80" w:type="dxa"/>
              <w:left w:w="90" w:type="dxa"/>
              <w:right w:w="90" w:type="dxa"/>
            </w:tcMar>
          </w:tcPr>
          <w:p>
            <w:pPr>
              <w:spacing w:after="40" w:line="252" w:lineRule="auto"/>
            </w:pPr>
            <w:r>
              <w:rPr>
                <w:sz w:val="19"/>
              </w:rPr>
              <w:t>Teaching group</w:t>
            </w:r>
          </w:p>
        </w:tc>
        <w:tc>
          <w:tcPr>
            <w:tcW w:type="dxa" w:w="2459"/>
            <w:shd w:fill="FFFFFF"/>
            <w:vAlign w:val="center"/>
            <w:tcMar>
              <w:top w:w="80" w:type="dxa"/>
              <w:bottom w:w="80" w:type="dxa"/>
              <w:left w:w="90" w:type="dxa"/>
              <w:right w:w="90" w:type="dxa"/>
            </w:tcMar>
          </w:tcPr>
          <w:p>
            <w:pPr>
              <w:spacing w:after="40" w:line="252" w:lineRule="auto"/>
            </w:pPr>
            <w:r>
              <w:rPr>
                <w:sz w:val="19"/>
              </w:rPr>
              <w:t>VIII-A Maths or a mixed-section language group</w:t>
            </w:r>
          </w:p>
        </w:tc>
        <w:tc>
          <w:tcPr>
            <w:tcW w:type="dxa" w:w="2608"/>
            <w:shd w:fill="FFFFFF"/>
            <w:vAlign w:val="center"/>
            <w:tcMar>
              <w:top w:w="80" w:type="dxa"/>
              <w:bottom w:w="80" w:type="dxa"/>
              <w:left w:w="90" w:type="dxa"/>
              <w:right w:w="90" w:type="dxa"/>
            </w:tcMar>
          </w:tcPr>
          <w:p>
            <w:pPr>
              <w:spacing w:after="40" w:line="252" w:lineRule="auto"/>
            </w:pPr>
            <w:r>
              <w:rPr>
                <w:sz w:val="19"/>
              </w:rPr>
              <w:t>Lecture, tutorial and laboratory groups</w:t>
            </w:r>
          </w:p>
        </w:tc>
        <w:tc>
          <w:tcPr>
            <w:tcW w:type="dxa" w:w="2980"/>
            <w:shd w:fill="FFFFFF"/>
            <w:vAlign w:val="center"/>
            <w:tcMar>
              <w:top w:w="80" w:type="dxa"/>
              <w:bottom w:w="80" w:type="dxa"/>
              <w:left w:w="90" w:type="dxa"/>
              <w:right w:w="90" w:type="dxa"/>
            </w:tcMar>
          </w:tcPr>
          <w:p>
            <w:pPr>
              <w:spacing w:after="40" w:line="252" w:lineRule="auto"/>
            </w:pPr>
            <w:r>
              <w:rPr>
                <w:sz w:val="19"/>
              </w:rPr>
              <w:t>Evening or weekend teaching batch</w:t>
            </w:r>
          </w:p>
        </w:tc>
      </w:tr>
      <w:tr>
        <w:trPr>
          <w:cantSplit/>
        </w:trPr>
        <w:tc>
          <w:tcPr>
            <w:tcW w:type="dxa" w:w="1788"/>
            <w:shd w:fill="F3F6F8"/>
            <w:vAlign w:val="center"/>
            <w:tcMar>
              <w:top w:w="80" w:type="dxa"/>
              <w:bottom w:w="80" w:type="dxa"/>
              <w:left w:w="90" w:type="dxa"/>
              <w:right w:w="90" w:type="dxa"/>
            </w:tcMar>
          </w:tcPr>
          <w:p>
            <w:pPr>
              <w:spacing w:after="40" w:line="252" w:lineRule="auto"/>
            </w:pPr>
            <w:r>
              <w:rPr>
                <w:sz w:val="19"/>
              </w:rPr>
              <w:t>Participation</w:t>
            </w:r>
          </w:p>
        </w:tc>
        <w:tc>
          <w:tcPr>
            <w:tcW w:type="dxa" w:w="2459"/>
            <w:shd w:fill="F3F6F8"/>
            <w:vAlign w:val="center"/>
            <w:tcMar>
              <w:top w:w="80" w:type="dxa"/>
              <w:bottom w:w="80" w:type="dxa"/>
              <w:left w:w="90" w:type="dxa"/>
              <w:right w:w="90" w:type="dxa"/>
            </w:tcMar>
          </w:tcPr>
          <w:p>
            <w:pPr>
              <w:spacing w:after="40" w:line="252" w:lineRule="auto"/>
            </w:pPr>
            <w:r>
              <w:rPr>
                <w:sz w:val="19"/>
              </w:rPr>
              <w:t>Class allocation plus subject registrations</w:t>
            </w:r>
          </w:p>
        </w:tc>
        <w:tc>
          <w:tcPr>
            <w:tcW w:type="dxa" w:w="2608"/>
            <w:shd w:fill="F3F6F8"/>
            <w:vAlign w:val="center"/>
            <w:tcMar>
              <w:top w:w="80" w:type="dxa"/>
              <w:bottom w:w="80" w:type="dxa"/>
              <w:left w:w="90" w:type="dxa"/>
              <w:right w:w="90" w:type="dxa"/>
            </w:tcMar>
          </w:tcPr>
          <w:p>
            <w:pPr>
              <w:spacing w:after="40" w:line="252" w:lineRule="auto"/>
            </w:pPr>
            <w:r>
              <w:rPr>
                <w:sz w:val="19"/>
              </w:rPr>
              <w:t>Programme enrolment plus selected course registrations</w:t>
            </w:r>
          </w:p>
        </w:tc>
        <w:tc>
          <w:tcPr>
            <w:tcW w:type="dxa" w:w="2980"/>
            <w:shd w:fill="F3F6F8"/>
            <w:vAlign w:val="center"/>
            <w:tcMar>
              <w:top w:w="80" w:type="dxa"/>
              <w:bottom w:w="80" w:type="dxa"/>
              <w:left w:w="90" w:type="dxa"/>
              <w:right w:w="90" w:type="dxa"/>
            </w:tcMar>
          </w:tcPr>
          <w:p>
            <w:pPr>
              <w:spacing w:after="40" w:line="252" w:lineRule="auto"/>
            </w:pPr>
            <w:r>
              <w:rPr>
                <w:sz w:val="19"/>
              </w:rPr>
              <w:t>One or several independent registrations</w:t>
            </w:r>
          </w:p>
        </w:tc>
      </w:tr>
      <w:tr>
        <w:trPr>
          <w:cantSplit/>
        </w:trPr>
        <w:tc>
          <w:tcPr>
            <w:tcW w:type="dxa" w:w="1788"/>
            <w:shd w:fill="FFFFFF"/>
            <w:vAlign w:val="center"/>
            <w:tcMar>
              <w:top w:w="80" w:type="dxa"/>
              <w:bottom w:w="80" w:type="dxa"/>
              <w:left w:w="90" w:type="dxa"/>
              <w:right w:w="90" w:type="dxa"/>
            </w:tcMar>
          </w:tcPr>
          <w:p>
            <w:pPr>
              <w:spacing w:after="40" w:line="252" w:lineRule="auto"/>
            </w:pPr>
            <w:r>
              <w:rPr>
                <w:sz w:val="19"/>
              </w:rPr>
              <w:t>Calendar</w:t>
            </w:r>
          </w:p>
        </w:tc>
        <w:tc>
          <w:tcPr>
            <w:tcW w:type="dxa" w:w="2459"/>
            <w:shd w:fill="FFFFFF"/>
            <w:vAlign w:val="center"/>
            <w:tcMar>
              <w:top w:w="80" w:type="dxa"/>
              <w:bottom w:w="80" w:type="dxa"/>
              <w:left w:w="90" w:type="dxa"/>
              <w:right w:w="90" w:type="dxa"/>
            </w:tcMar>
          </w:tcPr>
          <w:p>
            <w:pPr>
              <w:spacing w:after="40" w:line="252" w:lineRule="auto"/>
            </w:pPr>
            <w:r>
              <w:rPr>
                <w:sz w:val="19"/>
              </w:rPr>
              <w:t>Academic year, terms and school days</w:t>
            </w:r>
          </w:p>
        </w:tc>
        <w:tc>
          <w:tcPr>
            <w:tcW w:type="dxa" w:w="2608"/>
            <w:shd w:fill="FFFFFF"/>
            <w:vAlign w:val="center"/>
            <w:tcMar>
              <w:top w:w="80" w:type="dxa"/>
              <w:bottom w:w="80" w:type="dxa"/>
              <w:left w:w="90" w:type="dxa"/>
              <w:right w:w="90" w:type="dxa"/>
            </w:tcMar>
          </w:tcPr>
          <w:p>
            <w:pPr>
              <w:spacing w:after="40" w:line="252" w:lineRule="auto"/>
            </w:pPr>
            <w:r>
              <w:rPr>
                <w:sz w:val="19"/>
              </w:rPr>
              <w:t>Academic year, semesters and course periods</w:t>
            </w:r>
          </w:p>
        </w:tc>
        <w:tc>
          <w:tcPr>
            <w:tcW w:type="dxa" w:w="2980"/>
            <w:shd w:fill="FFFFFF"/>
            <w:vAlign w:val="center"/>
            <w:tcMar>
              <w:top w:w="80" w:type="dxa"/>
              <w:bottom w:w="80" w:type="dxa"/>
              <w:left w:w="90" w:type="dxa"/>
              <w:right w:w="90" w:type="dxa"/>
            </w:tcMar>
          </w:tcPr>
          <w:p>
            <w:pPr>
              <w:spacing w:after="40" w:line="252" w:lineRule="auto"/>
            </w:pPr>
            <w:r>
              <w:rPr>
                <w:sz w:val="19"/>
              </w:rPr>
              <w:t>Rolling dates, short cycles or a weekend calendar</w:t>
            </w:r>
          </w:p>
        </w:tc>
      </w:tr>
      <w:tr>
        <w:trPr>
          <w:cantSplit/>
        </w:trPr>
        <w:tc>
          <w:tcPr>
            <w:tcW w:type="dxa" w:w="1788"/>
            <w:shd w:fill="F3F6F8"/>
            <w:vAlign w:val="center"/>
            <w:tcMar>
              <w:top w:w="80" w:type="dxa"/>
              <w:bottom w:w="80" w:type="dxa"/>
              <w:left w:w="90" w:type="dxa"/>
              <w:right w:w="90" w:type="dxa"/>
            </w:tcMar>
          </w:tcPr>
          <w:p>
            <w:pPr>
              <w:spacing w:after="40" w:line="252" w:lineRule="auto"/>
            </w:pPr>
            <w:r>
              <w:rPr>
                <w:sz w:val="19"/>
              </w:rPr>
              <w:t>Assessment</w:t>
            </w:r>
          </w:p>
        </w:tc>
        <w:tc>
          <w:tcPr>
            <w:tcW w:type="dxa" w:w="2459"/>
            <w:shd w:fill="F3F6F8"/>
            <w:vAlign w:val="center"/>
            <w:tcMar>
              <w:top w:w="80" w:type="dxa"/>
              <w:bottom w:w="80" w:type="dxa"/>
              <w:left w:w="90" w:type="dxa"/>
              <w:right w:w="90" w:type="dxa"/>
            </w:tcMar>
          </w:tcPr>
          <w:p>
            <w:pPr>
              <w:spacing w:after="40" w:line="252" w:lineRule="auto"/>
            </w:pPr>
            <w:r>
              <w:rPr>
                <w:sz w:val="19"/>
              </w:rPr>
              <w:t>Class assessment and term report</w:t>
            </w:r>
          </w:p>
        </w:tc>
        <w:tc>
          <w:tcPr>
            <w:tcW w:type="dxa" w:w="2608"/>
            <w:shd w:fill="F3F6F8"/>
            <w:vAlign w:val="center"/>
            <w:tcMar>
              <w:top w:w="80" w:type="dxa"/>
              <w:bottom w:w="80" w:type="dxa"/>
              <w:left w:w="90" w:type="dxa"/>
              <w:right w:w="90" w:type="dxa"/>
            </w:tcMar>
          </w:tcPr>
          <w:p>
            <w:pPr>
              <w:spacing w:after="40" w:line="252" w:lineRule="auto"/>
            </w:pPr>
            <w:r>
              <w:rPr>
                <w:sz w:val="19"/>
              </w:rPr>
              <w:t>Coursework, examination, credits and attempts</w:t>
            </w:r>
          </w:p>
        </w:tc>
        <w:tc>
          <w:tcPr>
            <w:tcW w:type="dxa" w:w="2980"/>
            <w:shd w:fill="F3F6F8"/>
            <w:vAlign w:val="center"/>
            <w:tcMar>
              <w:top w:w="80" w:type="dxa"/>
              <w:bottom w:w="80" w:type="dxa"/>
              <w:left w:w="90" w:type="dxa"/>
              <w:right w:w="90" w:type="dxa"/>
            </w:tcMar>
          </w:tcPr>
          <w:p>
            <w:pPr>
              <w:spacing w:after="40" w:line="252" w:lineRule="auto"/>
            </w:pPr>
            <w:r>
              <w:rPr>
                <w:sz w:val="19"/>
              </w:rPr>
              <w:t>Practice tests, scores and defined ranking populations</w:t>
            </w:r>
          </w:p>
        </w:tc>
      </w:tr>
      <w:tr>
        <w:trPr>
          <w:cantSplit/>
        </w:trPr>
        <w:tc>
          <w:tcPr>
            <w:tcW w:type="dxa" w:w="1788"/>
            <w:shd w:fill="FFFFFF"/>
            <w:vAlign w:val="center"/>
            <w:tcMar>
              <w:top w:w="80" w:type="dxa"/>
              <w:bottom w:w="80" w:type="dxa"/>
              <w:left w:w="90" w:type="dxa"/>
              <w:right w:w="90" w:type="dxa"/>
            </w:tcMar>
          </w:tcPr>
          <w:p>
            <w:pPr>
              <w:spacing w:after="40" w:line="252" w:lineRule="auto"/>
            </w:pPr>
            <w:r>
              <w:rPr>
                <w:sz w:val="19"/>
              </w:rPr>
              <w:t>Commercial model</w:t>
            </w:r>
          </w:p>
        </w:tc>
        <w:tc>
          <w:tcPr>
            <w:tcW w:type="dxa" w:w="2459"/>
            <w:shd w:fill="FFFFFF"/>
            <w:vAlign w:val="center"/>
            <w:tcMar>
              <w:top w:w="80" w:type="dxa"/>
              <w:bottom w:w="80" w:type="dxa"/>
              <w:left w:w="90" w:type="dxa"/>
              <w:right w:w="90" w:type="dxa"/>
            </w:tcMar>
          </w:tcPr>
          <w:p>
            <w:pPr>
              <w:spacing w:after="40" w:line="252" w:lineRule="auto"/>
            </w:pPr>
            <w:r>
              <w:rPr>
                <w:sz w:val="19"/>
              </w:rPr>
              <w:t>Term fees and optional services</w:t>
            </w:r>
          </w:p>
        </w:tc>
        <w:tc>
          <w:tcPr>
            <w:tcW w:type="dxa" w:w="2608"/>
            <w:shd w:fill="FFFFFF"/>
            <w:vAlign w:val="center"/>
            <w:tcMar>
              <w:top w:w="80" w:type="dxa"/>
              <w:bottom w:w="80" w:type="dxa"/>
              <w:left w:w="90" w:type="dxa"/>
              <w:right w:w="90" w:type="dxa"/>
            </w:tcMar>
          </w:tcPr>
          <w:p>
            <w:pPr>
              <w:spacing w:after="40" w:line="252" w:lineRule="auto"/>
            </w:pPr>
            <w:r>
              <w:rPr>
                <w:sz w:val="19"/>
              </w:rPr>
              <w:t>Programme/course charges and sponsor allocations</w:t>
            </w:r>
          </w:p>
        </w:tc>
        <w:tc>
          <w:tcPr>
            <w:tcW w:type="dxa" w:w="2980"/>
            <w:shd w:fill="FFFFFF"/>
            <w:vAlign w:val="center"/>
            <w:tcMar>
              <w:top w:w="80" w:type="dxa"/>
              <w:bottom w:w="80" w:type="dxa"/>
              <w:left w:w="90" w:type="dxa"/>
              <w:right w:w="90" w:type="dxa"/>
            </w:tcMar>
          </w:tcPr>
          <w:p>
            <w:pPr>
              <w:spacing w:after="40" w:line="252" w:lineRule="auto"/>
            </w:pPr>
            <w:r>
              <w:rPr>
                <w:sz w:val="19"/>
              </w:rPr>
              <w:t>Packages, subscriptions, trials or test series</w:t>
            </w:r>
          </w:p>
        </w:tc>
      </w:tr>
      <w:tr>
        <w:trPr>
          <w:cantSplit/>
        </w:trPr>
        <w:tc>
          <w:tcPr>
            <w:tcW w:type="dxa" w:w="1788"/>
            <w:shd w:fill="F3F6F8"/>
            <w:vAlign w:val="center"/>
            <w:tcMar>
              <w:top w:w="80" w:type="dxa"/>
              <w:bottom w:w="80" w:type="dxa"/>
              <w:left w:w="90" w:type="dxa"/>
              <w:right w:w="90" w:type="dxa"/>
            </w:tcMar>
          </w:tcPr>
          <w:p>
            <w:pPr>
              <w:spacing w:after="40" w:line="252" w:lineRule="auto"/>
            </w:pPr>
            <w:r>
              <w:rPr>
                <w:sz w:val="19"/>
              </w:rPr>
              <w:t>Learner relationship</w:t>
            </w:r>
          </w:p>
        </w:tc>
        <w:tc>
          <w:tcPr>
            <w:tcW w:type="dxa" w:w="2459"/>
            <w:shd w:fill="F3F6F8"/>
            <w:vAlign w:val="center"/>
            <w:tcMar>
              <w:top w:w="80" w:type="dxa"/>
              <w:bottom w:w="80" w:type="dxa"/>
              <w:left w:w="90" w:type="dxa"/>
              <w:right w:w="90" w:type="dxa"/>
            </w:tcMar>
          </w:tcPr>
          <w:p>
            <w:pPr>
              <w:spacing w:after="40" w:line="252" w:lineRule="auto"/>
            </w:pPr>
            <w:r>
              <w:rPr>
                <w:sz w:val="19"/>
              </w:rPr>
              <w:t>Verified guardian and optional other delegates</w:t>
            </w:r>
          </w:p>
        </w:tc>
        <w:tc>
          <w:tcPr>
            <w:tcW w:type="dxa" w:w="2608"/>
            <w:shd w:fill="F3F6F8"/>
            <w:vAlign w:val="center"/>
            <w:tcMar>
              <w:top w:w="80" w:type="dxa"/>
              <w:bottom w:w="80" w:type="dxa"/>
              <w:left w:w="90" w:type="dxa"/>
              <w:right w:w="90" w:type="dxa"/>
            </w:tcMar>
          </w:tcPr>
          <w:p>
            <w:pPr>
              <w:spacing w:after="40" w:line="252" w:lineRule="auto"/>
            </w:pPr>
            <w:r>
              <w:rPr>
                <w:sz w:val="19"/>
              </w:rPr>
              <w:t>Independent learner; representatives if authorised</w:t>
            </w:r>
          </w:p>
        </w:tc>
        <w:tc>
          <w:tcPr>
            <w:tcW w:type="dxa" w:w="2980"/>
            <w:shd w:fill="F3F6F8"/>
            <w:vAlign w:val="center"/>
            <w:tcMar>
              <w:top w:w="80" w:type="dxa"/>
              <w:bottom w:w="80" w:type="dxa"/>
              <w:left w:w="90" w:type="dxa"/>
              <w:right w:w="90" w:type="dxa"/>
            </w:tcMar>
          </w:tcPr>
          <w:p>
            <w:pPr>
              <w:spacing w:after="40" w:line="252" w:lineRule="auto"/>
            </w:pPr>
            <w:r>
              <w:rPr>
                <w:sz w:val="19"/>
              </w:rPr>
              <w:t>Adult learner or youth learner with relevant relationships</w:t>
            </w:r>
          </w:p>
        </w:tc>
      </w:tr>
    </w:tbl>
    <w:p>
      <w:pPr>
        <w:spacing w:after="20" w:before="0"/>
      </w:pPr>
    </w:p>
    <w:p>
      <w:r>
        <w:t>These are example configurations. One institute can run school education on weekdays and coaching at weekends with different calendars, prices and teaching groups. Institute type selects useful defaults; enabled capabilities and the actual programme/offering configuration determine behaviour.</w:t>
      </w:r>
    </w:p>
    <w:p>
      <w:pPr>
        <w:pStyle w:val="Heading1"/>
      </w:pPr>
      <w:r>
        <w:t>5 Module contract and the extensibility boundary</w:t>
      </w:r>
    </w:p>
    <w:p>
      <w:r>
        <w:t>A capability module supplies a known area of behaviour. Initial modules may include admissions, academic delivery, attendance, assessments, fees, communication, staff operations, transport, library, residential services and confidential support. Shared services provide identity, authorisation, documents, notifications, audit and workflow execution.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1"/>
        <w:gridCol w:w="6454"/>
      </w:tblGrid>
      <w:tr>
        <w:trPr>
          <w:tblHeader w:val="true"/>
          <w:cantSplit/>
        </w:trPr>
        <w:tc>
          <w:tcPr>
            <w:tcW w:type="dxa" w:w="3381"/>
            <w:shd w:fill="1D3A50"/>
            <w:vAlign w:val="center"/>
            <w:tcMar>
              <w:top w:w="80" w:type="dxa"/>
              <w:bottom w:w="80" w:type="dxa"/>
              <w:left w:w="90" w:type="dxa"/>
              <w:right w:w="90" w:type="dxa"/>
            </w:tcMar>
          </w:tcPr>
          <w:p>
            <w:pPr>
              <w:spacing w:after="40" w:line="252" w:lineRule="auto"/>
            </w:pPr>
            <w:r>
              <w:rPr>
                <w:b/>
                <w:color w:val="FFFFFF"/>
                <w:sz w:val="19"/>
              </w:rPr>
              <w:t>Every module declares</w:t>
            </w:r>
          </w:p>
        </w:tc>
        <w:tc>
          <w:tcPr>
            <w:tcW w:type="dxa" w:w="6454"/>
            <w:shd w:fill="1D3A50"/>
            <w:vAlign w:val="center"/>
            <w:tcMar>
              <w:top w:w="80" w:type="dxa"/>
              <w:bottom w:w="80" w:type="dxa"/>
              <w:left w:w="90" w:type="dxa"/>
              <w:right w:w="90" w:type="dxa"/>
            </w:tcMar>
          </w:tcPr>
          <w:p>
            <w:pPr>
              <w:spacing w:after="40" w:line="252" w:lineRule="auto"/>
            </w:pPr>
            <w:r>
              <w:rPr>
                <w:b/>
                <w:color w:val="FFFFFF"/>
                <w:sz w:val="19"/>
              </w:rPr>
              <w:t>Why it is needed</w:t>
            </w:r>
          </w:p>
        </w:tc>
      </w:tr>
      <w:tr>
        <w:trPr>
          <w:cantSplit/>
        </w:trPr>
        <w:tc>
          <w:tcPr>
            <w:tcW w:type="dxa" w:w="3381"/>
            <w:shd w:fill="F3F6F8"/>
            <w:vAlign w:val="center"/>
            <w:tcMar>
              <w:top w:w="80" w:type="dxa"/>
              <w:bottom w:w="80" w:type="dxa"/>
              <w:left w:w="90" w:type="dxa"/>
              <w:right w:w="90" w:type="dxa"/>
            </w:tcMar>
          </w:tcPr>
          <w:p>
            <w:pPr>
              <w:spacing w:after="40" w:line="252" w:lineRule="auto"/>
            </w:pPr>
            <w:r>
              <w:rPr>
                <w:sz w:val="19"/>
              </w:rPr>
              <w:t>Record types and relationships</w:t>
            </w:r>
          </w:p>
        </w:tc>
        <w:tc>
          <w:tcPr>
            <w:tcW w:type="dxa" w:w="6454"/>
            <w:shd w:fill="F3F6F8"/>
            <w:vAlign w:val="center"/>
            <w:tcMar>
              <w:top w:w="80" w:type="dxa"/>
              <w:bottom w:w="80" w:type="dxa"/>
              <w:left w:w="90" w:type="dxa"/>
              <w:right w:w="90" w:type="dxa"/>
            </w:tcMar>
          </w:tcPr>
          <w:p>
            <w:pPr>
              <w:spacing w:after="40" w:line="252" w:lineRule="auto"/>
            </w:pPr>
            <w:r>
              <w:rPr>
                <w:sz w:val="19"/>
              </w:rPr>
              <w:t>Data has a defined meaning and valid references. Extensions cannot invent a different owner or bypass institutional boundaries.</w:t>
            </w:r>
          </w:p>
        </w:tc>
      </w:tr>
      <w:tr>
        <w:trPr>
          <w:cantSplit/>
        </w:trPr>
        <w:tc>
          <w:tcPr>
            <w:tcW w:type="dxa" w:w="3381"/>
            <w:shd w:fill="FFFFFF"/>
            <w:vAlign w:val="center"/>
            <w:tcMar>
              <w:top w:w="80" w:type="dxa"/>
              <w:bottom w:w="80" w:type="dxa"/>
              <w:left w:w="90" w:type="dxa"/>
              <w:right w:w="90" w:type="dxa"/>
            </w:tcMar>
          </w:tcPr>
          <w:p>
            <w:pPr>
              <w:spacing w:after="40" w:line="252" w:lineRule="auto"/>
            </w:pPr>
            <w:r>
              <w:rPr>
                <w:sz w:val="19"/>
              </w:rPr>
              <w:t>Commands and result types</w:t>
            </w:r>
          </w:p>
        </w:tc>
        <w:tc>
          <w:tcPr>
            <w:tcW w:type="dxa" w:w="6454"/>
            <w:shd w:fill="FFFFFF"/>
            <w:vAlign w:val="center"/>
            <w:tcMar>
              <w:top w:w="80" w:type="dxa"/>
              <w:bottom w:w="80" w:type="dxa"/>
              <w:left w:w="90" w:type="dxa"/>
              <w:right w:w="90" w:type="dxa"/>
            </w:tcMar>
          </w:tcPr>
          <w:p>
            <w:pPr>
              <w:spacing w:after="40" w:line="252" w:lineRule="auto"/>
            </w:pPr>
            <w:r>
              <w:rPr>
                <w:sz w:val="19"/>
              </w:rPr>
              <w:t>The system knows the difference between requesting, approving, executing and observing.</w:t>
            </w:r>
          </w:p>
        </w:tc>
      </w:tr>
      <w:tr>
        <w:trPr>
          <w:cantSplit/>
        </w:trPr>
        <w:tc>
          <w:tcPr>
            <w:tcW w:type="dxa" w:w="3381"/>
            <w:shd w:fill="F3F6F8"/>
            <w:vAlign w:val="center"/>
            <w:tcMar>
              <w:top w:w="80" w:type="dxa"/>
              <w:bottom w:w="80" w:type="dxa"/>
              <w:left w:w="90" w:type="dxa"/>
              <w:right w:w="90" w:type="dxa"/>
            </w:tcMar>
          </w:tcPr>
          <w:p>
            <w:pPr>
              <w:spacing w:after="40" w:line="252" w:lineRule="auto"/>
            </w:pPr>
            <w:r>
              <w:rPr>
                <w:sz w:val="19"/>
              </w:rPr>
              <w:t>Permission names and accepted scope types</w:t>
            </w:r>
          </w:p>
        </w:tc>
        <w:tc>
          <w:tcPr>
            <w:tcW w:type="dxa" w:w="6454"/>
            <w:shd w:fill="F3F6F8"/>
            <w:vAlign w:val="center"/>
            <w:tcMar>
              <w:top w:w="80" w:type="dxa"/>
              <w:bottom w:w="80" w:type="dxa"/>
              <w:left w:w="90" w:type="dxa"/>
              <w:right w:w="90" w:type="dxa"/>
            </w:tcMar>
          </w:tcPr>
          <w:p>
            <w:pPr>
              <w:spacing w:after="40" w:line="252" w:lineRule="auto"/>
            </w:pPr>
            <w:r>
              <w:rPr>
                <w:sz w:val="19"/>
              </w:rPr>
              <w:t>A marks-entry command may accept an assessment or course scope; a club scope is not interchangeable.</w:t>
            </w:r>
          </w:p>
        </w:tc>
      </w:tr>
      <w:tr>
        <w:trPr>
          <w:cantSplit/>
        </w:trPr>
        <w:tc>
          <w:tcPr>
            <w:tcW w:type="dxa" w:w="3381"/>
            <w:shd w:fill="FFFFFF"/>
            <w:vAlign w:val="center"/>
            <w:tcMar>
              <w:top w:w="80" w:type="dxa"/>
              <w:bottom w:w="80" w:type="dxa"/>
              <w:left w:w="90" w:type="dxa"/>
              <w:right w:w="90" w:type="dxa"/>
            </w:tcMar>
          </w:tcPr>
          <w:p>
            <w:pPr>
              <w:spacing w:after="40" w:line="252" w:lineRule="auto"/>
            </w:pPr>
            <w:r>
              <w:rPr>
                <w:sz w:val="19"/>
              </w:rPr>
              <w:t>Governance matters and execution effects</w:t>
            </w:r>
          </w:p>
        </w:tc>
        <w:tc>
          <w:tcPr>
            <w:tcW w:type="dxa" w:w="6454"/>
            <w:shd w:fill="FFFFFF"/>
            <w:vAlign w:val="center"/>
            <w:tcMar>
              <w:top w:w="80" w:type="dxa"/>
              <w:bottom w:w="80" w:type="dxa"/>
              <w:left w:w="90" w:type="dxa"/>
              <w:right w:w="90" w:type="dxa"/>
            </w:tcMar>
          </w:tcPr>
          <w:p>
            <w:pPr>
              <w:spacing w:after="40" w:line="252" w:lineRule="auto"/>
            </w:pPr>
            <w:r>
              <w:rPr>
                <w:sz w:val="19"/>
              </w:rPr>
              <w:t>Map consequential commands to the relevant decision matter, authority requirements, material parameters and standing or case-specific mandate.</w:t>
            </w:r>
          </w:p>
        </w:tc>
      </w:tr>
      <w:tr>
        <w:trPr>
          <w:cantSplit/>
        </w:trPr>
        <w:tc>
          <w:tcPr>
            <w:tcW w:type="dxa" w:w="3381"/>
            <w:shd w:fill="F3F6F8"/>
            <w:vAlign w:val="center"/>
            <w:tcMar>
              <w:top w:w="80" w:type="dxa"/>
              <w:bottom w:w="80" w:type="dxa"/>
              <w:left w:w="90" w:type="dxa"/>
              <w:right w:w="90" w:type="dxa"/>
            </w:tcMar>
          </w:tcPr>
          <w:p>
            <w:pPr>
              <w:spacing w:after="40" w:line="252" w:lineRule="auto"/>
            </w:pPr>
            <w:r>
              <w:rPr>
                <w:sz w:val="19"/>
              </w:rPr>
              <w:t>Field classifications and permitted projections</w:t>
            </w:r>
          </w:p>
        </w:tc>
        <w:tc>
          <w:tcPr>
            <w:tcW w:type="dxa" w:w="6454"/>
            <w:shd w:fill="F3F6F8"/>
            <w:vAlign w:val="center"/>
            <w:tcMar>
              <w:top w:w="80" w:type="dxa"/>
              <w:bottom w:w="80" w:type="dxa"/>
              <w:left w:w="90" w:type="dxa"/>
              <w:right w:w="90" w:type="dxa"/>
            </w:tcMar>
          </w:tcPr>
          <w:p>
            <w:pPr>
              <w:spacing w:after="40" w:line="252" w:lineRule="auto"/>
            </w:pPr>
            <w:r>
              <w:rPr>
                <w:sz w:val="19"/>
              </w:rPr>
              <w:t>Private case notes, financial fields and parent-facing summaries have explicit audiences.</w:t>
            </w:r>
          </w:p>
        </w:tc>
      </w:tr>
      <w:tr>
        <w:trPr>
          <w:cantSplit/>
        </w:trPr>
        <w:tc>
          <w:tcPr>
            <w:tcW w:type="dxa" w:w="3381"/>
            <w:shd w:fill="FFFFFF"/>
            <w:vAlign w:val="center"/>
            <w:tcMar>
              <w:top w:w="80" w:type="dxa"/>
              <w:bottom w:w="80" w:type="dxa"/>
              <w:left w:w="90" w:type="dxa"/>
              <w:right w:w="90" w:type="dxa"/>
            </w:tcMar>
          </w:tcPr>
          <w:p>
            <w:pPr>
              <w:spacing w:after="40" w:line="252" w:lineRule="auto"/>
            </w:pPr>
            <w:r>
              <w:rPr>
                <w:sz w:val="19"/>
              </w:rPr>
              <w:t>Policies and workflow hooks</w:t>
            </w:r>
          </w:p>
        </w:tc>
        <w:tc>
          <w:tcPr>
            <w:tcW w:type="dxa" w:w="6454"/>
            <w:shd w:fill="FFFFFF"/>
            <w:vAlign w:val="center"/>
            <w:tcMar>
              <w:top w:w="80" w:type="dxa"/>
              <w:bottom w:w="80" w:type="dxa"/>
              <w:left w:w="90" w:type="dxa"/>
              <w:right w:w="90" w:type="dxa"/>
            </w:tcMar>
          </w:tcPr>
          <w:p>
            <w:pPr>
              <w:spacing w:after="40" w:line="252" w:lineRule="auto"/>
            </w:pPr>
            <w:r>
              <w:rPr>
                <w:sz w:val="19"/>
              </w:rPr>
              <w:t>The institute can select permitted actors, deadlines, thresholds and review paths.</w:t>
            </w:r>
          </w:p>
        </w:tc>
      </w:tr>
      <w:tr>
        <w:trPr>
          <w:cantSplit/>
        </w:trPr>
        <w:tc>
          <w:tcPr>
            <w:tcW w:type="dxa" w:w="3381"/>
            <w:shd w:fill="F3F6F8"/>
            <w:vAlign w:val="center"/>
            <w:tcMar>
              <w:top w:w="80" w:type="dxa"/>
              <w:bottom w:w="80" w:type="dxa"/>
              <w:left w:w="90" w:type="dxa"/>
              <w:right w:w="90" w:type="dxa"/>
            </w:tcMar>
          </w:tcPr>
          <w:p>
            <w:pPr>
              <w:spacing w:after="40" w:line="252" w:lineRule="auto"/>
            </w:pPr>
            <w:r>
              <w:rPr>
                <w:sz w:val="19"/>
              </w:rPr>
              <w:t>Invariants and semantic validators</w:t>
            </w:r>
          </w:p>
        </w:tc>
        <w:tc>
          <w:tcPr>
            <w:tcW w:type="dxa" w:w="6454"/>
            <w:shd w:fill="F3F6F8"/>
            <w:vAlign w:val="center"/>
            <w:tcMar>
              <w:top w:w="80" w:type="dxa"/>
              <w:bottom w:w="80" w:type="dxa"/>
              <w:left w:w="90" w:type="dxa"/>
              <w:right w:w="90" w:type="dxa"/>
            </w:tcMar>
          </w:tcPr>
          <w:p>
            <w:pPr>
              <w:spacing w:after="40" w:line="252" w:lineRule="auto"/>
            </w:pPr>
            <w:r>
              <w:rPr>
                <w:sz w:val="19"/>
              </w:rPr>
              <w:t>Core meanings, referential integrity and protected transitions remain enforced.</w:t>
            </w:r>
          </w:p>
        </w:tc>
      </w:tr>
      <w:tr>
        <w:trPr>
          <w:cantSplit/>
        </w:trPr>
        <w:tc>
          <w:tcPr>
            <w:tcW w:type="dxa" w:w="3381"/>
            <w:shd w:fill="FFFFFF"/>
            <w:vAlign w:val="center"/>
            <w:tcMar>
              <w:top w:w="80" w:type="dxa"/>
              <w:bottom w:w="80" w:type="dxa"/>
              <w:left w:w="90" w:type="dxa"/>
              <w:right w:w="90" w:type="dxa"/>
            </w:tcMar>
          </w:tcPr>
          <w:p>
            <w:pPr>
              <w:spacing w:after="40" w:line="252" w:lineRule="auto"/>
            </w:pPr>
            <w:r>
              <w:rPr>
                <w:sz w:val="19"/>
              </w:rPr>
              <w:t>Events, tasks and UI components</w:t>
            </w:r>
          </w:p>
        </w:tc>
        <w:tc>
          <w:tcPr>
            <w:tcW w:type="dxa" w:w="6454"/>
            <w:shd w:fill="FFFFFF"/>
            <w:vAlign w:val="center"/>
            <w:tcMar>
              <w:top w:w="80" w:type="dxa"/>
              <w:bottom w:w="80" w:type="dxa"/>
              <w:left w:w="90" w:type="dxa"/>
              <w:right w:w="90" w:type="dxa"/>
            </w:tcMar>
          </w:tcPr>
          <w:p>
            <w:pPr>
              <w:spacing w:after="40" w:line="252" w:lineRule="auto"/>
            </w:pPr>
            <w:r>
              <w:rPr>
                <w:sz w:val="19"/>
              </w:rPr>
              <w:t>The module contributes useful staff work, notifications and screens.</w:t>
            </w:r>
          </w:p>
        </w:tc>
      </w:tr>
      <w:tr>
        <w:trPr>
          <w:cantSplit/>
        </w:trPr>
        <w:tc>
          <w:tcPr>
            <w:tcW w:type="dxa" w:w="3381"/>
            <w:shd w:fill="F3F6F8"/>
            <w:vAlign w:val="center"/>
            <w:tcMar>
              <w:top w:w="80" w:type="dxa"/>
              <w:bottom w:w="80" w:type="dxa"/>
              <w:left w:w="90" w:type="dxa"/>
              <w:right w:w="90" w:type="dxa"/>
            </w:tcMar>
          </w:tcPr>
          <w:p>
            <w:pPr>
              <w:spacing w:after="40" w:line="252" w:lineRule="auto"/>
            </w:pPr>
            <w:r>
              <w:rPr>
                <w:sz w:val="19"/>
              </w:rPr>
              <w:t>Dependencies, compatibility and migrations</w:t>
            </w:r>
          </w:p>
        </w:tc>
        <w:tc>
          <w:tcPr>
            <w:tcW w:type="dxa" w:w="6454"/>
            <w:shd w:fill="F3F6F8"/>
            <w:vAlign w:val="center"/>
            <w:tcMar>
              <w:top w:w="80" w:type="dxa"/>
              <w:bottom w:w="80" w:type="dxa"/>
              <w:left w:w="90" w:type="dxa"/>
              <w:right w:w="90" w:type="dxa"/>
            </w:tcMar>
          </w:tcPr>
          <w:p>
            <w:pPr>
              <w:spacing w:after="40" w:line="252" w:lineRule="auto"/>
            </w:pPr>
            <w:r>
              <w:rPr>
                <w:sz w:val="19"/>
              </w:rPr>
              <w:t>Enabling, upgrading, retiring or combining capabilities has a defined effect.</w:t>
            </w:r>
          </w:p>
        </w:tc>
      </w:tr>
      <w:tr>
        <w:trPr>
          <w:cantSplit/>
        </w:trPr>
        <w:tc>
          <w:tcPr>
            <w:tcW w:type="dxa" w:w="3381"/>
            <w:shd w:fill="FFFFFF"/>
            <w:vAlign w:val="center"/>
            <w:tcMar>
              <w:top w:w="80" w:type="dxa"/>
              <w:bottom w:w="80" w:type="dxa"/>
              <w:left w:w="90" w:type="dxa"/>
              <w:right w:w="90" w:type="dxa"/>
            </w:tcMar>
          </w:tcPr>
          <w:p>
            <w:pPr>
              <w:spacing w:after="40" w:line="252" w:lineRule="auto"/>
            </w:pPr>
            <w:r>
              <w:rPr>
                <w:sz w:val="19"/>
              </w:rPr>
              <w:t>Conformance examples and acceptance cases</w:t>
            </w:r>
          </w:p>
        </w:tc>
        <w:tc>
          <w:tcPr>
            <w:tcW w:type="dxa" w:w="6454"/>
            <w:shd w:fill="FFFFFF"/>
            <w:vAlign w:val="center"/>
            <w:tcMar>
              <w:top w:w="80" w:type="dxa"/>
              <w:bottom w:w="80" w:type="dxa"/>
              <w:left w:w="90" w:type="dxa"/>
              <w:right w:w="90" w:type="dxa"/>
            </w:tcMar>
          </w:tcPr>
          <w:p>
            <w:pPr>
              <w:spacing w:after="40" w:line="252" w:lineRule="auto"/>
            </w:pPr>
            <w:r>
              <w:rPr>
                <w:sz w:val="19"/>
              </w:rPr>
              <w:t>A module can be checked against both valid operations and invalid combinations.</w:t>
            </w:r>
          </w:p>
        </w:tc>
      </w:tr>
    </w:tbl>
    <w:p>
      <w:pPr>
        <w:spacing w:after="20" w:before="0"/>
      </w:pPr>
    </w:p>
    <w:p>
      <w:r>
        <w:t>Admins can configure labels, fields, allowed values, forms, decision tables, supported calculations, notifications and workflows built from registered commands. A new information field or another approval step should be configuration. A new proctoring algorithm or a new category of clinical information may require an implemented module with its own semantics and tests. After a module exists, its supported settings and operation remain available through the app.</w:t>
      </w:r>
    </w:p>
    <w:p>
      <w:r>
        <w:t>Use structurally validated configuration, for example an explicitly selected JSON Schema dialect, and separate semantic validators. Structural validation can check types, required fields and bounds; it cannot establish that a referenced teacher belongs to this institute or that a refund is authorised. [5] Core ownership, financial totals and approval state are not arbitrary custom fields.</w:t>
      </w:r>
    </w:p>
    <w:p>
      <w:pPr>
        <w:pStyle w:val="Heading1"/>
      </w:pPr>
      <w:r>
        <w:t>6 Institute Setup as a guided experience</w:t>
      </w:r>
    </w:p>
    <w:p>
      <w:r>
        <w:t>The administrator should see familiar questions and defaults, not the internal meta-model or a compulsory workflow canvas. Setup can expose seven understandable sections. Each section owns a coherent kind of decision.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5"/>
        <w:gridCol w:w="3996"/>
        <w:gridCol w:w="3765"/>
      </w:tblGrid>
      <w:tr>
        <w:trPr>
          <w:tblHeader w:val="true"/>
          <w:cantSplit/>
        </w:trPr>
        <w:tc>
          <w:tcPr>
            <w:tcW w:type="dxa" w:w="2075"/>
            <w:shd w:fill="1D3A50"/>
            <w:vAlign w:val="center"/>
            <w:tcMar>
              <w:top w:w="80" w:type="dxa"/>
              <w:bottom w:w="80" w:type="dxa"/>
              <w:left w:w="90" w:type="dxa"/>
              <w:right w:w="90" w:type="dxa"/>
            </w:tcMar>
          </w:tcPr>
          <w:p>
            <w:pPr>
              <w:spacing w:after="40" w:line="252" w:lineRule="auto"/>
            </w:pPr>
            <w:r>
              <w:rPr>
                <w:b/>
                <w:color w:val="FFFFFF"/>
                <w:sz w:val="19"/>
              </w:rPr>
              <w:t>Setup section</w:t>
            </w:r>
          </w:p>
        </w:tc>
        <w:tc>
          <w:tcPr>
            <w:tcW w:type="dxa" w:w="3996"/>
            <w:shd w:fill="1D3A50"/>
            <w:vAlign w:val="center"/>
            <w:tcMar>
              <w:top w:w="80" w:type="dxa"/>
              <w:bottom w:w="80" w:type="dxa"/>
              <w:left w:w="90" w:type="dxa"/>
              <w:right w:w="90" w:type="dxa"/>
            </w:tcMar>
          </w:tcPr>
          <w:p>
            <w:pPr>
              <w:spacing w:after="40" w:line="252" w:lineRule="auto"/>
            </w:pPr>
            <w:r>
              <w:rPr>
                <w:b/>
                <w:color w:val="FFFFFF"/>
                <w:sz w:val="19"/>
              </w:rPr>
              <w:t>Admin decides</w:t>
            </w:r>
          </w:p>
        </w:tc>
        <w:tc>
          <w:tcPr>
            <w:tcW w:type="dxa" w:w="3765"/>
            <w:shd w:fill="1D3A50"/>
            <w:vAlign w:val="center"/>
            <w:tcMar>
              <w:top w:w="80" w:type="dxa"/>
              <w:bottom w:w="80" w:type="dxa"/>
              <w:left w:w="90" w:type="dxa"/>
              <w:right w:w="90" w:type="dxa"/>
            </w:tcMar>
          </w:tcPr>
          <w:p>
            <w:pPr>
              <w:spacing w:after="40" w:line="252" w:lineRule="auto"/>
            </w:pPr>
            <w:r>
              <w:rPr>
                <w:b/>
                <w:color w:val="FFFFFF"/>
                <w:sz w:val="19"/>
              </w:rPr>
              <w:t>Examples of useful controls</w:t>
            </w:r>
          </w:p>
        </w:tc>
      </w:tr>
      <w:tr>
        <w:trPr>
          <w:cantSplit/>
        </w:trPr>
        <w:tc>
          <w:tcPr>
            <w:tcW w:type="dxa" w:w="2075"/>
            <w:shd w:fill="F3F6F8"/>
            <w:vAlign w:val="center"/>
            <w:tcMar>
              <w:top w:w="80" w:type="dxa"/>
              <w:bottom w:w="80" w:type="dxa"/>
              <w:left w:w="90" w:type="dxa"/>
              <w:right w:w="90" w:type="dxa"/>
            </w:tcMar>
          </w:tcPr>
          <w:p>
            <w:pPr>
              <w:spacing w:after="40" w:line="252" w:lineRule="auto"/>
            </w:pPr>
            <w:r>
              <w:rPr>
                <w:sz w:val="19"/>
              </w:rPr>
              <w:t>Institute and governance</w:t>
            </w:r>
          </w:p>
        </w:tc>
        <w:tc>
          <w:tcPr>
            <w:tcW w:type="dxa" w:w="3996"/>
            <w:shd w:fill="F3F6F8"/>
            <w:vAlign w:val="center"/>
            <w:tcMar>
              <w:top w:w="80" w:type="dxa"/>
              <w:bottom w:w="80" w:type="dxa"/>
              <w:left w:w="90" w:type="dxa"/>
              <w:right w:w="90" w:type="dxa"/>
            </w:tcMar>
          </w:tcPr>
          <w:p>
            <w:pPr>
              <w:spacing w:after="40" w:line="252" w:lineRule="auto"/>
            </w:pPr>
            <w:r>
              <w:rPr>
                <w:sz w:val="19"/>
              </w:rPr>
              <w:t>Identity, legal operator, locations, applicable authority sources, offices, bodies and who may decide what.</w:t>
            </w:r>
          </w:p>
        </w:tc>
        <w:tc>
          <w:tcPr>
            <w:tcW w:type="dxa" w:w="3765"/>
            <w:shd w:fill="F3F6F8"/>
            <w:vAlign w:val="center"/>
            <w:tcMar>
              <w:top w:w="80" w:type="dxa"/>
              <w:bottom w:w="80" w:type="dxa"/>
              <w:left w:w="90" w:type="dxa"/>
              <w:right w:w="90" w:type="dxa"/>
            </w:tcMar>
          </w:tcPr>
          <w:p>
            <w:pPr>
              <w:spacing w:after="40" w:line="252" w:lineRule="auto"/>
            </w:pPr>
            <w:r>
              <w:rPr>
                <w:sz w:val="19"/>
              </w:rPr>
              <w:t>Select the relevant profile; record appointing powers, reserved matters, terms and delegation; preview authority.</w:t>
            </w:r>
          </w:p>
        </w:tc>
      </w:tr>
      <w:tr>
        <w:trPr>
          <w:cantSplit/>
        </w:trPr>
        <w:tc>
          <w:tcPr>
            <w:tcW w:type="dxa" w:w="2075"/>
            <w:shd w:fill="FFFFFF"/>
            <w:vAlign w:val="center"/>
            <w:tcMar>
              <w:top w:w="80" w:type="dxa"/>
              <w:bottom w:w="80" w:type="dxa"/>
              <w:left w:w="90" w:type="dxa"/>
              <w:right w:w="90" w:type="dxa"/>
            </w:tcMar>
          </w:tcPr>
          <w:p>
            <w:pPr>
              <w:spacing w:after="40" w:line="252" w:lineRule="auto"/>
            </w:pPr>
            <w:r>
              <w:rPr>
                <w:sz w:val="19"/>
              </w:rPr>
              <w:t>Learning and calendar</w:t>
            </w:r>
          </w:p>
        </w:tc>
        <w:tc>
          <w:tcPr>
            <w:tcW w:type="dxa" w:w="3996"/>
            <w:shd w:fill="FFFFFF"/>
            <w:vAlign w:val="center"/>
            <w:tcMar>
              <w:top w:w="80" w:type="dxa"/>
              <w:bottom w:w="80" w:type="dxa"/>
              <w:left w:w="90" w:type="dxa"/>
              <w:right w:w="90" w:type="dxa"/>
            </w:tcMar>
          </w:tcPr>
          <w:p>
            <w:pPr>
              <w:spacing w:after="40" w:line="252" w:lineRule="auto"/>
            </w:pPr>
            <w:r>
              <w:rPr>
                <w:sz w:val="19"/>
              </w:rPr>
              <w:t>Programme/course definitions, stages, periods and delivery patterns.</w:t>
            </w:r>
          </w:p>
        </w:tc>
        <w:tc>
          <w:tcPr>
            <w:tcW w:type="dxa" w:w="3765"/>
            <w:shd w:fill="FFFFFF"/>
            <w:vAlign w:val="center"/>
            <w:tcMar>
              <w:top w:w="80" w:type="dxa"/>
              <w:bottom w:w="80" w:type="dxa"/>
              <w:left w:w="90" w:type="dxa"/>
              <w:right w:w="90" w:type="dxa"/>
            </w:tcMar>
          </w:tcPr>
          <w:p>
            <w:pPr>
              <w:spacing w:after="40" w:line="252" w:lineRule="auto"/>
            </w:pPr>
            <w:r>
              <w:rPr>
                <w:sz w:val="19"/>
              </w:rPr>
              <w:t>Choose subjects; create an intake plan; select electives/credits when enabled; set holidays or a rolling duration.</w:t>
            </w:r>
          </w:p>
        </w:tc>
      </w:tr>
      <w:tr>
        <w:trPr>
          <w:cantSplit/>
        </w:trPr>
        <w:tc>
          <w:tcPr>
            <w:tcW w:type="dxa" w:w="2075"/>
            <w:shd w:fill="F3F6F8"/>
            <w:vAlign w:val="center"/>
            <w:tcMar>
              <w:top w:w="80" w:type="dxa"/>
              <w:bottom w:w="80" w:type="dxa"/>
              <w:left w:w="90" w:type="dxa"/>
              <w:right w:w="90" w:type="dxa"/>
            </w:tcMar>
          </w:tcPr>
          <w:p>
            <w:pPr>
              <w:spacing w:after="40" w:line="252" w:lineRule="auto"/>
            </w:pPr>
            <w:r>
              <w:rPr>
                <w:sz w:val="19"/>
              </w:rPr>
              <w:t>People and work</w:t>
            </w:r>
          </w:p>
        </w:tc>
        <w:tc>
          <w:tcPr>
            <w:tcW w:type="dxa" w:w="3996"/>
            <w:shd w:fill="F3F6F8"/>
            <w:vAlign w:val="center"/>
            <w:tcMar>
              <w:top w:w="80" w:type="dxa"/>
              <w:bottom w:w="80" w:type="dxa"/>
              <w:left w:w="90" w:type="dxa"/>
              <w:right w:w="90" w:type="dxa"/>
            </w:tcMar>
          </w:tcPr>
          <w:p>
            <w:pPr>
              <w:spacing w:after="40" w:line="252" w:lineRule="auto"/>
            </w:pPr>
            <w:r>
              <w:rPr>
                <w:sz w:val="19"/>
              </w:rPr>
              <w:t>Profile fields, role templates, relationship policies and current staff responsibilities.</w:t>
            </w:r>
          </w:p>
        </w:tc>
        <w:tc>
          <w:tcPr>
            <w:tcW w:type="dxa" w:w="3765"/>
            <w:shd w:fill="F3F6F8"/>
            <w:vAlign w:val="center"/>
            <w:tcMar>
              <w:top w:w="80" w:type="dxa"/>
              <w:bottom w:w="80" w:type="dxa"/>
              <w:left w:w="90" w:type="dxa"/>
              <w:right w:w="90" w:type="dxa"/>
            </w:tcMar>
          </w:tcPr>
          <w:p>
            <w:pPr>
              <w:spacing w:after="40" w:line="252" w:lineRule="auto"/>
            </w:pPr>
            <w:r>
              <w:rPr>
                <w:sz w:val="19"/>
              </w:rPr>
              <w:t>Choose teacher duties; assign class/subject scope; choose the authority allowed to approve a request.</w:t>
            </w:r>
          </w:p>
        </w:tc>
      </w:tr>
      <w:tr>
        <w:trPr>
          <w:cantSplit/>
        </w:trPr>
        <w:tc>
          <w:tcPr>
            <w:tcW w:type="dxa" w:w="2075"/>
            <w:shd w:fill="FFFFFF"/>
            <w:vAlign w:val="center"/>
            <w:tcMar>
              <w:top w:w="80" w:type="dxa"/>
              <w:bottom w:w="80" w:type="dxa"/>
              <w:left w:w="90" w:type="dxa"/>
              <w:right w:w="90" w:type="dxa"/>
            </w:tcMar>
          </w:tcPr>
          <w:p>
            <w:pPr>
              <w:spacing w:after="40" w:line="252" w:lineRule="auto"/>
            </w:pPr>
            <w:r>
              <w:rPr>
                <w:sz w:val="19"/>
              </w:rPr>
              <w:t>Services and charges</w:t>
            </w:r>
          </w:p>
        </w:tc>
        <w:tc>
          <w:tcPr>
            <w:tcW w:type="dxa" w:w="3996"/>
            <w:shd w:fill="FFFFFF"/>
            <w:vAlign w:val="center"/>
            <w:tcMar>
              <w:top w:w="80" w:type="dxa"/>
              <w:bottom w:w="80" w:type="dxa"/>
              <w:left w:w="90" w:type="dxa"/>
              <w:right w:w="90" w:type="dxa"/>
            </w:tcMar>
          </w:tcPr>
          <w:p>
            <w:pPr>
              <w:spacing w:after="40" w:line="252" w:lineRule="auto"/>
            </w:pPr>
            <w:r>
              <w:rPr>
                <w:sz w:val="19"/>
              </w:rPr>
              <w:t>Capabilities offered and the corresponding commercial/service rules.</w:t>
            </w:r>
          </w:p>
        </w:tc>
        <w:tc>
          <w:tcPr>
            <w:tcW w:type="dxa" w:w="3765"/>
            <w:shd w:fill="FFFFFF"/>
            <w:vAlign w:val="center"/>
            <w:tcMar>
              <w:top w:w="80" w:type="dxa"/>
              <w:bottom w:w="80" w:type="dxa"/>
              <w:left w:w="90" w:type="dxa"/>
              <w:right w:w="90" w:type="dxa"/>
            </w:tcMar>
          </w:tcPr>
          <w:p>
            <w:pPr>
              <w:spacing w:after="40" w:line="252" w:lineRule="auto"/>
            </w:pPr>
            <w:r>
              <w:rPr>
                <w:sz w:val="19"/>
              </w:rPr>
              <w:t>Enable transport or hostel; define charges, plans, bundles, concessions and service eligibility.</w:t>
            </w:r>
          </w:p>
        </w:tc>
      </w:tr>
      <w:tr>
        <w:trPr>
          <w:cantSplit/>
        </w:trPr>
        <w:tc>
          <w:tcPr>
            <w:tcW w:type="dxa" w:w="2075"/>
            <w:shd w:fill="F3F6F8"/>
            <w:vAlign w:val="center"/>
            <w:tcMar>
              <w:top w:w="80" w:type="dxa"/>
              <w:bottom w:w="80" w:type="dxa"/>
              <w:left w:w="90" w:type="dxa"/>
              <w:right w:w="90" w:type="dxa"/>
            </w:tcMar>
          </w:tcPr>
          <w:p>
            <w:pPr>
              <w:spacing w:after="40" w:line="252" w:lineRule="auto"/>
            </w:pPr>
            <w:r>
              <w:rPr>
                <w:sz w:val="19"/>
              </w:rPr>
              <w:t>Rules and decisions</w:t>
            </w:r>
          </w:p>
        </w:tc>
        <w:tc>
          <w:tcPr>
            <w:tcW w:type="dxa" w:w="3996"/>
            <w:shd w:fill="F3F6F8"/>
            <w:vAlign w:val="center"/>
            <w:tcMar>
              <w:top w:w="80" w:type="dxa"/>
              <w:bottom w:w="80" w:type="dxa"/>
              <w:left w:w="90" w:type="dxa"/>
              <w:right w:w="90" w:type="dxa"/>
            </w:tcMar>
          </w:tcPr>
          <w:p>
            <w:pPr>
              <w:spacing w:after="40" w:line="252" w:lineRule="auto"/>
            </w:pPr>
            <w:r>
              <w:rPr>
                <w:sz w:val="19"/>
              </w:rPr>
              <w:t>Operational rules and permitted governance procedures, review paths and exceptions.</w:t>
            </w:r>
          </w:p>
        </w:tc>
        <w:tc>
          <w:tcPr>
            <w:tcW w:type="dxa" w:w="3765"/>
            <w:shd w:fill="F3F6F8"/>
            <w:vAlign w:val="center"/>
            <w:tcMar>
              <w:top w:w="80" w:type="dxa"/>
              <w:bottom w:w="80" w:type="dxa"/>
              <w:left w:w="90" w:type="dxa"/>
              <w:right w:w="90" w:type="dxa"/>
            </w:tcMar>
          </w:tcPr>
          <w:p>
            <w:pPr>
              <w:spacing w:after="40" w:line="252" w:lineRule="auto"/>
            </w:pPr>
            <w:r>
              <w:rPr>
                <w:sz w:val="19"/>
              </w:rPr>
              <w:t>Distinguish recommendation, decision and execution; define supported notice, quorum, thresholds and external conditions.</w:t>
            </w:r>
          </w:p>
        </w:tc>
      </w:tr>
      <w:tr>
        <w:trPr>
          <w:cantSplit/>
        </w:trPr>
        <w:tc>
          <w:tcPr>
            <w:tcW w:type="dxa" w:w="2075"/>
            <w:shd w:fill="FFFFFF"/>
            <w:vAlign w:val="center"/>
            <w:tcMar>
              <w:top w:w="80" w:type="dxa"/>
              <w:bottom w:w="80" w:type="dxa"/>
              <w:left w:w="90" w:type="dxa"/>
              <w:right w:w="90" w:type="dxa"/>
            </w:tcMar>
          </w:tcPr>
          <w:p>
            <w:pPr>
              <w:spacing w:after="40" w:line="252" w:lineRule="auto"/>
            </w:pPr>
            <w:r>
              <w:rPr>
                <w:sz w:val="19"/>
              </w:rPr>
              <w:t>Forms and communication</w:t>
            </w:r>
          </w:p>
        </w:tc>
        <w:tc>
          <w:tcPr>
            <w:tcW w:type="dxa" w:w="3996"/>
            <w:shd w:fill="FFFFFF"/>
            <w:vAlign w:val="center"/>
            <w:tcMar>
              <w:top w:w="80" w:type="dxa"/>
              <w:bottom w:w="80" w:type="dxa"/>
              <w:left w:w="90" w:type="dxa"/>
              <w:right w:w="90" w:type="dxa"/>
            </w:tcMar>
          </w:tcPr>
          <w:p>
            <w:pPr>
              <w:spacing w:after="40" w:line="252" w:lineRule="auto"/>
            </w:pPr>
            <w:r>
              <w:rPr>
                <w:sz w:val="19"/>
              </w:rPr>
              <w:t>Information collection, documents, published views and notifications.</w:t>
            </w:r>
          </w:p>
        </w:tc>
        <w:tc>
          <w:tcPr>
            <w:tcW w:type="dxa" w:w="3765"/>
            <w:shd w:fill="FFFFFF"/>
            <w:vAlign w:val="center"/>
            <w:tcMar>
              <w:top w:w="80" w:type="dxa"/>
              <w:bottom w:w="80" w:type="dxa"/>
              <w:left w:w="90" w:type="dxa"/>
              <w:right w:w="90" w:type="dxa"/>
            </w:tcMar>
          </w:tcPr>
          <w:p>
            <w:pPr>
              <w:spacing w:after="40" w:line="252" w:lineRule="auto"/>
            </w:pPr>
            <w:r>
              <w:rPr>
                <w:sz w:val="19"/>
              </w:rPr>
              <w:t>Admission form; report-card layout; receipt template; parent-update audience and timing.</w:t>
            </w:r>
          </w:p>
        </w:tc>
      </w:tr>
      <w:tr>
        <w:trPr>
          <w:cantSplit/>
        </w:trPr>
        <w:tc>
          <w:tcPr>
            <w:tcW w:type="dxa" w:w="2075"/>
            <w:shd w:fill="F3F6F8"/>
            <w:vAlign w:val="center"/>
            <w:tcMar>
              <w:top w:w="80" w:type="dxa"/>
              <w:bottom w:w="80" w:type="dxa"/>
              <w:left w:w="90" w:type="dxa"/>
              <w:right w:w="90" w:type="dxa"/>
            </w:tcMar>
          </w:tcPr>
          <w:p>
            <w:pPr>
              <w:spacing w:after="40" w:line="252" w:lineRule="auto"/>
            </w:pPr>
            <w:r>
              <w:rPr>
                <w:sz w:val="19"/>
              </w:rPr>
              <w:t>Connections and review</w:t>
            </w:r>
          </w:p>
        </w:tc>
        <w:tc>
          <w:tcPr>
            <w:tcW w:type="dxa" w:w="3996"/>
            <w:shd w:fill="F3F6F8"/>
            <w:vAlign w:val="center"/>
            <w:tcMar>
              <w:top w:w="80" w:type="dxa"/>
              <w:bottom w:w="80" w:type="dxa"/>
              <w:left w:w="90" w:type="dxa"/>
              <w:right w:w="90" w:type="dxa"/>
            </w:tcMar>
          </w:tcPr>
          <w:p>
            <w:pPr>
              <w:spacing w:after="40" w:line="252" w:lineRule="auto"/>
            </w:pPr>
            <w:r>
              <w:rPr>
                <w:sz w:val="19"/>
              </w:rPr>
              <w:t>Approved integrations, imports, access preview and readiness.</w:t>
            </w:r>
          </w:p>
        </w:tc>
        <w:tc>
          <w:tcPr>
            <w:tcW w:type="dxa" w:w="3765"/>
            <w:shd w:fill="F3F6F8"/>
            <w:vAlign w:val="center"/>
            <w:tcMar>
              <w:top w:w="80" w:type="dxa"/>
              <w:bottom w:w="80" w:type="dxa"/>
              <w:left w:w="90" w:type="dxa"/>
              <w:right w:w="90" w:type="dxa"/>
            </w:tcMar>
          </w:tcPr>
          <w:p>
            <w:pPr>
              <w:spacing w:after="40" w:line="252" w:lineRule="auto"/>
            </w:pPr>
            <w:r>
              <w:rPr>
                <w:sz w:val="19"/>
              </w:rPr>
              <w:t>Import a roster; connect a supported payment provider; inspect who can see what; publish the selected capabilities.</w:t>
            </w:r>
          </w:p>
        </w:tc>
      </w:tr>
    </w:tbl>
    <w:p>
      <w:pPr>
        <w:spacing w:after="20" w:before="0"/>
      </w:pPr>
    </w:p>
    <w:p>
      <w:pPr>
        <w:pStyle w:val="Heading2"/>
      </w:pPr>
      <w:r>
        <w:t>6 1 Start from composable templates</w:t>
      </w:r>
    </w:p>
    <w:p>
      <w:r>
        <w:t>Templates are versioned starting configurations. Offer school, college and coaching starters, then optional additions such as semester credits, rolling enrolment, transport, hostel or test-series subscriptions. Templates declare their dependencies and conflicts; updates do not silently change an institute that has already adopted an earlier version.</w:t>
      </w:r>
    </w:p>
    <w:p>
      <w:r>
        <w:t>For a school, an action such as Create Grade VIII, three sections and these subjects can create or link administrative cohorts, course offerings, teaching groups, calendars and proposed staff assignments behind the scenes. For a college, Open these courses for this semester prepares the offerings and registration rules. For coaching, Start an evening batch with a three-month package links the offering, group, schedule and commercial plan. Preview the intended result without exposing unnecessary records.</w:t>
      </w:r>
    </w:p>
    <w:p>
      <w:pPr>
        <w:pStyle w:val="Heading2"/>
      </w:pPr>
      <w:r>
        <w:t>6 2 Progressive setup and readiness</w:t>
      </w:r>
    </w:p>
    <w:p>
      <w:r>
        <w:t>Only ask questions required for capabilities being activated. A school starting with daily class attendance needs people, relevant class groups, staff duties and a calendar/attendance context; it need not complete payroll, credit rules or transport configuration. Subject delivery records can be generated when those capabilities are enabled. Readiness is capability-specific rather than one global complete/incomplete flag.</w:t>
      </w:r>
    </w:p>
    <w:p>
      <w:pPr>
        <w:pStyle w:val="ListBullet"/>
      </w:pPr>
      <w:r>
        <w:t>Use sensible template defaults and plain-language explanations of their effects.</w:t>
      </w:r>
    </w:p>
    <w:p>
      <w:pPr>
        <w:pStyle w:val="ListBullet"/>
      </w:pPr>
      <w:r>
        <w:t>Offer spreadsheet imports, cloning and bulk actions with validation and clear affected counts.</w:t>
      </w:r>
    </w:p>
    <w:p>
      <w:pPr>
        <w:pStyle w:val="ListBullet"/>
      </w:pPr>
      <w:r>
        <w:t>Show advanced conditions only when the chosen operating pattern requires them.</w:t>
      </w:r>
    </w:p>
    <w:p>
      <w:pPr>
        <w:pStyle w:val="ListBullet"/>
      </w:pPr>
      <w:r>
        <w:t>Generate routine registrations and rosters from explicit rules, recording their origin and effective dates; allow authorised exceptions.</w:t>
      </w:r>
    </w:p>
    <w:p>
      <w:pPr>
        <w:pStyle w:val="ListBullet"/>
      </w:pPr>
      <w:r>
        <w:t>Provide an effective-settings view showing the active value and where it came from.</w:t>
      </w:r>
    </w:p>
    <w:p>
      <w:pPr>
        <w:pStyle w:val="ListBullet"/>
      </w:pPr>
      <w:r>
        <w:t>Preview a sample person’s permitted work and a sample learner’s journey before publishing consequential changes.</w:t>
      </w:r>
    </w:p>
    <w:p>
      <w:pPr>
        <w:pStyle w:val="Heading2"/>
      </w:pPr>
      <w:r>
        <w:t>6 3 Publication and changes</w:t>
      </w:r>
    </w:p>
    <w:p>
      <w:r>
        <w:t>Use Draft → Validated → Published → Retired for reusable configuration releases. Before publication, check structure, references, compatible modules, policy conflicts, actor resolution and relevant example cases. Show the change impact, effective date, affected assignments and treatment of already-running work. Approval is required where the institution’s change policy requires it; ordinary authorised low-impact edits should remain straightforward.</w:t>
      </w:r>
    </w:p>
    <w:p>
      <w:r>
        <w:t>A proposed change to governance is evaluated under the currently effective amendment authority or a separately verified external instrument. The draft cannot grant itself the authority needed for adoption. Editing a body, increasing a delegation or changing quorum never becomes effective merely because an administrator saves the settings.</w:t>
      </w:r>
    </w:p>
    <w:p>
      <w:r>
        <w:t>People records, named role assignments and current group memberships remain live records. Adding a substitute should not require republishing the entire institute definition. Changes to the authority carried by a role template do require an explicit rollout decision so existing assignees do not silently gain sensitive powers.</w:t>
      </w:r>
    </w:p>
    <w:p>
      <w:pPr>
        <w:pStyle w:val="Heading1"/>
      </w:pPr>
      <w:r>
        <w:t>7 Daily Work as a task-oriented experience</w:t>
      </w:r>
    </w:p>
    <w:p>
      <w:r>
        <w:t>Staff should operate through familiar records and concrete actions. A teacher opens Today and sees assigned sessions, attendance to complete, work to assess and relevant messages. An accounts user sees collections, verification and approval work. A gate worker sees current arrivals and valid releases. A coordinator sees exceptions and delegated decisions.</w:t>
      </w:r>
    </w:p>
    <w:p>
      <w:r>
        <w:t>A useful shared navigation is Today, My work, relevant groups/people, requests, communication and reports, with only the applicable entries shown. The task context should already contain the institution, learner/group, date, offering or service, and the available actions. A staff member should not repeatedly select a role simply to mark the next assigned class.</w:t>
      </w:r>
    </w:p>
    <w:p>
      <w:r>
        <w:t>Eligible governors and external members receive Decisions, Meetings, Actions and Oversight within Daily Work. These views derive from office or seat appointments and matter-specific authority. Membership of a committee does not require an employee record, and ordinary staff do not acquire governance menus merely because the module is enabled.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1"/>
        <w:gridCol w:w="3611"/>
        <w:gridCol w:w="4303"/>
      </w:tblGrid>
      <w:tr>
        <w:trPr>
          <w:tblHeader w:val="true"/>
          <w:cantSplit/>
        </w:trPr>
        <w:tc>
          <w:tcPr>
            <w:tcW w:type="dxa" w:w="1921"/>
            <w:shd w:fill="1D3A50"/>
            <w:vAlign w:val="center"/>
            <w:tcMar>
              <w:top w:w="80" w:type="dxa"/>
              <w:bottom w:w="80" w:type="dxa"/>
              <w:left w:w="90" w:type="dxa"/>
              <w:right w:w="90" w:type="dxa"/>
            </w:tcMar>
          </w:tcPr>
          <w:p>
            <w:pPr>
              <w:spacing w:after="40" w:line="252" w:lineRule="auto"/>
            </w:pPr>
            <w:r>
              <w:rPr>
                <w:b/>
                <w:color w:val="FFFFFF"/>
                <w:sz w:val="19"/>
              </w:rPr>
              <w:t>Work item</w:t>
            </w:r>
          </w:p>
        </w:tc>
        <w:tc>
          <w:tcPr>
            <w:tcW w:type="dxa" w:w="3611"/>
            <w:shd w:fill="1D3A50"/>
            <w:vAlign w:val="center"/>
            <w:tcMar>
              <w:top w:w="80" w:type="dxa"/>
              <w:bottom w:w="80" w:type="dxa"/>
              <w:left w:w="90" w:type="dxa"/>
              <w:right w:w="90" w:type="dxa"/>
            </w:tcMar>
          </w:tcPr>
          <w:p>
            <w:pPr>
              <w:spacing w:after="40" w:line="252" w:lineRule="auto"/>
            </w:pPr>
            <w:r>
              <w:rPr>
                <w:b/>
                <w:color w:val="FFFFFF"/>
                <w:sz w:val="19"/>
              </w:rPr>
              <w:t>What the user sees</w:t>
            </w:r>
          </w:p>
        </w:tc>
        <w:tc>
          <w:tcPr>
            <w:tcW w:type="dxa" w:w="4303"/>
            <w:shd w:fill="1D3A50"/>
            <w:vAlign w:val="center"/>
            <w:tcMar>
              <w:top w:w="80" w:type="dxa"/>
              <w:bottom w:w="80" w:type="dxa"/>
              <w:left w:w="90" w:type="dxa"/>
              <w:right w:w="90" w:type="dxa"/>
            </w:tcMar>
          </w:tcPr>
          <w:p>
            <w:pPr>
              <w:spacing w:after="40" w:line="252" w:lineRule="auto"/>
            </w:pPr>
            <w:r>
              <w:rPr>
                <w:b/>
                <w:color w:val="FFFFFF"/>
                <w:sz w:val="19"/>
              </w:rPr>
              <w:t>Context resolved by the app</w:t>
            </w:r>
          </w:p>
        </w:tc>
      </w:tr>
      <w:tr>
        <w:trPr>
          <w:cantSplit/>
        </w:trPr>
        <w:tc>
          <w:tcPr>
            <w:tcW w:type="dxa" w:w="1921"/>
            <w:shd w:fill="F3F6F8"/>
            <w:vAlign w:val="center"/>
            <w:tcMar>
              <w:top w:w="80" w:type="dxa"/>
              <w:bottom w:w="80" w:type="dxa"/>
              <w:left w:w="90" w:type="dxa"/>
              <w:right w:w="90" w:type="dxa"/>
            </w:tcMar>
          </w:tcPr>
          <w:p>
            <w:pPr>
              <w:spacing w:after="40" w:line="252" w:lineRule="auto"/>
            </w:pPr>
            <w:r>
              <w:rPr>
                <w:sz w:val="19"/>
              </w:rPr>
              <w:t>Mark attendance</w:t>
            </w:r>
          </w:p>
        </w:tc>
        <w:tc>
          <w:tcPr>
            <w:tcW w:type="dxa" w:w="3611"/>
            <w:shd w:fill="F3F6F8"/>
            <w:vAlign w:val="center"/>
            <w:tcMar>
              <w:top w:w="80" w:type="dxa"/>
              <w:bottom w:w="80" w:type="dxa"/>
              <w:left w:w="90" w:type="dxa"/>
              <w:right w:w="90" w:type="dxa"/>
            </w:tcMar>
          </w:tcPr>
          <w:p>
            <w:pPr>
              <w:spacing w:after="40" w:line="252" w:lineRule="auto"/>
            </w:pPr>
            <w:r>
              <w:rPr>
                <w:sz w:val="19"/>
              </w:rPr>
              <w:t>Today’s assigned roster with simple present/absent or defined checkpoint controls.</w:t>
            </w:r>
          </w:p>
        </w:tc>
        <w:tc>
          <w:tcPr>
            <w:tcW w:type="dxa" w:w="4303"/>
            <w:shd w:fill="F3F6F8"/>
            <w:vAlign w:val="center"/>
            <w:tcMar>
              <w:top w:w="80" w:type="dxa"/>
              <w:bottom w:w="80" w:type="dxa"/>
              <w:left w:w="90" w:type="dxa"/>
              <w:right w:w="90" w:type="dxa"/>
            </w:tcMar>
          </w:tcPr>
          <w:p>
            <w:pPr>
              <w:spacing w:after="40" w:line="252" w:lineRule="auto"/>
            </w:pPr>
            <w:r>
              <w:rPr>
                <w:sz w:val="19"/>
              </w:rPr>
              <w:t>Attendance context, effective roster, responsible assignment, permitted correction window and evidence source.</w:t>
            </w:r>
          </w:p>
        </w:tc>
      </w:tr>
      <w:tr>
        <w:trPr>
          <w:cantSplit/>
        </w:trPr>
        <w:tc>
          <w:tcPr>
            <w:tcW w:type="dxa" w:w="1921"/>
            <w:shd w:fill="FFFFFF"/>
            <w:vAlign w:val="center"/>
            <w:tcMar>
              <w:top w:w="80" w:type="dxa"/>
              <w:bottom w:w="80" w:type="dxa"/>
              <w:left w:w="90" w:type="dxa"/>
              <w:right w:w="90" w:type="dxa"/>
            </w:tcMar>
          </w:tcPr>
          <w:p>
            <w:pPr>
              <w:spacing w:after="40" w:line="252" w:lineRule="auto"/>
            </w:pPr>
            <w:r>
              <w:rPr>
                <w:sz w:val="19"/>
              </w:rPr>
              <w:t>Enter marks</w:t>
            </w:r>
          </w:p>
        </w:tc>
        <w:tc>
          <w:tcPr>
            <w:tcW w:type="dxa" w:w="3611"/>
            <w:shd w:fill="FFFFFF"/>
            <w:vAlign w:val="center"/>
            <w:tcMar>
              <w:top w:w="80" w:type="dxa"/>
              <w:bottom w:w="80" w:type="dxa"/>
              <w:left w:w="90" w:type="dxa"/>
              <w:right w:w="90" w:type="dxa"/>
            </w:tcMar>
          </w:tcPr>
          <w:p>
            <w:pPr>
              <w:spacing w:after="40" w:line="252" w:lineRule="auto"/>
            </w:pPr>
            <w:r>
              <w:rPr>
                <w:sz w:val="19"/>
              </w:rPr>
              <w:t>The assigned assessment and learner list.</w:t>
            </w:r>
          </w:p>
        </w:tc>
        <w:tc>
          <w:tcPr>
            <w:tcW w:type="dxa" w:w="4303"/>
            <w:shd w:fill="FFFFFF"/>
            <w:vAlign w:val="center"/>
            <w:tcMar>
              <w:top w:w="80" w:type="dxa"/>
              <w:bottom w:w="80" w:type="dxa"/>
              <w:left w:w="90" w:type="dxa"/>
              <w:right w:w="90" w:type="dxa"/>
            </w:tcMar>
          </w:tcPr>
          <w:p>
            <w:pPr>
              <w:spacing w:after="40" w:line="252" w:lineRule="auto"/>
            </w:pPr>
            <w:r>
              <w:rPr>
                <w:sz w:val="19"/>
              </w:rPr>
              <w:t>Course registration/assessment scope, score scheme, attempt, reviewer and submission state.</w:t>
            </w:r>
          </w:p>
        </w:tc>
      </w:tr>
      <w:tr>
        <w:trPr>
          <w:cantSplit/>
        </w:trPr>
        <w:tc>
          <w:tcPr>
            <w:tcW w:type="dxa" w:w="1921"/>
            <w:shd w:fill="F3F6F8"/>
            <w:vAlign w:val="center"/>
            <w:tcMar>
              <w:top w:w="80" w:type="dxa"/>
              <w:bottom w:w="80" w:type="dxa"/>
              <w:left w:w="90" w:type="dxa"/>
              <w:right w:w="90" w:type="dxa"/>
            </w:tcMar>
          </w:tcPr>
          <w:p>
            <w:pPr>
              <w:spacing w:after="40" w:line="252" w:lineRule="auto"/>
            </w:pPr>
            <w:r>
              <w:rPr>
                <w:sz w:val="19"/>
              </w:rPr>
              <w:t>Receive payment</w:t>
            </w:r>
          </w:p>
        </w:tc>
        <w:tc>
          <w:tcPr>
            <w:tcW w:type="dxa" w:w="3611"/>
            <w:shd w:fill="F3F6F8"/>
            <w:vAlign w:val="center"/>
            <w:tcMar>
              <w:top w:w="80" w:type="dxa"/>
              <w:bottom w:w="80" w:type="dxa"/>
              <w:left w:w="90" w:type="dxa"/>
              <w:right w:w="90" w:type="dxa"/>
            </w:tcMar>
          </w:tcPr>
          <w:p>
            <w:pPr>
              <w:spacing w:after="40" w:line="252" w:lineRule="auto"/>
            </w:pPr>
            <w:r>
              <w:rPr>
                <w:sz w:val="19"/>
              </w:rPr>
              <w:t>The relevant invoice/account and supported payment action.</w:t>
            </w:r>
          </w:p>
        </w:tc>
        <w:tc>
          <w:tcPr>
            <w:tcW w:type="dxa" w:w="4303"/>
            <w:shd w:fill="F3F6F8"/>
            <w:vAlign w:val="center"/>
            <w:tcMar>
              <w:top w:w="80" w:type="dxa"/>
              <w:bottom w:w="80" w:type="dxa"/>
              <w:left w:w="90" w:type="dxa"/>
              <w:right w:w="90" w:type="dxa"/>
            </w:tcMar>
          </w:tcPr>
          <w:p>
            <w:pPr>
              <w:spacing w:after="40" w:line="252" w:lineRule="auto"/>
            </w:pPr>
            <w:r>
              <w:rPr>
                <w:sz w:val="19"/>
              </w:rPr>
              <w:t>Issuer, payer authority, outstanding demand, currency, transaction state and receipt rules.</w:t>
            </w:r>
          </w:p>
        </w:tc>
      </w:tr>
      <w:tr>
        <w:trPr>
          <w:cantSplit/>
        </w:trPr>
        <w:tc>
          <w:tcPr>
            <w:tcW w:type="dxa" w:w="1921"/>
            <w:shd w:fill="FFFFFF"/>
            <w:vAlign w:val="center"/>
            <w:tcMar>
              <w:top w:w="80" w:type="dxa"/>
              <w:bottom w:w="80" w:type="dxa"/>
              <w:left w:w="90" w:type="dxa"/>
              <w:right w:w="90" w:type="dxa"/>
            </w:tcMar>
          </w:tcPr>
          <w:p>
            <w:pPr>
              <w:spacing w:after="40" w:line="252" w:lineRule="auto"/>
            </w:pPr>
            <w:r>
              <w:rPr>
                <w:sz w:val="19"/>
              </w:rPr>
              <w:t>Approve concession</w:t>
            </w:r>
          </w:p>
        </w:tc>
        <w:tc>
          <w:tcPr>
            <w:tcW w:type="dxa" w:w="3611"/>
            <w:shd w:fill="FFFFFF"/>
            <w:vAlign w:val="center"/>
            <w:tcMar>
              <w:top w:w="80" w:type="dxa"/>
              <w:bottom w:w="80" w:type="dxa"/>
              <w:left w:w="90" w:type="dxa"/>
              <w:right w:w="90" w:type="dxa"/>
            </w:tcMar>
          </w:tcPr>
          <w:p>
            <w:pPr>
              <w:spacing w:after="40" w:line="252" w:lineRule="auto"/>
            </w:pPr>
            <w:r>
              <w:rPr>
                <w:sz w:val="19"/>
              </w:rPr>
              <w:t>The requested amount, reason and relevant evidence.</w:t>
            </w:r>
          </w:p>
        </w:tc>
        <w:tc>
          <w:tcPr>
            <w:tcW w:type="dxa" w:w="4303"/>
            <w:shd w:fill="FFFFFF"/>
            <w:vAlign w:val="center"/>
            <w:tcMar>
              <w:top w:w="80" w:type="dxa"/>
              <w:bottom w:w="80" w:type="dxa"/>
              <w:left w:w="90" w:type="dxa"/>
              <w:right w:w="90" w:type="dxa"/>
            </w:tcMar>
          </w:tcPr>
          <w:p>
            <w:pPr>
              <w:spacing w:after="40" w:line="252" w:lineRule="auto"/>
            </w:pPr>
            <w:r>
              <w:rPr>
                <w:sz w:val="19"/>
              </w:rPr>
              <w:t>Request version, monetary authority, independence rule, accounting action and recipient visibility.</w:t>
            </w:r>
          </w:p>
        </w:tc>
      </w:tr>
      <w:tr>
        <w:trPr>
          <w:cantSplit/>
        </w:trPr>
        <w:tc>
          <w:tcPr>
            <w:tcW w:type="dxa" w:w="1921"/>
            <w:shd w:fill="F3F6F8"/>
            <w:vAlign w:val="center"/>
            <w:tcMar>
              <w:top w:w="80" w:type="dxa"/>
              <w:bottom w:w="80" w:type="dxa"/>
              <w:left w:w="90" w:type="dxa"/>
              <w:right w:w="90" w:type="dxa"/>
            </w:tcMar>
          </w:tcPr>
          <w:p>
            <w:pPr>
              <w:spacing w:after="40" w:line="252" w:lineRule="auto"/>
            </w:pPr>
            <w:r>
              <w:rPr>
                <w:sz w:val="19"/>
              </w:rPr>
              <w:t>Transfer a learner</w:t>
            </w:r>
          </w:p>
        </w:tc>
        <w:tc>
          <w:tcPr>
            <w:tcW w:type="dxa" w:w="3611"/>
            <w:shd w:fill="F3F6F8"/>
            <w:vAlign w:val="center"/>
            <w:tcMar>
              <w:top w:w="80" w:type="dxa"/>
              <w:bottom w:w="80" w:type="dxa"/>
              <w:left w:w="90" w:type="dxa"/>
              <w:right w:w="90" w:type="dxa"/>
            </w:tcMar>
          </w:tcPr>
          <w:p>
            <w:pPr>
              <w:spacing w:after="40" w:line="252" w:lineRule="auto"/>
            </w:pPr>
            <w:r>
              <w:rPr>
                <w:sz w:val="19"/>
              </w:rPr>
              <w:t>Current group, eligible destinations and effective date.</w:t>
            </w:r>
          </w:p>
        </w:tc>
        <w:tc>
          <w:tcPr>
            <w:tcW w:type="dxa" w:w="4303"/>
            <w:shd w:fill="F3F6F8"/>
            <w:vAlign w:val="center"/>
            <w:tcMar>
              <w:top w:w="80" w:type="dxa"/>
              <w:bottom w:w="80" w:type="dxa"/>
              <w:left w:w="90" w:type="dxa"/>
              <w:right w:w="90" w:type="dxa"/>
            </w:tcMar>
          </w:tcPr>
          <w:p>
            <w:pPr>
              <w:spacing w:after="40" w:line="252" w:lineRule="auto"/>
            </w:pPr>
            <w:r>
              <w:rPr>
                <w:sz w:val="19"/>
              </w:rPr>
              <w:t>Capacity, programme/course implications, schedule, applicable charges and historical membership.</w:t>
            </w:r>
          </w:p>
        </w:tc>
      </w:tr>
      <w:tr>
        <w:trPr>
          <w:cantSplit/>
        </w:trPr>
        <w:tc>
          <w:tcPr>
            <w:tcW w:type="dxa" w:w="1921"/>
            <w:shd w:fill="FFFFFF"/>
            <w:vAlign w:val="center"/>
            <w:tcMar>
              <w:top w:w="80" w:type="dxa"/>
              <w:bottom w:w="80" w:type="dxa"/>
              <w:left w:w="90" w:type="dxa"/>
              <w:right w:w="90" w:type="dxa"/>
            </w:tcMar>
          </w:tcPr>
          <w:p>
            <w:pPr>
              <w:spacing w:after="40" w:line="252" w:lineRule="auto"/>
            </w:pPr>
            <w:r>
              <w:rPr>
                <w:sz w:val="19"/>
              </w:rPr>
              <w:t>Verify pickup</w:t>
            </w:r>
          </w:p>
        </w:tc>
        <w:tc>
          <w:tcPr>
            <w:tcW w:type="dxa" w:w="3611"/>
            <w:shd w:fill="FFFFFF"/>
            <w:vAlign w:val="center"/>
            <w:tcMar>
              <w:top w:w="80" w:type="dxa"/>
              <w:bottom w:w="80" w:type="dxa"/>
              <w:left w:w="90" w:type="dxa"/>
              <w:right w:w="90" w:type="dxa"/>
            </w:tcMar>
          </w:tcPr>
          <w:p>
            <w:pPr>
              <w:spacing w:after="40" w:line="252" w:lineRule="auto"/>
            </w:pPr>
            <w:r>
              <w:rPr>
                <w:sz w:val="19"/>
              </w:rPr>
              <w:t>The child, valid release and authorised collector information.</w:t>
            </w:r>
          </w:p>
        </w:tc>
        <w:tc>
          <w:tcPr>
            <w:tcW w:type="dxa" w:w="4303"/>
            <w:shd w:fill="FFFFFF"/>
            <w:vAlign w:val="center"/>
            <w:tcMar>
              <w:top w:w="80" w:type="dxa"/>
              <w:bottom w:w="80" w:type="dxa"/>
              <w:left w:w="90" w:type="dxa"/>
              <w:right w:w="90" w:type="dxa"/>
            </w:tcMar>
          </w:tcPr>
          <w:p>
            <w:pPr>
              <w:spacing w:after="40" w:line="252" w:lineRule="auto"/>
            </w:pPr>
            <w:r>
              <w:rPr>
                <w:sz w:val="19"/>
              </w:rPr>
              <w:t>School approval, relationship authority, validity period, gate/trip context and audit requirements.</w:t>
            </w:r>
          </w:p>
        </w:tc>
      </w:tr>
    </w:tbl>
    <w:p>
      <w:pPr>
        <w:spacing w:after="20" w:before="0"/>
      </w:pPr>
    </w:p>
    <w:p>
      <w:r>
        <w:t>Use fast paths for routine work and an exception queue for matters needing judgment. A missing teacher, conflicting roster, unavailable approver or duplicate payment signal becomes a visible exception with an accountable owner. It must not become silently completed work. An operation-specific form should show the relevant information and actions; generic form generation is suitable for supporting metadata, not a replacement for all operational screens.</w:t>
      </w:r>
    </w:p>
    <w:p>
      <w:r>
        <w:t>Every task should distinguish the responsible assignment, current owner, due time, completion condition and escalation path. Reassigning a task can change who should act, but does not itself confer permission. The recipient’s current authority is checked when the command is attempted.</w:t>
      </w:r>
    </w:p>
    <w:p>
      <w:pPr>
        <w:pStyle w:val="Heading1"/>
      </w:pPr>
      <w:r>
        <w:t>8 Responsibility templates and access</w:t>
      </w:r>
    </w:p>
    <w:p>
      <w:r>
        <w:t>A responsibility template describes recurring work: purpose, trigger or schedule, expected output, available actions, accepted scope and escalation. OmniSchool separates five application-access concepts. Account type fixes the administrator, staff, guardian or learner portal boundary. A work profile describes the kinds of responsibilities a staff member is eligible to receive. A dated responsibility assignment records the actual work, scope and accountable assigner. A platform-owned capability pack maps that responsibility to minimum technical permissions. A dated access exception handles a legitimate case that the supported profiles and assignments cannot express.</w:t>
      </w:r>
    </w:p>
    <w:p>
      <w:pPr/>
      <w:r>
        <w:t>A work profile does not activate assignment-scoped capability by itself. An active responsibility does so only when an active work profile includes that responsibility type, and the owning domain still checks the specific class, event, assessment, trip, learner, case and workflow state. Atomic permission codes are an internal enforcement contract, not the normal administrator interface.</w:t>
      </w:r>
    </w:p>
    <w:p>
      <w:pPr/>
      <w:r>
        <w:t>Institutional authority remains separate from all five concepts. An office or body seat is occupied through a dated appointment and receives powers from a source-backed grant or mandate. App access exposes functions; it cannot appoint, delegate, adopt policy, vote or decide a reserved matter.</w:t>
      </w:r>
    </w:p>
    <w:p>
      <w:r>
        <w:t>An office or committee seat is distinct from an application role. A dated appointment establishes who occupies that position; a source-backed authority grant records its powers. A work assignment references its authorising mandate or an approved provisioning decision. App permissions expose the functions a person may use, but do not by themselves establish the power to appoint, adopt policy, vote or decide a reserved matter.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12"/>
        <w:gridCol w:w="4149"/>
        <w:gridCol w:w="3073"/>
      </w:tblGrid>
      <w:tr>
        <w:trPr>
          <w:tblHeader w:val="true"/>
          <w:cantSplit/>
        </w:trPr>
        <w:tc>
          <w:tcPr>
            <w:tcW w:type="dxa" w:w="2612"/>
            <w:shd w:fill="1D3A50"/>
            <w:vAlign w:val="center"/>
            <w:tcMar>
              <w:top w:w="80" w:type="dxa"/>
              <w:bottom w:w="80" w:type="dxa"/>
              <w:left w:w="90" w:type="dxa"/>
              <w:right w:w="90" w:type="dxa"/>
            </w:tcMar>
          </w:tcPr>
          <w:p>
            <w:pPr>
              <w:spacing w:after="40" w:line="252" w:lineRule="auto"/>
            </w:pPr>
            <w:r>
              <w:rPr>
                <w:b/>
                <w:color w:val="FFFFFF"/>
                <w:sz w:val="19"/>
              </w:rPr>
              <w:t>Responsibility</w:t>
            </w:r>
          </w:p>
        </w:tc>
        <w:tc>
          <w:tcPr>
            <w:tcW w:type="dxa" w:w="4149"/>
            <w:shd w:fill="1D3A50"/>
            <w:vAlign w:val="center"/>
            <w:tcMar>
              <w:top w:w="80" w:type="dxa"/>
              <w:bottom w:w="80" w:type="dxa"/>
              <w:left w:w="90" w:type="dxa"/>
              <w:right w:w="90" w:type="dxa"/>
            </w:tcMar>
          </w:tcPr>
          <w:p>
            <w:pPr>
              <w:spacing w:after="40" w:line="252" w:lineRule="auto"/>
            </w:pPr>
            <w:r>
              <w:rPr>
                <w:b/>
                <w:color w:val="FFFFFF"/>
                <w:sz w:val="19"/>
              </w:rPr>
              <w:t>Expected output</w:t>
            </w:r>
          </w:p>
        </w:tc>
        <w:tc>
          <w:tcPr>
            <w:tcW w:type="dxa" w:w="3073"/>
            <w:shd w:fill="1D3A50"/>
            <w:vAlign w:val="center"/>
            <w:tcMar>
              <w:top w:w="80" w:type="dxa"/>
              <w:bottom w:w="80" w:type="dxa"/>
              <w:left w:w="90" w:type="dxa"/>
              <w:right w:w="90" w:type="dxa"/>
            </w:tcMar>
          </w:tcPr>
          <w:p>
            <w:pPr>
              <w:spacing w:after="40" w:line="252" w:lineRule="auto"/>
            </w:pPr>
            <w:r>
              <w:rPr>
                <w:b/>
                <w:color w:val="FFFFFF"/>
                <w:sz w:val="19"/>
              </w:rPr>
              <w:t>Typical assignment scope</w:t>
            </w:r>
          </w:p>
        </w:tc>
      </w:tr>
      <w:tr>
        <w:trPr>
          <w:cantSplit/>
        </w:trPr>
        <w:tc>
          <w:tcPr>
            <w:tcW w:type="dxa" w:w="2612"/>
            <w:shd w:fill="F3F6F8"/>
            <w:vAlign w:val="center"/>
            <w:tcMar>
              <w:top w:w="80" w:type="dxa"/>
              <w:bottom w:w="80" w:type="dxa"/>
              <w:left w:w="90" w:type="dxa"/>
              <w:right w:w="90" w:type="dxa"/>
            </w:tcMar>
          </w:tcPr>
          <w:p>
            <w:pPr>
              <w:spacing w:after="40" w:line="252" w:lineRule="auto"/>
            </w:pPr>
            <w:r>
              <w:rPr>
                <w:sz w:val="19"/>
              </w:rPr>
              <w:t>Record daily class attendance</w:t>
            </w:r>
          </w:p>
        </w:tc>
        <w:tc>
          <w:tcPr>
            <w:tcW w:type="dxa" w:w="4149"/>
            <w:shd w:fill="F3F6F8"/>
            <w:vAlign w:val="center"/>
            <w:tcMar>
              <w:top w:w="80" w:type="dxa"/>
              <w:bottom w:w="80" w:type="dxa"/>
              <w:left w:w="90" w:type="dxa"/>
              <w:right w:w="90" w:type="dxa"/>
            </w:tcMar>
          </w:tcPr>
          <w:p>
            <w:pPr>
              <w:spacing w:after="40" w:line="252" w:lineRule="auto"/>
            </w:pPr>
            <w:r>
              <w:rPr>
                <w:sz w:val="19"/>
              </w:rPr>
              <w:t>A completed attendance register or explicitly flagged exceptions.</w:t>
            </w:r>
          </w:p>
        </w:tc>
        <w:tc>
          <w:tcPr>
            <w:tcW w:type="dxa" w:w="3073"/>
            <w:shd w:fill="F3F6F8"/>
            <w:vAlign w:val="center"/>
            <w:tcMar>
              <w:top w:w="80" w:type="dxa"/>
              <w:bottom w:w="80" w:type="dxa"/>
              <w:left w:w="90" w:type="dxa"/>
              <w:right w:w="90" w:type="dxa"/>
            </w:tcMar>
          </w:tcPr>
          <w:p>
            <w:pPr>
              <w:spacing w:after="40" w:line="252" w:lineRule="auto"/>
            </w:pPr>
            <w:r>
              <w:rPr>
                <w:sz w:val="19"/>
              </w:rPr>
              <w:t>A named administrative class and school-day context.</w:t>
            </w:r>
          </w:p>
        </w:tc>
      </w:tr>
      <w:tr>
        <w:trPr>
          <w:cantSplit/>
        </w:trPr>
        <w:tc>
          <w:tcPr>
            <w:tcW w:type="dxa" w:w="2612"/>
            <w:shd w:fill="FFFFFF"/>
            <w:vAlign w:val="center"/>
            <w:tcMar>
              <w:top w:w="80" w:type="dxa"/>
              <w:bottom w:w="80" w:type="dxa"/>
              <w:left w:w="90" w:type="dxa"/>
              <w:right w:w="90" w:type="dxa"/>
            </w:tcMar>
          </w:tcPr>
          <w:p>
            <w:pPr>
              <w:spacing w:after="40" w:line="252" w:lineRule="auto"/>
            </w:pPr>
            <w:r>
              <w:rPr>
                <w:sz w:val="19"/>
              </w:rPr>
              <w:t>Teach and assess a course</w:t>
            </w:r>
          </w:p>
        </w:tc>
        <w:tc>
          <w:tcPr>
            <w:tcW w:type="dxa" w:w="4149"/>
            <w:shd w:fill="FFFFFF"/>
            <w:vAlign w:val="center"/>
            <w:tcMar>
              <w:top w:w="80" w:type="dxa"/>
              <w:bottom w:w="80" w:type="dxa"/>
              <w:left w:w="90" w:type="dxa"/>
              <w:right w:w="90" w:type="dxa"/>
            </w:tcMar>
          </w:tcPr>
          <w:p>
            <w:pPr>
              <w:spacing w:after="40" w:line="252" w:lineRule="auto"/>
            </w:pPr>
            <w:r>
              <w:rPr>
                <w:sz w:val="19"/>
              </w:rPr>
              <w:t>Learning work, feedback and submitted assessment results.</w:t>
            </w:r>
          </w:p>
        </w:tc>
        <w:tc>
          <w:tcPr>
            <w:tcW w:type="dxa" w:w="3073"/>
            <w:shd w:fill="FFFFFF"/>
            <w:vAlign w:val="center"/>
            <w:tcMar>
              <w:top w:w="80" w:type="dxa"/>
              <w:bottom w:w="80" w:type="dxa"/>
              <w:left w:w="90" w:type="dxa"/>
              <w:right w:w="90" w:type="dxa"/>
            </w:tcMar>
          </w:tcPr>
          <w:p>
            <w:pPr>
              <w:spacing w:after="40" w:line="252" w:lineRule="auto"/>
            </w:pPr>
            <w:r>
              <w:rPr>
                <w:sz w:val="19"/>
              </w:rPr>
              <w:t>Named course offerings or assessment assignments.</w:t>
            </w:r>
          </w:p>
        </w:tc>
      </w:tr>
      <w:tr>
        <w:trPr>
          <w:cantSplit/>
        </w:trPr>
        <w:tc>
          <w:tcPr>
            <w:tcW w:type="dxa" w:w="2612"/>
            <w:shd w:fill="F3F6F8"/>
            <w:vAlign w:val="center"/>
            <w:tcMar>
              <w:top w:w="80" w:type="dxa"/>
              <w:bottom w:w="80" w:type="dxa"/>
              <w:left w:w="90" w:type="dxa"/>
              <w:right w:w="90" w:type="dxa"/>
            </w:tcMar>
          </w:tcPr>
          <w:p>
            <w:pPr>
              <w:spacing w:after="40" w:line="252" w:lineRule="auto"/>
            </w:pPr>
            <w:r>
              <w:rPr>
                <w:sz w:val="19"/>
              </w:rPr>
              <w:t>Coordinate a cohort</w:t>
            </w:r>
          </w:p>
        </w:tc>
        <w:tc>
          <w:tcPr>
            <w:tcW w:type="dxa" w:w="4149"/>
            <w:shd w:fill="F3F6F8"/>
            <w:vAlign w:val="center"/>
            <w:tcMar>
              <w:top w:w="80" w:type="dxa"/>
              <w:bottom w:w="80" w:type="dxa"/>
              <w:left w:w="90" w:type="dxa"/>
              <w:right w:w="90" w:type="dxa"/>
            </w:tcMar>
          </w:tcPr>
          <w:p>
            <w:pPr>
              <w:spacing w:after="40" w:line="252" w:lineRule="auto"/>
            </w:pPr>
            <w:r>
              <w:rPr>
                <w:sz w:val="19"/>
              </w:rPr>
              <w:t>Follow-up on authorised academic and attendance summaries.</w:t>
            </w:r>
          </w:p>
        </w:tc>
        <w:tc>
          <w:tcPr>
            <w:tcW w:type="dxa" w:w="3073"/>
            <w:shd w:fill="F3F6F8"/>
            <w:vAlign w:val="center"/>
            <w:tcMar>
              <w:top w:w="80" w:type="dxa"/>
              <w:bottom w:w="80" w:type="dxa"/>
              <w:left w:w="90" w:type="dxa"/>
              <w:right w:w="90" w:type="dxa"/>
            </w:tcMar>
          </w:tcPr>
          <w:p>
            <w:pPr>
              <w:spacing w:after="40" w:line="252" w:lineRule="auto"/>
            </w:pPr>
            <w:r>
              <w:rPr>
                <w:sz w:val="19"/>
              </w:rPr>
              <w:t>Named administrative cohort and period.</w:t>
            </w:r>
          </w:p>
        </w:tc>
      </w:tr>
      <w:tr>
        <w:trPr>
          <w:cantSplit/>
        </w:trPr>
        <w:tc>
          <w:tcPr>
            <w:tcW w:type="dxa" w:w="2612"/>
            <w:shd w:fill="FFFFFF"/>
            <w:vAlign w:val="center"/>
            <w:tcMar>
              <w:top w:w="80" w:type="dxa"/>
              <w:bottom w:w="80" w:type="dxa"/>
              <w:left w:w="90" w:type="dxa"/>
              <w:right w:w="90" w:type="dxa"/>
            </w:tcMar>
          </w:tcPr>
          <w:p>
            <w:pPr>
              <w:spacing w:after="40" w:line="252" w:lineRule="auto"/>
            </w:pPr>
            <w:r>
              <w:rPr>
                <w:sz w:val="19"/>
              </w:rPr>
              <w:t>Collect fees</w:t>
            </w:r>
          </w:p>
        </w:tc>
        <w:tc>
          <w:tcPr>
            <w:tcW w:type="dxa" w:w="4149"/>
            <w:shd w:fill="FFFFFF"/>
            <w:vAlign w:val="center"/>
            <w:tcMar>
              <w:top w:w="80" w:type="dxa"/>
              <w:bottom w:w="80" w:type="dxa"/>
              <w:left w:w="90" w:type="dxa"/>
              <w:right w:w="90" w:type="dxa"/>
            </w:tcMar>
          </w:tcPr>
          <w:p>
            <w:pPr>
              <w:spacing w:after="40" w:line="252" w:lineRule="auto"/>
            </w:pPr>
            <w:r>
              <w:rPr>
                <w:sz w:val="19"/>
              </w:rPr>
              <w:t>Receipts for supported money-received actions and verification requests for unconfirmed claims.</w:t>
            </w:r>
          </w:p>
        </w:tc>
        <w:tc>
          <w:tcPr>
            <w:tcW w:type="dxa" w:w="3073"/>
            <w:shd w:fill="FFFFFF"/>
            <w:vAlign w:val="center"/>
            <w:tcMar>
              <w:top w:w="80" w:type="dxa"/>
              <w:bottom w:w="80" w:type="dxa"/>
              <w:left w:w="90" w:type="dxa"/>
              <w:right w:w="90" w:type="dxa"/>
            </w:tcMar>
          </w:tcPr>
          <w:p>
            <w:pPr>
              <w:spacing w:after="40" w:line="252" w:lineRule="auto"/>
            </w:pPr>
            <w:r>
              <w:rPr>
                <w:sz w:val="19"/>
              </w:rPr>
              <w:t>Institution accounts, collection duty and permitted transaction types.</w:t>
            </w:r>
          </w:p>
        </w:tc>
      </w:tr>
      <w:tr>
        <w:trPr>
          <w:cantSplit/>
        </w:trPr>
        <w:tc>
          <w:tcPr>
            <w:tcW w:type="dxa" w:w="2612"/>
            <w:shd w:fill="F3F6F8"/>
            <w:vAlign w:val="center"/>
            <w:tcMar>
              <w:top w:w="80" w:type="dxa"/>
              <w:bottom w:w="80" w:type="dxa"/>
              <w:left w:w="90" w:type="dxa"/>
              <w:right w:w="90" w:type="dxa"/>
            </w:tcMar>
          </w:tcPr>
          <w:p>
            <w:pPr>
              <w:spacing w:after="40" w:line="252" w:lineRule="auto"/>
            </w:pPr>
            <w:r>
              <w:rPr>
                <w:sz w:val="19"/>
              </w:rPr>
              <w:t>Approve financial exceptions</w:t>
            </w:r>
          </w:p>
        </w:tc>
        <w:tc>
          <w:tcPr>
            <w:tcW w:type="dxa" w:w="4149"/>
            <w:shd w:fill="F3F6F8"/>
            <w:vAlign w:val="center"/>
            <w:tcMar>
              <w:top w:w="80" w:type="dxa"/>
              <w:bottom w:w="80" w:type="dxa"/>
              <w:left w:w="90" w:type="dxa"/>
              <w:right w:w="90" w:type="dxa"/>
            </w:tcMar>
          </w:tcPr>
          <w:p>
            <w:pPr>
              <w:spacing w:after="40" w:line="252" w:lineRule="auto"/>
            </w:pPr>
            <w:r>
              <w:rPr>
                <w:sz w:val="19"/>
              </w:rPr>
              <w:t>A decision bound to a specific request and delegated amount/type.</w:t>
            </w:r>
          </w:p>
        </w:tc>
        <w:tc>
          <w:tcPr>
            <w:tcW w:type="dxa" w:w="3073"/>
            <w:shd w:fill="F3F6F8"/>
            <w:vAlign w:val="center"/>
            <w:tcMar>
              <w:top w:w="80" w:type="dxa"/>
              <w:bottom w:w="80" w:type="dxa"/>
              <w:left w:w="90" w:type="dxa"/>
              <w:right w:w="90" w:type="dxa"/>
            </w:tcMar>
          </w:tcPr>
          <w:p>
            <w:pPr>
              <w:spacing w:after="40" w:line="252" w:lineRule="auto"/>
            </w:pPr>
            <w:r>
              <w:rPr>
                <w:sz w:val="19"/>
              </w:rPr>
              <w:t>Institution, request type, amount limit and validity period.</w:t>
            </w:r>
          </w:p>
        </w:tc>
      </w:tr>
      <w:tr>
        <w:trPr>
          <w:cantSplit/>
        </w:trPr>
        <w:tc>
          <w:tcPr>
            <w:tcW w:type="dxa" w:w="2612"/>
            <w:shd w:fill="FFFFFF"/>
            <w:vAlign w:val="center"/>
            <w:tcMar>
              <w:top w:w="80" w:type="dxa"/>
              <w:bottom w:w="80" w:type="dxa"/>
              <w:left w:w="90" w:type="dxa"/>
              <w:right w:w="90" w:type="dxa"/>
            </w:tcMar>
          </w:tcPr>
          <w:p>
            <w:pPr>
              <w:spacing w:after="40" w:line="252" w:lineRule="auto"/>
            </w:pPr>
            <w:r>
              <w:rPr>
                <w:sz w:val="19"/>
              </w:rPr>
              <w:t>Provide support</w:t>
            </w:r>
          </w:p>
        </w:tc>
        <w:tc>
          <w:tcPr>
            <w:tcW w:type="dxa" w:w="4149"/>
            <w:shd w:fill="FFFFFF"/>
            <w:vAlign w:val="center"/>
            <w:tcMar>
              <w:top w:w="80" w:type="dxa"/>
              <w:bottom w:w="80" w:type="dxa"/>
              <w:left w:w="90" w:type="dxa"/>
              <w:right w:w="90" w:type="dxa"/>
            </w:tcMar>
          </w:tcPr>
          <w:p>
            <w:pPr>
              <w:spacing w:after="40" w:line="252" w:lineRule="auto"/>
            </w:pPr>
            <w:r>
              <w:rPr>
                <w:sz w:val="19"/>
              </w:rPr>
              <w:t>Authorised case work and necessary shared instructions.</w:t>
            </w:r>
          </w:p>
        </w:tc>
        <w:tc>
          <w:tcPr>
            <w:tcW w:type="dxa" w:w="3073"/>
            <w:shd w:fill="FFFFFF"/>
            <w:vAlign w:val="center"/>
            <w:tcMar>
              <w:top w:w="80" w:type="dxa"/>
              <w:bottom w:w="80" w:type="dxa"/>
              <w:left w:w="90" w:type="dxa"/>
              <w:right w:w="90" w:type="dxa"/>
            </w:tcMar>
          </w:tcPr>
          <w:p>
            <w:pPr>
              <w:spacing w:after="40" w:line="252" w:lineRule="auto"/>
            </w:pPr>
            <w:r>
              <w:rPr>
                <w:sz w:val="19"/>
              </w:rPr>
              <w:t>Specific cases or an explicitly delegated professional caseload.</w:t>
            </w:r>
          </w:p>
        </w:tc>
      </w:tr>
    </w:tbl>
    <w:p>
      <w:pPr>
        <w:spacing w:after="20" w:before="0"/>
      </w:pPr>
    </w:p>
    <w:p>
      <w:r>
        <w:t>NIST’s attribute-based access-control model supplies an established basis for evaluating the actor, object, operation and environment against policies and relationships. The following school/college/coaching scope rules are the proposed application design built on those concepts. [4]</w:t>
      </w:r>
    </w:p>
    <w:p>
      <w:pPr>
        <w:spacing w:after="160"/>
        <w:ind w:left="144"/>
      </w:pPr>
      <w:r>
        <w:rPr>
          <w:rFonts w:ascii="Consolas" w:hAnsi="Consolas"/>
          <w:sz w:val="18"/>
        </w:rPr>
        <w:t>Assignment example</w:t>
        <w:br/>
        <w:t>person: Ananya Sharma</w:t>
        <w:br/>
        <w:t>institution: S001</w:t>
        <w:br/>
        <w:t>role: Instructor, version 3</w:t>
        <w:br/>
        <w:t>scope: Mathematics offerings for VII-A, VIII-A and VIII-B</w:t>
        <w:br/>
        <w:t>validity: academic year 2026-27</w:t>
        <w:br/>
        <w:t>additional authority: none</w:t>
        <w:br/>
        <w:br/>
        <w:t>Separate assignment</w:t>
        <w:br/>
        <w:t>role: Cohort advisor, version 2</w:t>
        <w:br/>
        <w:t>scope: VIII-A</w:t>
        <w:br/>
        <w:t>effect: permitted consolidated summaries and class coordination</w:t>
      </w:r>
    </w:p>
    <w:p>
      <w:r>
        <w:t>Evaluate at least one complete grant for the requested action and record, then apply current restrictions and command preconditions. Do not union all a person’s scopes separately from all their permissions. Viewing all-subject summaries for VIII-A plus editing Mathematics for VIII-B must not create permission to edit English marks in VIII-A.</w:t>
      </w:r>
    </w:p>
    <w:p>
      <w:pPr>
        <w:spacing w:after="160"/>
        <w:ind w:left="144"/>
      </w:pPr>
      <w:r>
        <w:rPr>
          <w:rFonts w:ascii="Consolas" w:hAnsi="Consolas"/>
          <w:sz w:val="18"/>
        </w:rPr>
        <w:t>ALLOW when</w:t>
        <w:br/>
        <w:t xml:space="preserve">  the actor and institution membership are valid</w:t>
        <w:br/>
        <w:t xml:space="preserve">  AND the required capability is available for this operation</w:t>
        <w:br/>
        <w:t xml:space="preserve">  AND one complete active assignment or relationship grants</w:t>
        <w:br/>
        <w:t xml:space="preserve">      this action on this record with these fields</w:t>
        <w:br/>
        <w:t xml:space="preserve">  AND any required standing mandate or decision-specific authorisation</w:t>
        <w:br/>
        <w:t xml:space="preserve">      covers this matter and the material effect</w:t>
        <w:br/>
        <w:t xml:space="preserve">  AND relevant time, state and approval conditions hold</w:t>
        <w:br/>
        <w:t xml:space="preserve">  AND all applicable mandatory restrictions hold</w:t>
        <w:br/>
        <w:t>Otherwise deny or route the work to its authorised exception process.</w:t>
      </w:r>
    </w:p>
    <w:p>
      <w:r>
        <w:t>Scope references must be typed. A teaching group, administrative cohort, club, case, trip and financial account are not interchangeable. Supported expansion from an organisational unit to subordinate records is declared per capability; a reporting manager or parent organisation does not inherit all content automatically. Export, grant access, publish and delete are separate actions.</w:t>
      </w:r>
    </w:p>
    <w:p>
      <w:r>
        <w:t>A supported scope can be a bounded conjunction, such as course offering X AND laboratory group B AND component assessment Y. The module validates that the referenced scopes are compatible. This lets co-teachers share an offering while retaining different instructional or assessment responsibilities.</w:t>
      </w:r>
    </w:p>
    <w:p>
      <w:r>
        <w:t>A role approver may authorise only the role families and scopes delegated to them. A provisioner may apply approved assignments without reading the underlying private content. Independent approvals are checked by person identity and cannot be satisfied by switching roles. The current account and authority are rechecked at execution, including actions initiated by AI, integrations, bulk imports or delayed jobs.</w:t>
      </w:r>
    </w:p>
    <w:p>
      <w:r>
        <w:t>Standing authority supports routine permitted work without a new resolution for each action. A body member has participation rights only under the relevant appointment, matter and decision procedure. A secretary can prepare and certify records when authorised without automatically receiving an ordinary vote or unrestricted access to institute data.</w:t>
      </w:r>
    </w:p>
    <w:p>
      <w:pPr>
        <w:pStyle w:val="Heading1"/>
      </w:pPr>
      <w:commentRangeStart w:id="0"/>
      <w:r>
        <w:t>8A Institutional governance and mobile operation</w:t>
      </w:r>
      <w:commentRangeEnd w:id="0"/>
      <w:r>
        <w:rPr>
          <w:rStyle w:val="CommentReference"/>
        </w:rPr>
        <w:commentReference w:id="0"/>
      </w:r>
    </w:p>
    <w:p>
      <w:r>
        <w:t>The product should represent governance as the continuing process of setting direction, assigning powers, making valid decisions, checking results and requiring corrective action. A list of roles and an approval inbox cover only part of that process. Governance also needs adopted policies, appointments, budgets and priorities, decision proceedings, external conditions, evidence and accountability through closure.</w:t>
      </w:r>
    </w:p>
    <w:p>
      <w:r>
        <w:t>Retain the two experiences. Institute Setup describes and publishes who may decide what and which procedures apply. Daily Work contains the actual decisions, meetings and follow-up alongside ordinary staff operations. A principal may use both. The governing body need not use a separate application, and routine attendance should not pass through a committee.</w:t>
      </w:r>
    </w:p>
    <w:p>
      <w:pPr>
        <w:pStyle w:val="Heading2"/>
      </w:pPr>
      <w:r>
        <w:t>8A 1 Indian governance profiles</w:t>
      </w:r>
    </w:p>
    <w:p>
      <w:r>
        <w:t>An institute profile records the jurisdiction, legal operator, management or funding category where relevant, board or university affiliation, autonomous status, programme-specific authorities and its own governing instruments. These select applicable starting templates. They do not manufacture powers. Each adopted rule retains its source, provision, scope, effective dates and responsible verification. A template marked school or college is insufficient to settle all governance questions.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456"/>
        <w:gridCol w:w="4291"/>
      </w:tblGrid>
      <w:tr>
        <w:trPr>
          <w:tblHeader w:val="true"/>
          <w:cantSplit/>
        </w:trPr>
        <w:tc>
          <w:tcPr>
            <w:tcW w:type="dxa" w:w="2088"/>
            <w:shd w:fill="1D3A50"/>
            <w:vAlign w:val="center"/>
            <w:tcMar>
              <w:top w:w="80" w:type="dxa"/>
              <w:bottom w:w="80" w:type="dxa"/>
              <w:left w:w="90" w:type="dxa"/>
              <w:right w:w="90" w:type="dxa"/>
            </w:tcMar>
          </w:tcPr>
          <w:p>
            <w:pPr>
              <w:spacing w:after="40" w:line="252" w:lineRule="auto"/>
            </w:pPr>
            <w:r>
              <w:rPr>
                <w:b/>
                <w:color w:val="FFFFFF"/>
                <w:sz w:val="19"/>
              </w:rPr>
              <w:t>Context</w:t>
            </w:r>
          </w:p>
        </w:tc>
        <w:tc>
          <w:tcPr>
            <w:tcW w:type="dxa" w:w="3456"/>
            <w:shd w:fill="1D3A50"/>
            <w:vAlign w:val="center"/>
            <w:tcMar>
              <w:top w:w="80" w:type="dxa"/>
              <w:bottom w:w="80" w:type="dxa"/>
              <w:left w:w="90" w:type="dxa"/>
              <w:right w:w="90" w:type="dxa"/>
            </w:tcMar>
          </w:tcPr>
          <w:p>
            <w:pPr>
              <w:spacing w:after="40" w:line="252" w:lineRule="auto"/>
            </w:pPr>
            <w:r>
              <w:rPr>
                <w:b/>
                <w:color w:val="FFFFFF"/>
                <w:sz w:val="19"/>
              </w:rPr>
              <w:t>Relevant distinction</w:t>
            </w:r>
          </w:p>
        </w:tc>
        <w:tc>
          <w:tcPr>
            <w:tcW w:type="dxa" w:w="4291"/>
            <w:shd w:fill="1D3A50"/>
            <w:vAlign w:val="center"/>
            <w:tcMar>
              <w:top w:w="80" w:type="dxa"/>
              <w:bottom w:w="80" w:type="dxa"/>
              <w:left w:w="90" w:type="dxa"/>
              <w:right w:w="90" w:type="dxa"/>
            </w:tcMar>
          </w:tcPr>
          <w:p>
            <w:pPr>
              <w:spacing w:after="40" w:line="252" w:lineRule="auto"/>
            </w:pPr>
            <w:r>
              <w:rPr>
                <w:b/>
                <w:color w:val="FFFFFF"/>
                <w:sz w:val="19"/>
              </w:rPr>
              <w:t>Required model behaviour</w:t>
            </w:r>
          </w:p>
        </w:tc>
      </w:tr>
      <w:tr>
        <w:trPr>
          <w:cantSplit/>
        </w:trPr>
        <w:tc>
          <w:tcPr>
            <w:tcW w:type="dxa" w:w="2088"/>
            <w:shd w:fill="F3F6F8"/>
            <w:vAlign w:val="center"/>
            <w:tcMar>
              <w:top w:w="80" w:type="dxa"/>
              <w:bottom w:w="80" w:type="dxa"/>
              <w:left w:w="90" w:type="dxa"/>
              <w:right w:w="90" w:type="dxa"/>
            </w:tcMar>
          </w:tcPr>
          <w:p>
            <w:pPr>
              <w:spacing w:after="40" w:line="252" w:lineRule="auto"/>
            </w:pPr>
            <w:r>
              <w:rPr>
                <w:sz w:val="19"/>
              </w:rPr>
              <w:t>CBSE affiliated school</w:t>
            </w:r>
          </w:p>
        </w:tc>
        <w:tc>
          <w:tcPr>
            <w:tcW w:type="dxa" w:w="3456"/>
            <w:shd w:fill="F3F6F8"/>
            <w:vAlign w:val="center"/>
            <w:tcMar>
              <w:top w:w="80" w:type="dxa"/>
              <w:bottom w:w="80" w:type="dxa"/>
              <w:left w:w="90" w:type="dxa"/>
              <w:right w:w="90" w:type="dxa"/>
            </w:tcMar>
          </w:tcPr>
          <w:p>
            <w:pPr>
              <w:spacing w:after="40" w:line="252" w:lineRule="auto"/>
            </w:pPr>
            <w:r>
              <w:rPr>
                <w:sz w:val="19"/>
              </w:rPr>
              <w:t>Management entity, School Management Committee and principal have distinct functions.</w:t>
            </w:r>
          </w:p>
        </w:tc>
        <w:tc>
          <w:tcPr>
            <w:tcW w:type="dxa" w:w="4291"/>
            <w:shd w:fill="F3F6F8"/>
            <w:vAlign w:val="center"/>
            <w:tcMar>
              <w:top w:w="80" w:type="dxa"/>
              <w:bottom w:w="80" w:type="dxa"/>
              <w:left w:w="90" w:type="dxa"/>
              <w:right w:w="90" w:type="dxa"/>
            </w:tcMar>
          </w:tcPr>
          <w:p>
            <w:pPr>
              <w:spacing w:after="40" w:line="252" w:lineRule="auto"/>
            </w:pPr>
            <w:r>
              <w:rPr>
                <w:sz w:val="19"/>
              </w:rPr>
              <w:t>Separate reserved decisions, recommendations, operational delegation and the applicable state process.</w:t>
            </w:r>
          </w:p>
        </w:tc>
      </w:tr>
      <w:tr>
        <w:trPr>
          <w:cantSplit/>
        </w:trPr>
        <w:tc>
          <w:tcPr>
            <w:tcW w:type="dxa" w:w="2088"/>
            <w:shd w:fill="FFFFFF"/>
            <w:vAlign w:val="center"/>
            <w:tcMar>
              <w:top w:w="80" w:type="dxa"/>
              <w:bottom w:w="80" w:type="dxa"/>
              <w:left w:w="90" w:type="dxa"/>
              <w:right w:w="90" w:type="dxa"/>
            </w:tcMar>
          </w:tcPr>
          <w:p>
            <w:pPr>
              <w:spacing w:after="40" w:line="252" w:lineRule="auto"/>
            </w:pPr>
            <w:r>
              <w:rPr>
                <w:sz w:val="19"/>
              </w:rPr>
              <w:t>School under a state or community governance framework</w:t>
            </w:r>
          </w:p>
        </w:tc>
        <w:tc>
          <w:tcPr>
            <w:tcW w:type="dxa" w:w="3456"/>
            <w:shd w:fill="FFFFFF"/>
            <w:vAlign w:val="center"/>
            <w:tcMar>
              <w:top w:w="80" w:type="dxa"/>
              <w:bottom w:w="80" w:type="dxa"/>
              <w:left w:w="90" w:type="dxa"/>
              <w:right w:w="90" w:type="dxa"/>
            </w:tcMar>
          </w:tcPr>
          <w:p>
            <w:pPr>
              <w:spacing w:after="40" w:line="252" w:lineRule="auto"/>
            </w:pPr>
            <w:r>
              <w:rPr>
                <w:sz w:val="19"/>
              </w:rPr>
              <w:t>School category and the applicable state and central instruments affect the arrangement.</w:t>
            </w:r>
          </w:p>
        </w:tc>
        <w:tc>
          <w:tcPr>
            <w:tcW w:type="dxa" w:w="4291"/>
            <w:shd w:fill="FFFFFF"/>
            <w:vAlign w:val="center"/>
            <w:tcMar>
              <w:top w:w="80" w:type="dxa"/>
              <w:bottom w:w="80" w:type="dxa"/>
              <w:left w:w="90" w:type="dxa"/>
              <w:right w:w="90" w:type="dxa"/>
            </w:tcMar>
          </w:tcPr>
          <w:p>
            <w:pPr>
              <w:spacing w:after="40" w:line="252" w:lineRule="auto"/>
            </w:pPr>
            <w:r>
              <w:rPr>
                <w:sz w:val="19"/>
              </w:rPr>
              <w:t>Use an applicability profile and source-specific requirements rather than one universal SMC template.</w:t>
            </w:r>
          </w:p>
        </w:tc>
      </w:tr>
      <w:tr>
        <w:trPr>
          <w:cantSplit/>
        </w:trPr>
        <w:tc>
          <w:tcPr>
            <w:tcW w:type="dxa" w:w="2088"/>
            <w:shd w:fill="F3F6F8"/>
            <w:vAlign w:val="center"/>
            <w:tcMar>
              <w:top w:w="80" w:type="dxa"/>
              <w:bottom w:w="80" w:type="dxa"/>
              <w:left w:w="90" w:type="dxa"/>
              <w:right w:w="90" w:type="dxa"/>
            </w:tcMar>
          </w:tcPr>
          <w:p>
            <w:pPr>
              <w:spacing w:after="40" w:line="252" w:lineRule="auto"/>
            </w:pPr>
            <w:r>
              <w:rPr>
                <w:sz w:val="19"/>
              </w:rPr>
              <w:t>Affiliated nonautonomous college</w:t>
            </w:r>
          </w:p>
        </w:tc>
        <w:tc>
          <w:tcPr>
            <w:tcW w:type="dxa" w:w="3456"/>
            <w:shd w:fill="F3F6F8"/>
            <w:vAlign w:val="center"/>
            <w:tcMar>
              <w:top w:w="80" w:type="dxa"/>
              <w:bottom w:w="80" w:type="dxa"/>
              <w:left w:w="90" w:type="dxa"/>
              <w:right w:w="90" w:type="dxa"/>
            </w:tcMar>
          </w:tcPr>
          <w:p>
            <w:pPr>
              <w:spacing w:after="40" w:line="252" w:lineRule="auto"/>
            </w:pPr>
            <w:r>
              <w:rPr>
                <w:sz w:val="19"/>
              </w:rPr>
              <w:t>Internal administration operates within the college and university rules applicable to that institution.</w:t>
            </w:r>
          </w:p>
        </w:tc>
        <w:tc>
          <w:tcPr>
            <w:tcW w:type="dxa" w:w="4291"/>
            <w:shd w:fill="F3F6F8"/>
            <w:vAlign w:val="center"/>
            <w:tcMar>
              <w:top w:w="80" w:type="dxa"/>
              <w:bottom w:w="80" w:type="dxa"/>
              <w:left w:w="90" w:type="dxa"/>
              <w:right w:w="90" w:type="dxa"/>
            </w:tcMar>
          </w:tcPr>
          <w:p>
            <w:pPr>
              <w:spacing w:after="40" w:line="252" w:lineRule="auto"/>
            </w:pPr>
            <w:r>
              <w:rPr>
                <w:sz w:val="19"/>
              </w:rPr>
              <w:t>Record which matters are local, which follow an external academic rule and which need external consent.</w:t>
            </w:r>
          </w:p>
        </w:tc>
      </w:tr>
      <w:tr>
        <w:trPr>
          <w:cantSplit/>
        </w:trPr>
        <w:tc>
          <w:tcPr>
            <w:tcW w:type="dxa" w:w="2088"/>
            <w:shd w:fill="FFFFFF"/>
            <w:vAlign w:val="center"/>
            <w:tcMar>
              <w:top w:w="80" w:type="dxa"/>
              <w:bottom w:w="80" w:type="dxa"/>
              <w:left w:w="90" w:type="dxa"/>
              <w:right w:w="90" w:type="dxa"/>
            </w:tcMar>
          </w:tcPr>
          <w:p>
            <w:pPr>
              <w:spacing w:after="40" w:line="252" w:lineRule="auto"/>
            </w:pPr>
            <w:r>
              <w:rPr>
                <w:sz w:val="19"/>
              </w:rPr>
              <w:t>Autonomous college</w:t>
            </w:r>
          </w:p>
        </w:tc>
        <w:tc>
          <w:tcPr>
            <w:tcW w:type="dxa" w:w="3456"/>
            <w:shd w:fill="FFFFFF"/>
            <w:vAlign w:val="center"/>
            <w:tcMar>
              <w:top w:w="80" w:type="dxa"/>
              <w:bottom w:w="80" w:type="dxa"/>
              <w:left w:w="90" w:type="dxa"/>
              <w:right w:w="90" w:type="dxa"/>
            </w:tcMar>
          </w:tcPr>
          <w:p>
            <w:pPr>
              <w:spacing w:after="40" w:line="252" w:lineRule="auto"/>
            </w:pPr>
            <w:r>
              <w:rPr>
                <w:sz w:val="19"/>
              </w:rPr>
              <w:t>Several academic and financial bodies can have different powers.</w:t>
            </w:r>
          </w:p>
        </w:tc>
        <w:tc>
          <w:tcPr>
            <w:tcW w:type="dxa" w:w="4291"/>
            <w:shd w:fill="FFFFFF"/>
            <w:vAlign w:val="center"/>
            <w:tcMar>
              <w:top w:w="80" w:type="dxa"/>
              <w:bottom w:w="80" w:type="dxa"/>
              <w:left w:w="90" w:type="dxa"/>
              <w:right w:w="90" w:type="dxa"/>
            </w:tcMar>
          </w:tcPr>
          <w:p>
            <w:pPr>
              <w:spacing w:after="40" w:line="252" w:lineRule="auto"/>
            </w:pPr>
            <w:r>
              <w:rPr>
                <w:sz w:val="19"/>
              </w:rPr>
              <w:t>Retain body identity and the distinction between recommending, approving and implementing.</w:t>
            </w:r>
          </w:p>
        </w:tc>
      </w:tr>
      <w:tr>
        <w:trPr>
          <w:cantSplit/>
        </w:trPr>
        <w:tc>
          <w:tcPr>
            <w:tcW w:type="dxa" w:w="2088"/>
            <w:shd w:fill="F3F6F8"/>
            <w:vAlign w:val="center"/>
            <w:tcMar>
              <w:top w:w="80" w:type="dxa"/>
              <w:bottom w:w="80" w:type="dxa"/>
              <w:left w:w="90" w:type="dxa"/>
              <w:right w:w="90" w:type="dxa"/>
            </w:tcMar>
          </w:tcPr>
          <w:p>
            <w:pPr>
              <w:spacing w:after="40" w:line="252" w:lineRule="auto"/>
            </w:pPr>
            <w:r>
              <w:rPr>
                <w:sz w:val="19"/>
              </w:rPr>
              <w:t>University</w:t>
            </w:r>
          </w:p>
        </w:tc>
        <w:tc>
          <w:tcPr>
            <w:tcW w:type="dxa" w:w="3456"/>
            <w:shd w:fill="F3F6F8"/>
            <w:vAlign w:val="center"/>
            <w:tcMar>
              <w:top w:w="80" w:type="dxa"/>
              <w:bottom w:w="80" w:type="dxa"/>
              <w:left w:w="90" w:type="dxa"/>
              <w:right w:w="90" w:type="dxa"/>
            </w:tcMar>
          </w:tcPr>
          <w:p>
            <w:pPr>
              <w:spacing w:after="40" w:line="252" w:lineRule="auto"/>
            </w:pPr>
            <w:r>
              <w:rPr>
                <w:sz w:val="19"/>
              </w:rPr>
              <w:t>Its constituting law and statutes identify relevant authorities and powers.</w:t>
            </w:r>
          </w:p>
        </w:tc>
        <w:tc>
          <w:tcPr>
            <w:tcW w:type="dxa" w:w="4291"/>
            <w:shd w:fill="F3F6F8"/>
            <w:vAlign w:val="center"/>
            <w:tcMar>
              <w:top w:w="80" w:type="dxa"/>
              <w:bottom w:w="80" w:type="dxa"/>
              <w:left w:w="90" w:type="dxa"/>
              <w:right w:w="90" w:type="dxa"/>
            </w:tcMar>
          </w:tcPr>
          <w:p>
            <w:pPr>
              <w:spacing w:after="40" w:line="252" w:lineRule="auto"/>
            </w:pPr>
            <w:r>
              <w:rPr>
                <w:sz w:val="19"/>
              </w:rPr>
              <w:t>Support the actual offices and bodies, their procedures and relationships to constituent or affiliated units.</w:t>
            </w:r>
          </w:p>
        </w:tc>
      </w:tr>
      <w:tr>
        <w:trPr>
          <w:cantSplit/>
        </w:trPr>
        <w:tc>
          <w:tcPr>
            <w:tcW w:type="dxa" w:w="2088"/>
            <w:shd w:fill="FFFFFF"/>
            <w:vAlign w:val="center"/>
            <w:tcMar>
              <w:top w:w="80" w:type="dxa"/>
              <w:bottom w:w="80" w:type="dxa"/>
              <w:left w:w="90" w:type="dxa"/>
              <w:right w:w="90" w:type="dxa"/>
            </w:tcMar>
          </w:tcPr>
          <w:p>
            <w:pPr>
              <w:spacing w:after="40" w:line="252" w:lineRule="auto"/>
            </w:pPr>
            <w:r>
              <w:rPr>
                <w:sz w:val="19"/>
              </w:rPr>
              <w:t>Coaching institute</w:t>
            </w:r>
          </w:p>
        </w:tc>
        <w:tc>
          <w:tcPr>
            <w:tcW w:type="dxa" w:w="3456"/>
            <w:shd w:fill="FFFFFF"/>
            <w:vAlign w:val="center"/>
            <w:tcMar>
              <w:top w:w="80" w:type="dxa"/>
              <w:bottom w:w="80" w:type="dxa"/>
              <w:left w:w="90" w:type="dxa"/>
              <w:right w:w="90" w:type="dxa"/>
            </w:tcMar>
          </w:tcPr>
          <w:p>
            <w:pPr>
              <w:spacing w:after="40" w:line="252" w:lineRule="auto"/>
            </w:pPr>
            <w:r>
              <w:rPr>
                <w:sz w:val="19"/>
              </w:rPr>
              <w:t>Operating authority can be simple, while jurisdiction-specific requirements still apply.</w:t>
            </w:r>
          </w:p>
        </w:tc>
        <w:tc>
          <w:tcPr>
            <w:tcW w:type="dxa" w:w="4291"/>
            <w:shd w:fill="FFFFFF"/>
            <w:vAlign w:val="center"/>
            <w:tcMar>
              <w:top w:w="80" w:type="dxa"/>
              <w:bottom w:w="80" w:type="dxa"/>
              <w:left w:w="90" w:type="dxa"/>
              <w:right w:w="90" w:type="dxa"/>
            </w:tcMar>
          </w:tcPr>
          <w:p>
            <w:pPr>
              <w:spacing w:after="40" w:line="252" w:lineRule="auto"/>
            </w:pPr>
            <w:r>
              <w:rPr>
                <w:sz w:val="19"/>
              </w:rPr>
              <w:t>Start with individual or management authority where appropriate; enable committees only when required or adopted.</w:t>
            </w:r>
          </w:p>
        </w:tc>
      </w:tr>
    </w:tbl>
    <w:p>
      <w:pPr>
        <w:spacing w:after="20" w:before="0"/>
      </w:pPr>
    </w:p>
    <w:p>
      <w:r>
        <w:t>CBSE provisions distinguish the management entity, SMC and principal. The SMC considers the principal’s budget and forwards it to the management entity for approval; its financial powers extend beyond those delegated to the principal. Applicable government provisions prevail for the SMC. This supports separate authority types in the model. [6]</w:t>
      </w:r>
    </w:p>
    <w:p>
      <w:r>
        <w:t>The Ministry of Education clarified in May 2026 that the 2026 SMC Guidelines exclude the specified unaided category under RTE section 2(n)(iv) when it receives no government or local-authority aid or grants. That limited exclusion should not be treated as cancellation of a separate CBSE affiliation requirement. [6][7]</w:t>
      </w:r>
    </w:p>
    <w:p>
      <w:r>
        <w:t>UGC’s 2023 autonomous-college regulations identify a Governing Body, Academic Council, Board of Studies and Finance Committee. The Governing Body is distinct from the parent management body; the Finance Committee advises, while the Academic Council considers academic proposals. These provisions apply to the specified autonomous-college context. [8] The Central Universities Act provides another statutory arrangement; it is an example for universities under that Act, not a template for all universities. [9]</w:t>
      </w:r>
    </w:p>
    <w:p>
      <w:r>
        <w:t>The August 2026 Ministry of Education reply confirms that central coaching guidance was sent to States and Union Territories for appropriate legal frameworks and that several different state instruments followed. The coaching template must therefore retain the relevant jurisdiction and effective source version. [10]</w:t>
      </w:r>
    </w:p>
    <w:p>
      <w:pPr>
        <w:pStyle w:val="Heading2"/>
      </w:pPr>
      <w:r>
        <w:t>8A 2 Offices bodies seats and appointments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752"/>
        <w:gridCol w:w="3643"/>
      </w:tblGrid>
      <w:tr>
        <w:trPr>
          <w:tblHeader w:val="true"/>
          <w:cantSplit/>
        </w:trPr>
        <w:tc>
          <w:tcPr>
            <w:tcW w:type="dxa" w:w="1440"/>
            <w:shd w:fill="1D3A50"/>
            <w:vAlign w:val="center"/>
            <w:tcMar>
              <w:top w:w="80" w:type="dxa"/>
              <w:bottom w:w="80" w:type="dxa"/>
              <w:left w:w="90" w:type="dxa"/>
              <w:right w:w="90" w:type="dxa"/>
            </w:tcMar>
          </w:tcPr>
          <w:p>
            <w:pPr>
              <w:spacing w:after="40" w:line="252" w:lineRule="auto"/>
            </w:pPr>
            <w:r>
              <w:rPr>
                <w:b/>
                <w:color w:val="FFFFFF"/>
                <w:sz w:val="19"/>
              </w:rPr>
              <w:t>Concept</w:t>
            </w:r>
          </w:p>
        </w:tc>
        <w:tc>
          <w:tcPr>
            <w:tcW w:type="dxa" w:w="4752"/>
            <w:shd w:fill="1D3A50"/>
            <w:vAlign w:val="center"/>
            <w:tcMar>
              <w:top w:w="80" w:type="dxa"/>
              <w:bottom w:w="80" w:type="dxa"/>
              <w:left w:w="90" w:type="dxa"/>
              <w:right w:w="90" w:type="dxa"/>
            </w:tcMar>
          </w:tcPr>
          <w:p>
            <w:pPr>
              <w:spacing w:after="40" w:line="252" w:lineRule="auto"/>
            </w:pPr>
            <w:r>
              <w:rPr>
                <w:b/>
                <w:color w:val="FFFFFF"/>
                <w:sz w:val="19"/>
              </w:rPr>
              <w:t>Meaning</w:t>
            </w:r>
          </w:p>
        </w:tc>
        <w:tc>
          <w:tcPr>
            <w:tcW w:type="dxa" w:w="3643"/>
            <w:shd w:fill="1D3A50"/>
            <w:vAlign w:val="center"/>
            <w:tcMar>
              <w:top w:w="80" w:type="dxa"/>
              <w:bottom w:w="80" w:type="dxa"/>
              <w:left w:w="90" w:type="dxa"/>
              <w:right w:w="90" w:type="dxa"/>
            </w:tcMar>
          </w:tcPr>
          <w:p>
            <w:pPr>
              <w:spacing w:after="40" w:line="252" w:lineRule="auto"/>
            </w:pPr>
            <w:r>
              <w:rPr>
                <w:b/>
                <w:color w:val="FFFFFF"/>
                <w:sz w:val="19"/>
              </w:rPr>
              <w:t>Example</w:t>
            </w:r>
          </w:p>
        </w:tc>
      </w:tr>
      <w:tr>
        <w:trPr>
          <w:cantSplit/>
        </w:trPr>
        <w:tc>
          <w:tcPr>
            <w:tcW w:type="dxa" w:w="1440"/>
            <w:shd w:fill="F3F6F8"/>
            <w:vAlign w:val="center"/>
            <w:tcMar>
              <w:top w:w="80" w:type="dxa"/>
              <w:bottom w:w="80" w:type="dxa"/>
              <w:left w:w="90" w:type="dxa"/>
              <w:right w:w="90" w:type="dxa"/>
            </w:tcMar>
          </w:tcPr>
          <w:p>
            <w:pPr>
              <w:spacing w:after="40" w:line="252" w:lineRule="auto"/>
            </w:pPr>
            <w:r>
              <w:rPr>
                <w:sz w:val="19"/>
              </w:rPr>
              <w:t>Person</w:t>
            </w:r>
          </w:p>
        </w:tc>
        <w:tc>
          <w:tcPr>
            <w:tcW w:type="dxa" w:w="4752"/>
            <w:shd w:fill="F3F6F8"/>
            <w:vAlign w:val="center"/>
            <w:tcMar>
              <w:top w:w="80" w:type="dxa"/>
              <w:bottom w:w="80" w:type="dxa"/>
              <w:left w:w="90" w:type="dxa"/>
              <w:right w:w="90" w:type="dxa"/>
            </w:tcMar>
          </w:tcPr>
          <w:p>
            <w:pPr>
              <w:spacing w:after="40" w:line="252" w:lineRule="auto"/>
            </w:pPr>
            <w:r>
              <w:rPr>
                <w:sz w:val="19"/>
              </w:rPr>
              <w:t>The human individual, independent of employment or login.</w:t>
            </w:r>
          </w:p>
        </w:tc>
        <w:tc>
          <w:tcPr>
            <w:tcW w:type="dxa" w:w="3643"/>
            <w:shd w:fill="F3F6F8"/>
            <w:vAlign w:val="center"/>
            <w:tcMar>
              <w:top w:w="80" w:type="dxa"/>
              <w:bottom w:w="80" w:type="dxa"/>
              <w:left w:w="90" w:type="dxa"/>
              <w:right w:w="90" w:type="dxa"/>
            </w:tcMar>
          </w:tcPr>
          <w:p>
            <w:pPr>
              <w:spacing w:after="40" w:line="252" w:lineRule="auto"/>
            </w:pPr>
            <w:r>
              <w:rPr>
                <w:sz w:val="19"/>
              </w:rPr>
              <w:t>Vikram Rao.</w:t>
            </w:r>
          </w:p>
        </w:tc>
      </w:tr>
      <w:tr>
        <w:trPr>
          <w:cantSplit/>
        </w:trPr>
        <w:tc>
          <w:tcPr>
            <w:tcW w:type="dxa" w:w="1440"/>
            <w:shd w:fill="FFFFFF"/>
            <w:vAlign w:val="center"/>
            <w:tcMar>
              <w:top w:w="80" w:type="dxa"/>
              <w:bottom w:w="80" w:type="dxa"/>
              <w:left w:w="90" w:type="dxa"/>
              <w:right w:w="90" w:type="dxa"/>
            </w:tcMar>
          </w:tcPr>
          <w:p>
            <w:pPr>
              <w:spacing w:after="40" w:line="252" w:lineRule="auto"/>
            </w:pPr>
            <w:r>
              <w:rPr>
                <w:sz w:val="19"/>
              </w:rPr>
              <w:t>Office</w:t>
            </w:r>
          </w:p>
        </w:tc>
        <w:tc>
          <w:tcPr>
            <w:tcW w:type="dxa" w:w="4752"/>
            <w:shd w:fill="FFFFFF"/>
            <w:vAlign w:val="center"/>
            <w:tcMar>
              <w:top w:w="80" w:type="dxa"/>
              <w:bottom w:w="80" w:type="dxa"/>
              <w:left w:w="90" w:type="dxa"/>
              <w:right w:w="90" w:type="dxa"/>
            </w:tcMar>
          </w:tcPr>
          <w:p>
            <w:pPr>
              <w:spacing w:after="40" w:line="252" w:lineRule="auto"/>
            </w:pPr>
            <w:r>
              <w:rPr>
                <w:sz w:val="19"/>
              </w:rPr>
              <w:t>A continuing individual position carrying defined powers.</w:t>
            </w:r>
          </w:p>
        </w:tc>
        <w:tc>
          <w:tcPr>
            <w:tcW w:type="dxa" w:w="3643"/>
            <w:shd w:fill="FFFFFF"/>
            <w:vAlign w:val="center"/>
            <w:tcMar>
              <w:top w:w="80" w:type="dxa"/>
              <w:bottom w:w="80" w:type="dxa"/>
              <w:left w:w="90" w:type="dxa"/>
              <w:right w:w="90" w:type="dxa"/>
            </w:tcMar>
          </w:tcPr>
          <w:p>
            <w:pPr>
              <w:spacing w:after="40" w:line="252" w:lineRule="auto"/>
            </w:pPr>
            <w:r>
              <w:rPr>
                <w:sz w:val="19"/>
              </w:rPr>
              <w:t>Principal, director or registrar.</w:t>
            </w:r>
          </w:p>
        </w:tc>
      </w:tr>
      <w:tr>
        <w:trPr>
          <w:cantSplit/>
        </w:trPr>
        <w:tc>
          <w:tcPr>
            <w:tcW w:type="dxa" w:w="1440"/>
            <w:shd w:fill="F3F6F8"/>
            <w:vAlign w:val="center"/>
            <w:tcMar>
              <w:top w:w="80" w:type="dxa"/>
              <w:bottom w:w="80" w:type="dxa"/>
              <w:left w:w="90" w:type="dxa"/>
              <w:right w:w="90" w:type="dxa"/>
            </w:tcMar>
          </w:tcPr>
          <w:p>
            <w:pPr>
              <w:spacing w:after="40" w:line="252" w:lineRule="auto"/>
            </w:pPr>
            <w:r>
              <w:rPr>
                <w:sz w:val="19"/>
              </w:rPr>
              <w:t>Body</w:t>
            </w:r>
          </w:p>
        </w:tc>
        <w:tc>
          <w:tcPr>
            <w:tcW w:type="dxa" w:w="4752"/>
            <w:shd w:fill="F3F6F8"/>
            <w:vAlign w:val="center"/>
            <w:tcMar>
              <w:top w:w="80" w:type="dxa"/>
              <w:bottom w:w="80" w:type="dxa"/>
              <w:left w:w="90" w:type="dxa"/>
              <w:right w:w="90" w:type="dxa"/>
            </w:tcMar>
          </w:tcPr>
          <w:p>
            <w:pPr>
              <w:spacing w:after="40" w:line="252" w:lineRule="auto"/>
            </w:pPr>
            <w:r>
              <w:rPr>
                <w:sz w:val="19"/>
              </w:rPr>
              <w:t>A continuing collective authority or advisory group with a defined remit.</w:t>
            </w:r>
          </w:p>
        </w:tc>
        <w:tc>
          <w:tcPr>
            <w:tcW w:type="dxa" w:w="3643"/>
            <w:shd w:fill="F3F6F8"/>
            <w:vAlign w:val="center"/>
            <w:tcMar>
              <w:top w:w="80" w:type="dxa"/>
              <w:bottom w:w="80" w:type="dxa"/>
              <w:left w:w="90" w:type="dxa"/>
              <w:right w:w="90" w:type="dxa"/>
            </w:tcMar>
          </w:tcPr>
          <w:p>
            <w:pPr>
              <w:spacing w:after="40" w:line="252" w:lineRule="auto"/>
            </w:pPr>
            <w:r>
              <w:rPr>
                <w:sz w:val="19"/>
              </w:rPr>
              <w:t>SMC, Academic Council or Finance Committee.</w:t>
            </w:r>
          </w:p>
        </w:tc>
      </w:tr>
      <w:tr>
        <w:trPr>
          <w:cantSplit/>
        </w:trPr>
        <w:tc>
          <w:tcPr>
            <w:tcW w:type="dxa" w:w="1440"/>
            <w:shd w:fill="FFFFFF"/>
            <w:vAlign w:val="center"/>
            <w:tcMar>
              <w:top w:w="80" w:type="dxa"/>
              <w:bottom w:w="80" w:type="dxa"/>
              <w:left w:w="90" w:type="dxa"/>
              <w:right w:w="90" w:type="dxa"/>
            </w:tcMar>
          </w:tcPr>
          <w:p>
            <w:pPr>
              <w:spacing w:after="40" w:line="252" w:lineRule="auto"/>
            </w:pPr>
            <w:r>
              <w:rPr>
                <w:sz w:val="19"/>
              </w:rPr>
              <w:t>Seat</w:t>
            </w:r>
          </w:p>
        </w:tc>
        <w:tc>
          <w:tcPr>
            <w:tcW w:type="dxa" w:w="4752"/>
            <w:shd w:fill="FFFFFF"/>
            <w:vAlign w:val="center"/>
            <w:tcMar>
              <w:top w:w="80" w:type="dxa"/>
              <w:bottom w:w="80" w:type="dxa"/>
              <w:left w:w="90" w:type="dxa"/>
              <w:right w:w="90" w:type="dxa"/>
            </w:tcMar>
          </w:tcPr>
          <w:p>
            <w:pPr>
              <w:spacing w:after="40" w:line="252" w:lineRule="auto"/>
            </w:pPr>
            <w:r>
              <w:rPr>
                <w:sz w:val="19"/>
              </w:rPr>
              <w:t>A defined place within a body, possibly vacant.</w:t>
            </w:r>
          </w:p>
        </w:tc>
        <w:tc>
          <w:tcPr>
            <w:tcW w:type="dxa" w:w="3643"/>
            <w:shd w:fill="FFFFFF"/>
            <w:vAlign w:val="center"/>
            <w:tcMar>
              <w:top w:w="80" w:type="dxa"/>
              <w:bottom w:w="80" w:type="dxa"/>
              <w:left w:w="90" w:type="dxa"/>
              <w:right w:w="90" w:type="dxa"/>
            </w:tcMar>
          </w:tcPr>
          <w:p>
            <w:pPr>
              <w:spacing w:after="40" w:line="252" w:lineRule="auto"/>
            </w:pPr>
            <w:r>
              <w:rPr>
                <w:sz w:val="19"/>
              </w:rPr>
              <w:t>Teacher representative, external nominee or principal’s ex-officio seat.</w:t>
            </w:r>
          </w:p>
        </w:tc>
      </w:tr>
      <w:tr>
        <w:trPr>
          <w:cantSplit/>
        </w:trPr>
        <w:tc>
          <w:tcPr>
            <w:tcW w:type="dxa" w:w="1440"/>
            <w:shd w:fill="F3F6F8"/>
            <w:vAlign w:val="center"/>
            <w:tcMar>
              <w:top w:w="80" w:type="dxa"/>
              <w:bottom w:w="80" w:type="dxa"/>
              <w:left w:w="90" w:type="dxa"/>
              <w:right w:w="90" w:type="dxa"/>
            </w:tcMar>
          </w:tcPr>
          <w:p>
            <w:pPr>
              <w:spacing w:after="40" w:line="252" w:lineRule="auto"/>
            </w:pPr>
            <w:r>
              <w:rPr>
                <w:sz w:val="19"/>
              </w:rPr>
              <w:t>Appointment</w:t>
            </w:r>
          </w:p>
        </w:tc>
        <w:tc>
          <w:tcPr>
            <w:tcW w:type="dxa" w:w="4752"/>
            <w:shd w:fill="F3F6F8"/>
            <w:vAlign w:val="center"/>
            <w:tcMar>
              <w:top w:w="80" w:type="dxa"/>
              <w:bottom w:w="80" w:type="dxa"/>
              <w:left w:w="90" w:type="dxa"/>
              <w:right w:w="90" w:type="dxa"/>
            </w:tcMar>
          </w:tcPr>
          <w:p>
            <w:pPr>
              <w:spacing w:after="40" w:line="252" w:lineRule="auto"/>
            </w:pPr>
            <w:r>
              <w:rPr>
                <w:sz w:val="19"/>
              </w:rPr>
              <w:t>The effective-dated link from a person to an office or seat.</w:t>
            </w:r>
          </w:p>
        </w:tc>
        <w:tc>
          <w:tcPr>
            <w:tcW w:type="dxa" w:w="3643"/>
            <w:shd w:fill="F3F6F8"/>
            <w:vAlign w:val="center"/>
            <w:tcMar>
              <w:top w:w="80" w:type="dxa"/>
              <w:bottom w:w="80" w:type="dxa"/>
              <w:left w:w="90" w:type="dxa"/>
              <w:right w:w="90" w:type="dxa"/>
            </w:tcMar>
          </w:tcPr>
          <w:p>
            <w:pPr>
              <w:spacing w:after="40" w:line="252" w:lineRule="auto"/>
            </w:pPr>
            <w:r>
              <w:rPr>
                <w:sz w:val="19"/>
              </w:rPr>
              <w:t>An authorised nomination for a stated term.</w:t>
            </w:r>
          </w:p>
        </w:tc>
      </w:tr>
      <w:tr>
        <w:trPr>
          <w:cantSplit/>
        </w:trPr>
        <w:tc>
          <w:tcPr>
            <w:tcW w:type="dxa" w:w="1440"/>
            <w:shd w:fill="FFFFFF"/>
            <w:vAlign w:val="center"/>
            <w:tcMar>
              <w:top w:w="80" w:type="dxa"/>
              <w:bottom w:w="80" w:type="dxa"/>
              <w:left w:w="90" w:type="dxa"/>
              <w:right w:w="90" w:type="dxa"/>
            </w:tcMar>
          </w:tcPr>
          <w:p>
            <w:pPr>
              <w:spacing w:after="40" w:line="252" w:lineRule="auto"/>
            </w:pPr>
            <w:r>
              <w:rPr>
                <w:sz w:val="19"/>
              </w:rPr>
              <w:t>Application role</w:t>
            </w:r>
          </w:p>
        </w:tc>
        <w:tc>
          <w:tcPr>
            <w:tcW w:type="dxa" w:w="4752"/>
            <w:shd w:fill="FFFFFF"/>
            <w:vAlign w:val="center"/>
            <w:tcMar>
              <w:top w:w="80" w:type="dxa"/>
              <w:bottom w:w="80" w:type="dxa"/>
              <w:left w:w="90" w:type="dxa"/>
              <w:right w:w="90" w:type="dxa"/>
            </w:tcMar>
          </w:tcPr>
          <w:p>
            <w:pPr>
              <w:spacing w:after="40" w:line="252" w:lineRule="auto"/>
            </w:pPr>
            <w:r>
              <w:rPr>
                <w:sz w:val="19"/>
              </w:rPr>
              <w:t>The functions and data access available through the software.</w:t>
            </w:r>
          </w:p>
        </w:tc>
        <w:tc>
          <w:tcPr>
            <w:tcW w:type="dxa" w:w="3643"/>
            <w:shd w:fill="FFFFFF"/>
            <w:vAlign w:val="center"/>
            <w:tcMar>
              <w:top w:w="80" w:type="dxa"/>
              <w:bottom w:w="80" w:type="dxa"/>
              <w:left w:w="90" w:type="dxa"/>
              <w:right w:w="90" w:type="dxa"/>
            </w:tcMar>
          </w:tcPr>
          <w:p>
            <w:pPr>
              <w:spacing w:after="40" w:line="252" w:lineRule="auto"/>
            </w:pPr>
            <w:r>
              <w:rPr>
                <w:sz w:val="19"/>
              </w:rPr>
              <w:t>Prepare agenda, submit recommendation or execute an approved adjustment.</w:t>
            </w:r>
          </w:p>
        </w:tc>
      </w:tr>
    </w:tbl>
    <w:p>
      <w:pPr>
        <w:spacing w:after="20" w:before="0"/>
      </w:pPr>
    </w:p>
    <w:p>
      <w:r>
        <w:t>Store the appointing authority, qualification or category evidence where needed, term, acceptance, suspension and end date. An ex-officio seat references the qualifying office; the procedure determines the effect of an officeholder change. Nominations, elections and appointments have distinct evidence. A nomination list is not an election result, and an invitation is not an appointment.</w:t>
      </w:r>
    </w:p>
    <w:p>
      <w:r>
        <w:t>One person can hold several offices or seats. Deduplicate by verified human identity wherever the procedure requires independent people. Do not silently multiply voting power through multiple roles. An authorised proxy, if the governing procedure permits one, is recorded as representation with its own scope and dates; it never requires sharing the original member’s credentials. External members receive only the institution membership and decision access needed for their appointment.</w:t>
      </w:r>
    </w:p>
    <w:p>
      <w:pPr>
        <w:pStyle w:val="Heading2"/>
      </w:pPr>
      <w:r>
        <w:t>8A 3 Powers and decision matters</w:t>
      </w:r>
    </w:p>
    <w:p>
      <w:r>
        <w:t>Represent the different powers explicitly: propose, advise or recommend, decide, adopt or publish, execute, appoint, delegate, inspect, verify and hear an appeal. These powers may belong to different offices or bodies. A reporting manager is not automatically an academic decision maker, and approval of funding is not approval of a curriculum.</w:t>
      </w:r>
    </w:p>
    <w:p>
      <w:r>
        <w:t>Each AuthorityGrant identifies its source, holder, institution or supported cross-institution scope, matter types, power, conditions, effective interval, delegability and whether subdelegation is permitted. A Delegation references the source grant and can only narrow the available power; a personal or nondelegable duty remains excluded. Record whether revocation ends future use only or also triggers review of open cases; treat suspension of an already adopted resolution as a separate event.</w:t>
      </w:r>
    </w:p>
    <w:p>
      <w:r>
        <w:t>A DecisionMatterRule links a real domain matter, such as annual fee policy, a capital purchase, curriculum revision, appointment or refund, to its eligible proposers, required recommendations, decision authorities, execution roles and external conditions. It defines the material fields, amount or population limits, effective date, decision mode, record visibility and review obligations. Reserved matters cannot be moved to a lower authority through a generic role edit.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571"/>
      </w:tblGrid>
      <w:tr>
        <w:trPr>
          <w:tblHeader w:val="true"/>
          <w:cantSplit/>
        </w:trPr>
        <w:tc>
          <w:tcPr>
            <w:tcW w:type="dxa" w:w="2664"/>
            <w:shd w:fill="1D3A50"/>
            <w:vAlign w:val="center"/>
            <w:tcMar>
              <w:top w:w="80" w:type="dxa"/>
              <w:bottom w:w="80" w:type="dxa"/>
              <w:left w:w="90" w:type="dxa"/>
              <w:right w:w="90" w:type="dxa"/>
            </w:tcMar>
          </w:tcPr>
          <w:p>
            <w:pPr>
              <w:spacing w:after="40" w:line="252" w:lineRule="auto"/>
            </w:pPr>
            <w:r>
              <w:rPr>
                <w:b/>
                <w:color w:val="FFFFFF"/>
                <w:sz w:val="19"/>
              </w:rPr>
              <w:t>Illustrative internal matter</w:t>
            </w:r>
          </w:p>
        </w:tc>
        <w:tc>
          <w:tcPr>
            <w:tcW w:type="dxa" w:w="3600"/>
            <w:shd w:fill="1D3A50"/>
            <w:vAlign w:val="center"/>
            <w:tcMar>
              <w:top w:w="80" w:type="dxa"/>
              <w:bottom w:w="80" w:type="dxa"/>
              <w:left w:w="90" w:type="dxa"/>
              <w:right w:w="90" w:type="dxa"/>
            </w:tcMar>
          </w:tcPr>
          <w:p>
            <w:pPr>
              <w:spacing w:after="40" w:line="252" w:lineRule="auto"/>
            </w:pPr>
            <w:r>
              <w:rPr>
                <w:b/>
                <w:color w:val="FFFFFF"/>
                <w:sz w:val="19"/>
              </w:rPr>
              <w:t>Decision basis</w:t>
            </w:r>
          </w:p>
        </w:tc>
        <w:tc>
          <w:tcPr>
            <w:tcW w:type="dxa" w:w="3571"/>
            <w:shd w:fill="1D3A50"/>
            <w:vAlign w:val="center"/>
            <w:tcMar>
              <w:top w:w="80" w:type="dxa"/>
              <w:bottom w:w="80" w:type="dxa"/>
              <w:left w:w="90" w:type="dxa"/>
              <w:right w:w="90" w:type="dxa"/>
            </w:tcMar>
          </w:tcPr>
          <w:p>
            <w:pPr>
              <w:spacing w:after="40" w:line="252" w:lineRule="auto"/>
            </w:pPr>
            <w:r>
              <w:rPr>
                <w:b/>
                <w:color w:val="FFFFFF"/>
                <w:sz w:val="19"/>
              </w:rPr>
              <w:t>Execution basis</w:t>
            </w:r>
          </w:p>
        </w:tc>
      </w:tr>
      <w:tr>
        <w:trPr>
          <w:cantSplit/>
        </w:trPr>
        <w:tc>
          <w:tcPr>
            <w:tcW w:type="dxa" w:w="2664"/>
            <w:shd w:fill="F3F6F8"/>
            <w:vAlign w:val="center"/>
            <w:tcMar>
              <w:top w:w="80" w:type="dxa"/>
              <w:bottom w:w="80" w:type="dxa"/>
              <w:left w:w="90" w:type="dxa"/>
              <w:right w:w="90" w:type="dxa"/>
            </w:tcMar>
          </w:tcPr>
          <w:p>
            <w:pPr>
              <w:spacing w:after="40" w:line="252" w:lineRule="auto"/>
            </w:pPr>
            <w:r>
              <w:rPr>
                <w:sz w:val="19"/>
              </w:rPr>
              <w:t>Routine daily attendance</w:t>
            </w:r>
          </w:p>
        </w:tc>
        <w:tc>
          <w:tcPr>
            <w:tcW w:type="dxa" w:w="3600"/>
            <w:shd w:fill="F3F6F8"/>
            <w:vAlign w:val="center"/>
            <w:tcMar>
              <w:top w:w="80" w:type="dxa"/>
              <w:bottom w:w="80" w:type="dxa"/>
              <w:left w:w="90" w:type="dxa"/>
              <w:right w:w="90" w:type="dxa"/>
            </w:tcMar>
          </w:tcPr>
          <w:p>
            <w:pPr>
              <w:spacing w:after="40" w:line="252" w:lineRule="auto"/>
            </w:pPr>
            <w:r>
              <w:rPr>
                <w:sz w:val="19"/>
              </w:rPr>
              <w:t>Published attendance policy and active class responsibility.</w:t>
            </w:r>
          </w:p>
        </w:tc>
        <w:tc>
          <w:tcPr>
            <w:tcW w:type="dxa" w:w="3571"/>
            <w:shd w:fill="F3F6F8"/>
            <w:vAlign w:val="center"/>
            <w:tcMar>
              <w:top w:w="80" w:type="dxa"/>
              <w:bottom w:w="80" w:type="dxa"/>
              <w:left w:w="90" w:type="dxa"/>
              <w:right w:w="90" w:type="dxa"/>
            </w:tcMar>
          </w:tcPr>
          <w:p>
            <w:pPr>
              <w:spacing w:after="40" w:line="252" w:lineRule="auto"/>
            </w:pPr>
            <w:r>
              <w:rPr>
                <w:sz w:val="19"/>
              </w:rPr>
              <w:t>Teacher’s current scoped assignment; no new committee case.</w:t>
            </w:r>
          </w:p>
        </w:tc>
      </w:tr>
      <w:tr>
        <w:trPr>
          <w:cantSplit/>
        </w:trPr>
        <w:tc>
          <w:tcPr>
            <w:tcW w:type="dxa" w:w="2664"/>
            <w:shd w:fill="FFFFFF"/>
            <w:vAlign w:val="center"/>
            <w:tcMar>
              <w:top w:w="80" w:type="dxa"/>
              <w:bottom w:w="80" w:type="dxa"/>
              <w:left w:w="90" w:type="dxa"/>
              <w:right w:w="90" w:type="dxa"/>
            </w:tcMar>
          </w:tcPr>
          <w:p>
            <w:pPr>
              <w:spacing w:after="40" w:line="252" w:lineRule="auto"/>
            </w:pPr>
            <w:r>
              <w:rPr>
                <w:sz w:val="19"/>
              </w:rPr>
              <w:t>A concession within a stated delegated ceiling</w:t>
            </w:r>
          </w:p>
        </w:tc>
        <w:tc>
          <w:tcPr>
            <w:tcW w:type="dxa" w:w="3600"/>
            <w:shd w:fill="FFFFFF"/>
            <w:vAlign w:val="center"/>
            <w:tcMar>
              <w:top w:w="80" w:type="dxa"/>
              <w:bottom w:w="80" w:type="dxa"/>
              <w:left w:w="90" w:type="dxa"/>
              <w:right w:w="90" w:type="dxa"/>
            </w:tcMar>
          </w:tcPr>
          <w:p>
            <w:pPr>
              <w:spacing w:after="40" w:line="252" w:lineRule="auto"/>
            </w:pPr>
            <w:r>
              <w:rPr>
                <w:sz w:val="19"/>
              </w:rPr>
              <w:t>A valid delegation for this type, amount, institute and period.</w:t>
            </w:r>
          </w:p>
        </w:tc>
        <w:tc>
          <w:tcPr>
            <w:tcW w:type="dxa" w:w="3571"/>
            <w:shd w:fill="FFFFFF"/>
            <w:vAlign w:val="center"/>
            <w:tcMar>
              <w:top w:w="80" w:type="dxa"/>
              <w:bottom w:w="80" w:type="dxa"/>
              <w:left w:w="90" w:type="dxa"/>
              <w:right w:w="90" w:type="dxa"/>
            </w:tcMar>
          </w:tcPr>
          <w:p>
            <w:pPr>
              <w:spacing w:after="40" w:line="252" w:lineRule="auto"/>
            </w:pPr>
            <w:r>
              <w:rPr>
                <w:sz w:val="19"/>
              </w:rPr>
              <w:t>An authorised adjustment command tied to the particular request.</w:t>
            </w:r>
          </w:p>
        </w:tc>
      </w:tr>
      <w:tr>
        <w:trPr>
          <w:cantSplit/>
        </w:trPr>
        <w:tc>
          <w:tcPr>
            <w:tcW w:type="dxa" w:w="2664"/>
            <w:shd w:fill="F3F6F8"/>
            <w:vAlign w:val="center"/>
            <w:tcMar>
              <w:top w:w="80" w:type="dxa"/>
              <w:bottom w:w="80" w:type="dxa"/>
              <w:left w:w="90" w:type="dxa"/>
              <w:right w:w="90" w:type="dxa"/>
            </w:tcMar>
          </w:tcPr>
          <w:p>
            <w:pPr>
              <w:spacing w:after="40" w:line="252" w:lineRule="auto"/>
            </w:pPr>
            <w:r>
              <w:rPr>
                <w:sz w:val="19"/>
              </w:rPr>
              <w:t>Annual fee schedule</w:t>
            </w:r>
          </w:p>
        </w:tc>
        <w:tc>
          <w:tcPr>
            <w:tcW w:type="dxa" w:w="3600"/>
            <w:shd w:fill="F3F6F8"/>
            <w:vAlign w:val="center"/>
            <w:tcMar>
              <w:top w:w="80" w:type="dxa"/>
              <w:bottom w:w="80" w:type="dxa"/>
              <w:left w:w="90" w:type="dxa"/>
              <w:right w:w="90" w:type="dxa"/>
            </w:tcMar>
          </w:tcPr>
          <w:p>
            <w:pPr>
              <w:spacing w:after="40" w:line="252" w:lineRule="auto"/>
            </w:pPr>
            <w:r>
              <w:rPr>
                <w:sz w:val="19"/>
              </w:rPr>
              <w:t>Applicable governing and external fee process.</w:t>
            </w:r>
          </w:p>
        </w:tc>
        <w:tc>
          <w:tcPr>
            <w:tcW w:type="dxa" w:w="3571"/>
            <w:shd w:fill="F3F6F8"/>
            <w:vAlign w:val="center"/>
            <w:tcMar>
              <w:top w:w="80" w:type="dxa"/>
              <w:bottom w:w="80" w:type="dxa"/>
              <w:left w:w="90" w:type="dxa"/>
              <w:right w:w="90" w:type="dxa"/>
            </w:tcMar>
          </w:tcPr>
          <w:p>
            <w:pPr>
              <w:spacing w:after="40" w:line="252" w:lineRule="auto"/>
            </w:pPr>
            <w:r>
              <w:rPr>
                <w:sz w:val="19"/>
              </w:rPr>
              <w:t>The approved schedule version, effective date and required conditions.</w:t>
            </w:r>
          </w:p>
        </w:tc>
      </w:tr>
      <w:tr>
        <w:trPr>
          <w:cantSplit/>
        </w:trPr>
        <w:tc>
          <w:tcPr>
            <w:tcW w:type="dxa" w:w="2664"/>
            <w:shd w:fill="FFFFFF"/>
            <w:vAlign w:val="center"/>
            <w:tcMar>
              <w:top w:w="80" w:type="dxa"/>
              <w:bottom w:w="80" w:type="dxa"/>
              <w:left w:w="90" w:type="dxa"/>
              <w:right w:w="90" w:type="dxa"/>
            </w:tcMar>
          </w:tcPr>
          <w:p>
            <w:pPr>
              <w:spacing w:after="40" w:line="252" w:lineRule="auto"/>
            </w:pPr>
            <w:r>
              <w:rPr>
                <w:sz w:val="19"/>
              </w:rPr>
              <w:t>A curriculum revision</w:t>
            </w:r>
          </w:p>
        </w:tc>
        <w:tc>
          <w:tcPr>
            <w:tcW w:type="dxa" w:w="3600"/>
            <w:shd w:fill="FFFFFF"/>
            <w:vAlign w:val="center"/>
            <w:tcMar>
              <w:top w:w="80" w:type="dxa"/>
              <w:bottom w:w="80" w:type="dxa"/>
              <w:left w:w="90" w:type="dxa"/>
              <w:right w:w="90" w:type="dxa"/>
            </w:tcMar>
          </w:tcPr>
          <w:p>
            <w:pPr>
              <w:spacing w:after="40" w:line="252" w:lineRule="auto"/>
            </w:pPr>
            <w:r>
              <w:rPr>
                <w:sz w:val="19"/>
              </w:rPr>
              <w:t>The academic authority specified for the institution and programme.</w:t>
            </w:r>
          </w:p>
        </w:tc>
        <w:tc>
          <w:tcPr>
            <w:tcW w:type="dxa" w:w="3571"/>
            <w:shd w:fill="FFFFFF"/>
            <w:vAlign w:val="center"/>
            <w:tcMar>
              <w:top w:w="80" w:type="dxa"/>
              <w:bottom w:w="80" w:type="dxa"/>
              <w:left w:w="90" w:type="dxa"/>
              <w:right w:w="90" w:type="dxa"/>
            </w:tcMar>
          </w:tcPr>
          <w:p>
            <w:pPr>
              <w:spacing w:after="40" w:line="252" w:lineRule="auto"/>
            </w:pPr>
            <w:r>
              <w:rPr>
                <w:sz w:val="19"/>
              </w:rPr>
              <w:t>A new curriculum version for the authorised population.</w:t>
            </w:r>
          </w:p>
        </w:tc>
      </w:tr>
      <w:tr>
        <w:trPr>
          <w:cantSplit/>
        </w:trPr>
        <w:tc>
          <w:tcPr>
            <w:tcW w:type="dxa" w:w="2664"/>
            <w:shd w:fill="F3F6F8"/>
            <w:vAlign w:val="center"/>
            <w:tcMar>
              <w:top w:w="80" w:type="dxa"/>
              <w:bottom w:w="80" w:type="dxa"/>
              <w:left w:w="90" w:type="dxa"/>
              <w:right w:w="90" w:type="dxa"/>
            </w:tcMar>
          </w:tcPr>
          <w:p>
            <w:pPr>
              <w:spacing w:after="40" w:line="252" w:lineRule="auto"/>
            </w:pPr>
            <w:r>
              <w:rPr>
                <w:sz w:val="19"/>
              </w:rPr>
              <w:t>A funded new programme</w:t>
            </w:r>
          </w:p>
        </w:tc>
        <w:tc>
          <w:tcPr>
            <w:tcW w:type="dxa" w:w="3600"/>
            <w:shd w:fill="F3F6F8"/>
            <w:vAlign w:val="center"/>
            <w:tcMar>
              <w:top w:w="80" w:type="dxa"/>
              <w:bottom w:w="80" w:type="dxa"/>
              <w:left w:w="90" w:type="dxa"/>
              <w:right w:w="90" w:type="dxa"/>
            </w:tcMar>
          </w:tcPr>
          <w:p>
            <w:pPr>
              <w:spacing w:after="40" w:line="252" w:lineRule="auto"/>
            </w:pPr>
            <w:r>
              <w:rPr>
                <w:sz w:val="19"/>
              </w:rPr>
              <w:t>Required academic, financial and external decisions within their separate remits.</w:t>
            </w:r>
          </w:p>
        </w:tc>
        <w:tc>
          <w:tcPr>
            <w:tcW w:type="dxa" w:w="3571"/>
            <w:shd w:fill="F3F6F8"/>
            <w:vAlign w:val="center"/>
            <w:tcMar>
              <w:top w:w="80" w:type="dxa"/>
              <w:bottom w:w="80" w:type="dxa"/>
              <w:left w:w="90" w:type="dxa"/>
              <w:right w:w="90" w:type="dxa"/>
            </w:tcMar>
          </w:tcPr>
          <w:p>
            <w:pPr>
              <w:spacing w:after="40" w:line="252" w:lineRule="auto"/>
            </w:pPr>
            <w:r>
              <w:rPr>
                <w:sz w:val="19"/>
              </w:rPr>
              <w:t>All prerequisites satisfied before activation.</w:t>
            </w:r>
          </w:p>
        </w:tc>
      </w:tr>
    </w:tbl>
    <w:p>
      <w:pPr>
        <w:spacing w:after="20" w:before="0"/>
      </w:pPr>
    </w:p>
    <w:p>
      <w:r>
        <w:t>Use matter-specific resolution rules rather than one universal hierarchy. Some matters require sequential recommendations; others require two independent authorities in parallel. A joint decision requires the conjunction of those complete decisions. Unknown or conflicting authority is routed to a named resolution process; the system must not guess that the most senior job title can decide.</w:t>
      </w:r>
    </w:p>
    <w:p>
      <w:pPr>
        <w:pStyle w:val="Heading2"/>
      </w:pPr>
      <w:r>
        <w:t>8A 4 Governance adoption and initial authority</w:t>
      </w:r>
    </w:p>
    <w:p>
      <w:r>
        <w:t>Governance configuration has two separate permissions: prepare an arrangement and authorise its adoption. The person who creates the technical account is not automatically an owner, trustee, chair or appointing authority. Initial activation needs an accountable process for recording and verifying the existing authority under which the institute joins the service. A small proprietor-run coaching centre can use an individual office and standing mandates without fictitious board members.</w:t>
      </w:r>
    </w:p>
    <w:p>
      <w:r>
        <w:t>An AuthoritySource records the issuing party, document or instrument, relevant provision, version, jurisdiction and scope, effective dates, original evidence and verification state. Uploaded, reviewed, adopted and effective are distinct states. AI extraction can draft structured rules with links to the source; an authorised reviewer resolves interpretation before the rules can control reserved decisions.</w:t>
      </w:r>
    </w:p>
    <w:p>
      <w:r>
        <w:t>Amendment follows the current governing rules or a verified overriding external instrument. A person cannot lower the voting threshold and use the new threshold to approve that same change. A required body cannot be removed merely by selecting a simpler template. New external rules trigger an applicability and impact review, with transition treatment for pending work; they do not silently rewrite previously adopted decisions.</w:t>
      </w:r>
    </w:p>
    <w:p>
      <w:r>
        <w:t>The setup process should ask only what is needed for the active capabilities. Establish the institute’s authorised operating contact, role-granting power and routine mandates first. Add collective decision configuration before activating the matters that depend on it. Missing authority for one reserved purchase should not disable unrelated teaching or valid routine attendance.</w:t>
      </w:r>
    </w:p>
    <w:p>
      <w:pPr>
        <w:pStyle w:val="Heading2"/>
      </w:pPr>
      <w:r>
        <w:t>8A 5 Collective decision procedures</w:t>
      </w:r>
    </w:p>
    <w:p>
      <w:r>
        <w:t>A DecisionProcedure is more specific than an approval count. It records the supported meeting or circulation mode, notice and agenda rules, membership eligibility, participation evidence, conflict handling, quorum, voting threshold, closure and certification requirements. Its values come from the adopted governing rules. The absence of a stated digital or circulation procedure is not permission to replace a meeting with an app poll.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459"/>
      </w:tblGrid>
      <w:tr>
        <w:trPr>
          <w:tblHeader w:val="true"/>
          <w:cantSplit/>
        </w:trPr>
        <w:tc>
          <w:tcPr>
            <w:tcW w:type="dxa" w:w="2376"/>
            <w:shd w:fill="1D3A50"/>
            <w:vAlign w:val="center"/>
            <w:tcMar>
              <w:top w:w="80" w:type="dxa"/>
              <w:bottom w:w="80" w:type="dxa"/>
              <w:left w:w="90" w:type="dxa"/>
              <w:right w:w="90" w:type="dxa"/>
            </w:tcMar>
          </w:tcPr>
          <w:p>
            <w:pPr>
              <w:spacing w:after="40" w:line="252" w:lineRule="auto"/>
            </w:pPr>
            <w:r>
              <w:rPr>
                <w:b/>
                <w:color w:val="FFFFFF"/>
                <w:sz w:val="19"/>
              </w:rPr>
              <w:t>Procedure field</w:t>
            </w:r>
          </w:p>
        </w:tc>
        <w:tc>
          <w:tcPr>
            <w:tcW w:type="dxa" w:w="7459"/>
            <w:shd w:fill="1D3A50"/>
            <w:vAlign w:val="center"/>
            <w:tcMar>
              <w:top w:w="80" w:type="dxa"/>
              <w:bottom w:w="80" w:type="dxa"/>
              <w:left w:w="90" w:type="dxa"/>
              <w:right w:w="90" w:type="dxa"/>
            </w:tcMar>
          </w:tcPr>
          <w:p>
            <w:pPr>
              <w:spacing w:after="40" w:line="252" w:lineRule="auto"/>
            </w:pPr>
            <w:r>
              <w:rPr>
                <w:b/>
                <w:color w:val="FFFFFF"/>
                <w:sz w:val="19"/>
              </w:rPr>
              <w:t>Meaning to preserve</w:t>
            </w:r>
          </w:p>
        </w:tc>
      </w:tr>
      <w:tr>
        <w:trPr>
          <w:cantSplit/>
        </w:trPr>
        <w:tc>
          <w:tcPr>
            <w:tcW w:type="dxa" w:w="2376"/>
            <w:shd w:fill="F3F6F8"/>
            <w:vAlign w:val="center"/>
            <w:tcMar>
              <w:top w:w="80" w:type="dxa"/>
              <w:bottom w:w="80" w:type="dxa"/>
              <w:left w:w="90" w:type="dxa"/>
              <w:right w:w="90" w:type="dxa"/>
            </w:tcMar>
          </w:tcPr>
          <w:p>
            <w:pPr>
              <w:spacing w:after="40" w:line="252" w:lineRule="auto"/>
            </w:pPr>
            <w:r>
              <w:rPr>
                <w:sz w:val="19"/>
              </w:rPr>
              <w:t>Composition and electorate</w:t>
            </w:r>
          </w:p>
        </w:tc>
        <w:tc>
          <w:tcPr>
            <w:tcW w:type="dxa" w:w="7459"/>
            <w:shd w:fill="F3F6F8"/>
            <w:vAlign w:val="center"/>
            <w:tcMar>
              <w:top w:w="80" w:type="dxa"/>
              <w:bottom w:w="80" w:type="dxa"/>
              <w:left w:w="90" w:type="dxa"/>
              <w:right w:w="90" w:type="dxa"/>
            </w:tcMar>
          </w:tcPr>
          <w:p>
            <w:pPr>
              <w:spacing w:after="40" w:line="252" w:lineRule="auto"/>
            </w:pPr>
            <w:r>
              <w:rPr>
                <w:sz w:val="19"/>
              </w:rPr>
              <w:t>Valid appointments, eligible categories, vacancies and office-linked seats; distinguish membership from voting rights.</w:t>
            </w:r>
          </w:p>
        </w:tc>
      </w:tr>
      <w:tr>
        <w:trPr>
          <w:cantSplit/>
        </w:trPr>
        <w:tc>
          <w:tcPr>
            <w:tcW w:type="dxa" w:w="2376"/>
            <w:shd w:fill="FFFFFF"/>
            <w:vAlign w:val="center"/>
            <w:tcMar>
              <w:top w:w="80" w:type="dxa"/>
              <w:bottom w:w="80" w:type="dxa"/>
              <w:left w:w="90" w:type="dxa"/>
              <w:right w:w="90" w:type="dxa"/>
            </w:tcMar>
          </w:tcPr>
          <w:p>
            <w:pPr>
              <w:spacing w:after="40" w:line="252" w:lineRule="auto"/>
            </w:pPr>
            <w:r>
              <w:rPr>
                <w:sz w:val="19"/>
              </w:rPr>
              <w:t>Quorum</w:t>
            </w:r>
          </w:p>
        </w:tc>
        <w:tc>
          <w:tcPr>
            <w:tcW w:type="dxa" w:w="7459"/>
            <w:shd w:fill="FFFFFF"/>
            <w:vAlign w:val="center"/>
            <w:tcMar>
              <w:top w:w="80" w:type="dxa"/>
              <w:bottom w:w="80" w:type="dxa"/>
              <w:left w:w="90" w:type="dxa"/>
              <w:right w:w="90" w:type="dxa"/>
            </w:tcMar>
          </w:tcPr>
          <w:p>
            <w:pPr>
              <w:spacing w:after="40" w:line="252" w:lineRule="auto"/>
            </w:pPr>
            <w:r>
              <w:rPr>
                <w:sz w:val="19"/>
              </w:rPr>
              <w:t>The required eligible presence or participation at the relevant point, with an explicit denominator and vacancy/recusal treatment.</w:t>
            </w:r>
          </w:p>
        </w:tc>
      </w:tr>
      <w:tr>
        <w:trPr>
          <w:cantSplit/>
        </w:trPr>
        <w:tc>
          <w:tcPr>
            <w:tcW w:type="dxa" w:w="2376"/>
            <w:shd w:fill="F3F6F8"/>
            <w:vAlign w:val="center"/>
            <w:tcMar>
              <w:top w:w="80" w:type="dxa"/>
              <w:bottom w:w="80" w:type="dxa"/>
              <w:left w:w="90" w:type="dxa"/>
              <w:right w:w="90" w:type="dxa"/>
            </w:tcMar>
          </w:tcPr>
          <w:p>
            <w:pPr>
              <w:spacing w:after="40" w:line="252" w:lineRule="auto"/>
            </w:pPr>
            <w:r>
              <w:rPr>
                <w:sz w:val="19"/>
              </w:rPr>
              <w:t>Decision threshold</w:t>
            </w:r>
          </w:p>
        </w:tc>
        <w:tc>
          <w:tcPr>
            <w:tcW w:type="dxa" w:w="7459"/>
            <w:shd w:fill="F3F6F8"/>
            <w:vAlign w:val="center"/>
            <w:tcMar>
              <w:top w:w="80" w:type="dxa"/>
              <w:bottom w:w="80" w:type="dxa"/>
              <w:left w:w="90" w:type="dxa"/>
              <w:right w:w="90" w:type="dxa"/>
            </w:tcMar>
          </w:tcPr>
          <w:p>
            <w:pPr>
              <w:spacing w:after="40" w:line="252" w:lineRule="auto"/>
            </w:pPr>
            <w:r>
              <w:rPr>
                <w:sz w:val="19"/>
              </w:rPr>
              <w:t>The rule for passing the particular motion, separately from quorum; define the denominator and rounding.</w:t>
            </w:r>
          </w:p>
        </w:tc>
      </w:tr>
      <w:tr>
        <w:trPr>
          <w:cantSplit/>
        </w:trPr>
        <w:tc>
          <w:tcPr>
            <w:tcW w:type="dxa" w:w="2376"/>
            <w:shd w:fill="FFFFFF"/>
            <w:vAlign w:val="center"/>
            <w:tcMar>
              <w:top w:w="80" w:type="dxa"/>
              <w:bottom w:w="80" w:type="dxa"/>
              <w:left w:w="90" w:type="dxa"/>
              <w:right w:w="90" w:type="dxa"/>
            </w:tcMar>
          </w:tcPr>
          <w:p>
            <w:pPr>
              <w:spacing w:after="40" w:line="252" w:lineRule="auto"/>
            </w:pPr>
            <w:r>
              <w:rPr>
                <w:sz w:val="19"/>
              </w:rPr>
              <w:t>Voting treatment</w:t>
            </w:r>
          </w:p>
        </w:tc>
        <w:tc>
          <w:tcPr>
            <w:tcW w:type="dxa" w:w="7459"/>
            <w:shd w:fill="FFFFFF"/>
            <w:vAlign w:val="center"/>
            <w:tcMar>
              <w:top w:w="80" w:type="dxa"/>
              <w:bottom w:w="80" w:type="dxa"/>
              <w:left w:w="90" w:type="dxa"/>
              <w:right w:w="90" w:type="dxa"/>
            </w:tcMar>
          </w:tcPr>
          <w:p>
            <w:pPr>
              <w:spacing w:after="40" w:line="252" w:lineRule="auto"/>
            </w:pPr>
            <w:r>
              <w:rPr>
                <w:sz w:val="19"/>
              </w:rPr>
              <w:t>For, against, abstain and recuse are distinct. Define ties, casting votes, proxies or weights only when supported and authorised.</w:t>
            </w:r>
          </w:p>
        </w:tc>
      </w:tr>
      <w:tr>
        <w:trPr>
          <w:cantSplit/>
        </w:trPr>
        <w:tc>
          <w:tcPr>
            <w:tcW w:type="dxa" w:w="2376"/>
            <w:shd w:fill="F3F6F8"/>
            <w:vAlign w:val="center"/>
            <w:tcMar>
              <w:top w:w="80" w:type="dxa"/>
              <w:bottom w:w="80" w:type="dxa"/>
              <w:left w:w="90" w:type="dxa"/>
              <w:right w:w="90" w:type="dxa"/>
            </w:tcMar>
          </w:tcPr>
          <w:p>
            <w:pPr>
              <w:spacing w:after="40" w:line="252" w:lineRule="auto"/>
            </w:pPr>
            <w:r>
              <w:rPr>
                <w:sz w:val="19"/>
              </w:rPr>
              <w:t>Notice and papers</w:t>
            </w:r>
          </w:p>
        </w:tc>
        <w:tc>
          <w:tcPr>
            <w:tcW w:type="dxa" w:w="7459"/>
            <w:shd w:fill="F3F6F8"/>
            <w:vAlign w:val="center"/>
            <w:tcMar>
              <w:top w:w="80" w:type="dxa"/>
              <w:bottom w:w="80" w:type="dxa"/>
              <w:left w:w="90" w:type="dxa"/>
              <w:right w:w="90" w:type="dxa"/>
            </w:tcMar>
          </w:tcPr>
          <w:p>
            <w:pPr>
              <w:spacing w:after="40" w:line="252" w:lineRule="auto"/>
            </w:pPr>
            <w:r>
              <w:rPr>
                <w:sz w:val="19"/>
              </w:rPr>
              <w:t>Applicable notice period, permitted waiver authority, versioned agenda and the papers actually supplied.</w:t>
            </w:r>
          </w:p>
        </w:tc>
      </w:tr>
      <w:tr>
        <w:trPr>
          <w:cantSplit/>
        </w:trPr>
        <w:tc>
          <w:tcPr>
            <w:tcW w:type="dxa" w:w="2376"/>
            <w:shd w:fill="FFFFFF"/>
            <w:vAlign w:val="center"/>
            <w:tcMar>
              <w:top w:w="80" w:type="dxa"/>
              <w:bottom w:w="80" w:type="dxa"/>
              <w:left w:w="90" w:type="dxa"/>
              <w:right w:w="90" w:type="dxa"/>
            </w:tcMar>
          </w:tcPr>
          <w:p>
            <w:pPr>
              <w:spacing w:after="40" w:line="252" w:lineRule="auto"/>
            </w:pPr>
            <w:r>
              <w:rPr>
                <w:sz w:val="19"/>
              </w:rPr>
              <w:t>Participation and timing</w:t>
            </w:r>
          </w:p>
        </w:tc>
        <w:tc>
          <w:tcPr>
            <w:tcW w:type="dxa" w:w="7459"/>
            <w:shd w:fill="FFFFFF"/>
            <w:vAlign w:val="center"/>
            <w:tcMar>
              <w:top w:w="80" w:type="dxa"/>
              <w:bottom w:w="80" w:type="dxa"/>
              <w:left w:w="90" w:type="dxa"/>
              <w:right w:w="90" w:type="dxa"/>
            </w:tcMar>
          </w:tcPr>
          <w:p>
            <w:pPr>
              <w:spacing w:after="40" w:line="252" w:lineRule="auto"/>
            </w:pPr>
            <w:r>
              <w:rPr>
                <w:sz w:val="19"/>
              </w:rPr>
              <w:t>Invited, present, eligible, participated and voted remain separate. Define late votes, departures and closing conditions.</w:t>
            </w:r>
          </w:p>
        </w:tc>
      </w:tr>
      <w:tr>
        <w:trPr>
          <w:cantSplit/>
        </w:trPr>
        <w:tc>
          <w:tcPr>
            <w:tcW w:type="dxa" w:w="2376"/>
            <w:shd w:fill="F3F6F8"/>
            <w:vAlign w:val="center"/>
            <w:tcMar>
              <w:top w:w="80" w:type="dxa"/>
              <w:bottom w:w="80" w:type="dxa"/>
              <w:left w:w="90" w:type="dxa"/>
              <w:right w:w="90" w:type="dxa"/>
            </w:tcMar>
          </w:tcPr>
          <w:p>
            <w:pPr>
              <w:spacing w:after="40" w:line="252" w:lineRule="auto"/>
            </w:pPr>
            <w:r>
              <w:rPr>
                <w:sz w:val="19"/>
              </w:rPr>
              <w:t>Changing membership</w:t>
            </w:r>
          </w:p>
        </w:tc>
        <w:tc>
          <w:tcPr>
            <w:tcW w:type="dxa" w:w="7459"/>
            <w:shd w:fill="F3F6F8"/>
            <w:vAlign w:val="center"/>
            <w:tcMar>
              <w:top w:w="80" w:type="dxa"/>
              <w:bottom w:w="80" w:type="dxa"/>
              <w:left w:w="90" w:type="dxa"/>
              <w:right w:w="90" w:type="dxa"/>
            </w:tcMar>
          </w:tcPr>
          <w:p>
            <w:pPr>
              <w:spacing w:after="40" w:line="252" w:lineRule="auto"/>
            </w:pPr>
            <w:r>
              <w:rPr>
                <w:sz w:val="19"/>
              </w:rPr>
              <w:t>Specify continuation, replacement or restart when an appointment or eligibility changes during an open case.</w:t>
            </w:r>
          </w:p>
        </w:tc>
      </w:tr>
      <w:tr>
        <w:trPr>
          <w:cantSplit/>
        </w:trPr>
        <w:tc>
          <w:tcPr>
            <w:tcW w:type="dxa" w:w="2376"/>
            <w:shd w:fill="FFFFFF"/>
            <w:vAlign w:val="center"/>
            <w:tcMar>
              <w:top w:w="80" w:type="dxa"/>
              <w:bottom w:w="80" w:type="dxa"/>
              <w:left w:w="90" w:type="dxa"/>
              <w:right w:w="90" w:type="dxa"/>
            </w:tcMar>
          </w:tcPr>
          <w:p>
            <w:pPr>
              <w:spacing w:after="40" w:line="252" w:lineRule="auto"/>
            </w:pPr>
            <w:r>
              <w:rPr>
                <w:sz w:val="19"/>
              </w:rPr>
              <w:t>Confidentiality and certification</w:t>
            </w:r>
          </w:p>
        </w:tc>
        <w:tc>
          <w:tcPr>
            <w:tcW w:type="dxa" w:w="7459"/>
            <w:shd w:fill="FFFFFF"/>
            <w:vAlign w:val="center"/>
            <w:tcMar>
              <w:top w:w="80" w:type="dxa"/>
              <w:bottom w:w="80" w:type="dxa"/>
              <w:left w:w="90" w:type="dxa"/>
              <w:right w:w="90" w:type="dxa"/>
            </w:tcMar>
          </w:tcPr>
          <w:p>
            <w:pPr>
              <w:spacing w:after="40" w:line="252" w:lineRule="auto"/>
            </w:pPr>
            <w:r>
              <w:rPr>
                <w:sz w:val="19"/>
              </w:rPr>
              <w:t>Define audiences, ballot secrecy when supported, who certifies the record and any required signature process.</w:t>
            </w:r>
          </w:p>
        </w:tc>
      </w:tr>
    </w:tbl>
    <w:p>
      <w:pPr>
        <w:spacing w:after="20" w:before="0"/>
      </w:pPr>
    </w:p>
    <w:p>
      <w:r>
        <w:t>The app can preserve an electorate snapshot and the adopted procedure when a proceeding opens, while continuing to check current eligibility under its defined change rule. Preserve the original record of a replaced or excluded participant. A calendar acceptance, a read receipt or the number of people online is not sufficient participation evidence. Re-evaluate quorum for each agenda item when conflicts, departures or the applicable rule require it.</w:t>
      </w:r>
    </w:p>
    <w:p>
      <w:r>
        <w:t>Illustrative procedure only: a five-member committee requires three eligible members present, then more votes for than against among votes cast. If three eligible members attend and one abstains, the record must still distinguish the quorum calculation from the two votes cast. A different charter might count abstentions or vacancies differently. The engine should expose the exact calculation and source, not hardcode this example.</w:t>
      </w:r>
    </w:p>
    <w:p>
      <w:r>
        <w:t>A chair may close or certify a properly completed proceeding only through the powers granted to that office. The secretary records the outcome; neither function can change the tally or create a missing vote. If the procedure needs a secret ballot, its storage, tally and audit projections must protect individual choices. Until that complete procedure is implemented, mark it unsupported instead of silently substituting open approval.</w:t>
      </w:r>
    </w:p>
    <w:p>
      <w:pPr>
        <w:pStyle w:val="Heading2"/>
      </w:pPr>
      <w:r>
        <w:t>8A 6 Proposals resolutions and execution</w:t>
      </w:r>
    </w:p>
    <w:p>
      <w:r>
        <w:t>A DecisionCase contains a versioned proposal: requested domain effect, target records or population, material amounts and dates, rationale, risks, relevant evidence, required recommendations and decisions, conditions, accountable implementation owner and expected completion evidence. Each participant sees the version on which they are acting. A material change produces a new reviewable version and renews affected recommendations or decisions.</w:t>
      </w:r>
    </w:p>
    <w:p>
      <w:r>
        <w:t>Support a clear lifecycle with explicit return paths: draft proposal, required review, ready for decision, proceeding or delegated decision, adopted or declined or deferred, conditions pending if any, ready to implement, implemented, and verified closed. Required confirmation or ratification by another authority is an explicit condition or subsequent decision with its own timing; the governing instrument determines when an action may take effect. Not every case uses every state. A standing mandate can permit immediate routine action. A vote is a participation record; only a successfully completed authorised procedure produces a resolution.</w:t>
      </w:r>
    </w:p>
    <w:p>
      <w:r>
        <w:t>A Resolution identifies the adopted proposal, decision authority, procedure and evidence, decision time, effective interval, conditions and any expiry or superseding resolution. A DecisionAuthorisation maps the resolution to a bounded domain effect. The mapping identifies the authorised command, target, amount or ceiling, policy version, permitted executor class and any required companion approvals. A free-text minute must not automatically become an unlimited executable permission.</w:t>
      </w:r>
    </w:p>
    <w:p>
      <w:r>
        <w:t>At execution, check the actor’s current complete scoped grant, the matching decision authorisation or standing mandate, the effective unsuspended resolution, its conditions and relevant current restrictions, then the domain invariants. A valid past resolution normally remains part of institutional history when its members leave; their departure does not give them current participation rights. Appointment changes, mandate revocation and resolution suspension therefore have separate lifecycle effects.</w:t>
      </w:r>
    </w:p>
    <w:p>
      <w:r>
        <w:t>Protect execution against concurrent and duplicate use. A one-time authorisation cannot produce two refunds after retries. A budget or spending mandate needs an explicit usage period, reserved and consumed amounts and a policy for related transactions where relevant; splitting a purchase must not defeat its governed threshold. A financial resolution does not by itself prove a payment succeeded at the bank.</w:t>
      </w:r>
    </w:p>
    <w:p>
      <w:r>
        <w:t>An off-app decision can be recorded from a signed minute, an external order or another permitted source. Record the actual decision date separately from the capture time, the source, recorder and verifier, and label the evidence accurately. A secretary must not impersonate members or invent app ballots. Confirmation of minutes, legal execution of an instrument, publication of a policy and operational implementation are separate steps when the governing process distinguishes them.</w:t>
      </w:r>
    </w:p>
    <w:p>
      <w:r>
        <w:t>Corrections preserve the prior record and their authority. Correcting a spelling error in minutes is different from increasing an approved amount. Rescission or amendment changes the resolution through the appropriate process; it does not erase an action already performed. An external reversal, refund or remedial decision is tracked as its own effect.</w:t>
      </w:r>
    </w:p>
    <w:p>
      <w:pPr>
        <w:pStyle w:val="Heading2"/>
      </w:pPr>
      <w:r>
        <w:t>8A 7 Oversight and accountability through closure</w:t>
      </w:r>
    </w:p>
    <w:p>
      <w:r>
        <w:t>Governance must continue after approval. Link the governing plan or priority to measurable objectives, approved resources, responsible offices, review dates and the operational evidence used for assessment. A board can request an academic-quality review or a safety improvement without receiving unrestricted private learner records. Aggregates retain their period, source and freshness so that missing data does not appear as a satisfactory result.</w:t>
      </w:r>
    </w:p>
    <w:p>
      <w:r>
        <w:t>An Obligation record identifies the applicable source or adopted policy, responsible office, due date or recurrence, required evidence, verifier and escalation. Its occurrence becomes a work item. Examples include a scheduled governing meeting, an affiliation return, policy review, stock verification or closure of an inspection finding. Required facts and dates are loaded from the applicable source; the examples are not universal statutory deadlines.</w:t>
      </w:r>
    </w:p>
    <w:p>
      <w:r>
        <w:t>A task can be submitted as complete and still await verification. Closure records the evidence and verifier when independent review is required. Appeals, complaints, safety concerns and audit findings use their specialised procedures, eligible participants and confidentiality boundaries. A complaint concerning a principal must not automatically be routed back to that principal as the only reviewer. A general governing body view receives only the summaries it is authorised to inspect.</w:t>
      </w:r>
    </w:p>
    <w:p>
      <w:r>
        <w:t>The oversight screen should show decisions awaiting implementation, expired or soon-ending appointments, upcoming reviews, overdue obligations, unresolved findings and blocked processes with a responsible owner. Use statuses such as evidence missing, submitted, verified and overdue. A green badge should mean that a defined check passed; it must not make an unsupported claim that the entire institute is legally compliant.</w:t>
      </w:r>
    </w:p>
    <w:p>
      <w:pPr>
        <w:pStyle w:val="Heading2"/>
      </w:pPr>
      <w:r>
        <w:t>8A 8 Simple mobile setup</w:t>
      </w:r>
    </w:p>
    <w:p>
      <w:r>
        <w:t>Keep the existing seven setup areas. Expand Institute and locations to Institute and governance, and Rules and approvals to Rules and decisions. Governance detail opens progressively within them. Offer familiar templates based on verified applicability, then show one readable Who can decide what view. The database’s office, seat and mandate records need not become separate mandatory screens.</w:t>
      </w:r>
    </w:p>
    <w:p>
      <w:pPr>
        <w:pStyle w:val="ListBullet"/>
      </w:pPr>
      <w:r>
        <w:t>Identify the institute and its relevant governing context, with source evidence for authority that matters to the active capabilities.</w:t>
      </w:r>
    </w:p>
    <w:p>
      <w:pPr>
        <w:pStyle w:val="ListBullet"/>
      </w:pPr>
      <w:r>
        <w:t>Confirm who holds the main offices. Add bodies, required seats and terms only where needed.</w:t>
      </w:r>
    </w:p>
    <w:p>
      <w:pPr>
        <w:pStyle w:val="ListBullet"/>
      </w:pPr>
      <w:r>
        <w:t>Choose or review the decision matters, reserved powers, routine delegations and limits.</w:t>
      </w:r>
    </w:p>
    <w:p>
      <w:pPr>
        <w:pStyle w:val="ListBullet"/>
      </w:pPr>
      <w:r>
        <w:t>Select supported proceedings, conflict handling and continuity arrangements where collective decisions are used.</w:t>
      </w:r>
    </w:p>
    <w:p>
      <w:pPr>
        <w:pStyle w:val="ListBullet"/>
      </w:pPr>
      <w:r>
        <w:t>Preview concrete examples: a correction, concession, purchase, policy revision and curriculum change.</w:t>
      </w:r>
    </w:p>
    <w:p>
      <w:pPr>
        <w:pStyle w:val="ListBullet"/>
      </w:pPr>
      <w:r>
        <w:t>Route consequential setup adoption to the existing authorised decision maker, then publish with an effective date.</w:t>
      </w:r>
    </w:p>
    <w:p>
      <w:r>
        <w:t>For a small coaching institute this can reduce to an authorised proprietor/director, a short delegation table, a few operational policies and explicit exception handling. For a school it can reveal management, SMC and principal relations. For a college it can reveal several academic, financial and management authorities. The simpler route is available only where it fits the institute’s actual obligations.</w:t>
      </w:r>
    </w:p>
    <w:p>
      <w:r>
        <w:t>Where direct individual authority is permitted, the same person may propose and decide. Record that route honestly. Do not manufacture an independent reviewer or claim independence from the person selecting another app role. Required independent review remains a separate constraint wherever applicable.</w:t>
      </w:r>
    </w:p>
    <w:p>
      <w:pPr>
        <w:pStyle w:val="Heading2"/>
      </w:pPr>
      <w:r>
        <w:t>8A 9 Mobile work for different participants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248"/>
        <w:gridCol w:w="3283"/>
      </w:tblGrid>
      <w:tr>
        <w:trPr>
          <w:tblHeader w:val="true"/>
          <w:cantSplit/>
        </w:trPr>
        <w:tc>
          <w:tcPr>
            <w:tcW w:type="dxa" w:w="2304"/>
            <w:shd w:fill="1D3A50"/>
            <w:vAlign w:val="center"/>
            <w:tcMar>
              <w:top w:w="80" w:type="dxa"/>
              <w:bottom w:w="80" w:type="dxa"/>
              <w:left w:w="90" w:type="dxa"/>
              <w:right w:w="90" w:type="dxa"/>
            </w:tcMar>
          </w:tcPr>
          <w:p>
            <w:pPr>
              <w:spacing w:after="40" w:line="252" w:lineRule="auto"/>
            </w:pPr>
            <w:r>
              <w:rPr>
                <w:b/>
                <w:color w:val="FFFFFF"/>
                <w:sz w:val="19"/>
              </w:rPr>
              <w:t>Person or capacity</w:t>
            </w:r>
          </w:p>
        </w:tc>
        <w:tc>
          <w:tcPr>
            <w:tcW w:type="dxa" w:w="4248"/>
            <w:shd w:fill="1D3A50"/>
            <w:vAlign w:val="center"/>
            <w:tcMar>
              <w:top w:w="80" w:type="dxa"/>
              <w:bottom w:w="80" w:type="dxa"/>
              <w:left w:w="90" w:type="dxa"/>
              <w:right w:w="90" w:type="dxa"/>
            </w:tcMar>
          </w:tcPr>
          <w:p>
            <w:pPr>
              <w:spacing w:after="40" w:line="252" w:lineRule="auto"/>
            </w:pPr>
            <w:r>
              <w:rPr>
                <w:b/>
                <w:color w:val="FFFFFF"/>
                <w:sz w:val="19"/>
              </w:rPr>
              <w:t>Focused mobile work</w:t>
            </w:r>
          </w:p>
        </w:tc>
        <w:tc>
          <w:tcPr>
            <w:tcW w:type="dxa" w:w="3283"/>
            <w:shd w:fill="1D3A50"/>
            <w:vAlign w:val="center"/>
            <w:tcMar>
              <w:top w:w="80" w:type="dxa"/>
              <w:bottom w:w="80" w:type="dxa"/>
              <w:left w:w="90" w:type="dxa"/>
              <w:right w:w="90" w:type="dxa"/>
            </w:tcMar>
          </w:tcPr>
          <w:p>
            <w:pPr>
              <w:spacing w:after="40" w:line="252" w:lineRule="auto"/>
            </w:pPr>
            <w:r>
              <w:rPr>
                <w:b/>
                <w:color w:val="FFFFFF"/>
                <w:sz w:val="19"/>
              </w:rPr>
              <w:t>Authority boundary</w:t>
            </w:r>
          </w:p>
        </w:tc>
      </w:tr>
      <w:tr>
        <w:trPr>
          <w:cantSplit/>
        </w:trPr>
        <w:tc>
          <w:tcPr>
            <w:tcW w:type="dxa" w:w="2304"/>
            <w:shd w:fill="F3F6F8"/>
            <w:vAlign w:val="center"/>
            <w:tcMar>
              <w:top w:w="80" w:type="dxa"/>
              <w:bottom w:w="80" w:type="dxa"/>
              <w:left w:w="90" w:type="dxa"/>
              <w:right w:w="90" w:type="dxa"/>
            </w:tcMar>
          </w:tcPr>
          <w:p>
            <w:pPr>
              <w:spacing w:after="40" w:line="252" w:lineRule="auto"/>
            </w:pPr>
            <w:r>
              <w:rPr>
                <w:sz w:val="19"/>
              </w:rPr>
              <w:t>Teacher or ordinary staff member</w:t>
            </w:r>
          </w:p>
        </w:tc>
        <w:tc>
          <w:tcPr>
            <w:tcW w:type="dxa" w:w="4248"/>
            <w:shd w:fill="F3F6F8"/>
            <w:vAlign w:val="center"/>
            <w:tcMar>
              <w:top w:w="80" w:type="dxa"/>
              <w:bottom w:w="80" w:type="dxa"/>
              <w:left w:w="90" w:type="dxa"/>
              <w:right w:w="90" w:type="dxa"/>
            </w:tcMar>
          </w:tcPr>
          <w:p>
            <w:pPr>
              <w:spacing w:after="40" w:line="252" w:lineRule="auto"/>
            </w:pPr>
            <w:r>
              <w:rPr>
                <w:sz w:val="19"/>
              </w:rPr>
              <w:t>Submit a proposal, complete assigned duties and respond to relevant review requests.</w:t>
            </w:r>
          </w:p>
        </w:tc>
        <w:tc>
          <w:tcPr>
            <w:tcW w:type="dxa" w:w="3283"/>
            <w:shd w:fill="F3F6F8"/>
            <w:vAlign w:val="center"/>
            <w:tcMar>
              <w:top w:w="80" w:type="dxa"/>
              <w:bottom w:w="80" w:type="dxa"/>
              <w:left w:w="90" w:type="dxa"/>
              <w:right w:w="90" w:type="dxa"/>
            </w:tcMar>
          </w:tcPr>
          <w:p>
            <w:pPr>
              <w:spacing w:after="40" w:line="252" w:lineRule="auto"/>
            </w:pPr>
            <w:r>
              <w:rPr>
                <w:sz w:val="19"/>
              </w:rPr>
              <w:t>No committee voting power unless separately appointed.</w:t>
            </w:r>
          </w:p>
        </w:tc>
      </w:tr>
      <w:tr>
        <w:trPr>
          <w:cantSplit/>
        </w:trPr>
        <w:tc>
          <w:tcPr>
            <w:tcW w:type="dxa" w:w="2304"/>
            <w:shd w:fill="FFFFFF"/>
            <w:vAlign w:val="center"/>
            <w:tcMar>
              <w:top w:w="80" w:type="dxa"/>
              <w:bottom w:w="80" w:type="dxa"/>
              <w:left w:w="90" w:type="dxa"/>
              <w:right w:w="90" w:type="dxa"/>
            </w:tcMar>
          </w:tcPr>
          <w:p>
            <w:pPr>
              <w:spacing w:after="40" w:line="252" w:lineRule="auto"/>
            </w:pPr>
            <w:r>
              <w:rPr>
                <w:sz w:val="19"/>
              </w:rPr>
              <w:t>Principal or director</w:t>
            </w:r>
          </w:p>
        </w:tc>
        <w:tc>
          <w:tcPr>
            <w:tcW w:type="dxa" w:w="4248"/>
            <w:shd w:fill="FFFFFF"/>
            <w:vAlign w:val="center"/>
            <w:tcMar>
              <w:top w:w="80" w:type="dxa"/>
              <w:bottom w:w="80" w:type="dxa"/>
              <w:left w:w="90" w:type="dxa"/>
              <w:right w:w="90" w:type="dxa"/>
            </w:tcMar>
          </w:tcPr>
          <w:p>
            <w:pPr>
              <w:spacing w:after="40" w:line="252" w:lineRule="auto"/>
            </w:pPr>
            <w:r>
              <w:rPr>
                <w:sz w:val="19"/>
              </w:rPr>
              <w:t>Handle delegated matters, sponsor proposals, monitor decisions and supervise implementation.</w:t>
            </w:r>
          </w:p>
        </w:tc>
        <w:tc>
          <w:tcPr>
            <w:tcW w:type="dxa" w:w="3283"/>
            <w:shd w:fill="FFFFFF"/>
            <w:vAlign w:val="center"/>
            <w:tcMar>
              <w:top w:w="80" w:type="dxa"/>
              <w:bottom w:w="80" w:type="dxa"/>
              <w:left w:w="90" w:type="dxa"/>
              <w:right w:w="90" w:type="dxa"/>
            </w:tcMar>
          </w:tcPr>
          <w:p>
            <w:pPr>
              <w:spacing w:after="40" w:line="252" w:lineRule="auto"/>
            </w:pPr>
            <w:r>
              <w:rPr>
                <w:sz w:val="19"/>
              </w:rPr>
              <w:t>Reserved and nondelegable matters retain their own route.</w:t>
            </w:r>
          </w:p>
        </w:tc>
      </w:tr>
      <w:tr>
        <w:trPr>
          <w:cantSplit/>
        </w:trPr>
        <w:tc>
          <w:tcPr>
            <w:tcW w:type="dxa" w:w="2304"/>
            <w:shd w:fill="F3F6F8"/>
            <w:vAlign w:val="center"/>
            <w:tcMar>
              <w:top w:w="80" w:type="dxa"/>
              <w:bottom w:w="80" w:type="dxa"/>
              <w:left w:w="90" w:type="dxa"/>
              <w:right w:w="90" w:type="dxa"/>
            </w:tcMar>
          </w:tcPr>
          <w:p>
            <w:pPr>
              <w:spacing w:after="40" w:line="252" w:lineRule="auto"/>
            </w:pPr>
            <w:r>
              <w:rPr>
                <w:sz w:val="19"/>
              </w:rPr>
              <w:t>Secretary or agenda coordinator</w:t>
            </w:r>
          </w:p>
        </w:tc>
        <w:tc>
          <w:tcPr>
            <w:tcW w:type="dxa" w:w="4248"/>
            <w:shd w:fill="F3F6F8"/>
            <w:vAlign w:val="center"/>
            <w:tcMar>
              <w:top w:w="80" w:type="dxa"/>
              <w:bottom w:w="80" w:type="dxa"/>
              <w:left w:w="90" w:type="dxa"/>
              <w:right w:w="90" w:type="dxa"/>
            </w:tcMar>
          </w:tcPr>
          <w:p>
            <w:pPr>
              <w:spacing w:after="40" w:line="252" w:lineRule="auto"/>
            </w:pPr>
            <w:r>
              <w:rPr>
                <w:sz w:val="19"/>
              </w:rPr>
              <w:t>Prepare papers, issue permitted notice, record participation, draft minutes and track actions.</w:t>
            </w:r>
          </w:p>
        </w:tc>
        <w:tc>
          <w:tcPr>
            <w:tcW w:type="dxa" w:w="3283"/>
            <w:shd w:fill="F3F6F8"/>
            <w:vAlign w:val="center"/>
            <w:tcMar>
              <w:top w:w="80" w:type="dxa"/>
              <w:bottom w:w="80" w:type="dxa"/>
              <w:left w:w="90" w:type="dxa"/>
              <w:right w:w="90" w:type="dxa"/>
            </w:tcMar>
          </w:tcPr>
          <w:p>
            <w:pPr>
              <w:spacing w:after="40" w:line="252" w:lineRule="auto"/>
            </w:pPr>
            <w:r>
              <w:rPr>
                <w:sz w:val="19"/>
              </w:rPr>
              <w:t>Preparation and certification do not create votes or policy-adoption powers.</w:t>
            </w:r>
          </w:p>
        </w:tc>
      </w:tr>
      <w:tr>
        <w:trPr>
          <w:cantSplit/>
        </w:trPr>
        <w:tc>
          <w:tcPr>
            <w:tcW w:type="dxa" w:w="2304"/>
            <w:shd w:fill="FFFFFF"/>
            <w:vAlign w:val="center"/>
            <w:tcMar>
              <w:top w:w="80" w:type="dxa"/>
              <w:bottom w:w="80" w:type="dxa"/>
              <w:left w:w="90" w:type="dxa"/>
              <w:right w:w="90" w:type="dxa"/>
            </w:tcMar>
          </w:tcPr>
          <w:p>
            <w:pPr>
              <w:spacing w:after="40" w:line="252" w:lineRule="auto"/>
            </w:pPr>
            <w:r>
              <w:rPr>
                <w:sz w:val="19"/>
              </w:rPr>
              <w:t>Body member or external nominee</w:t>
            </w:r>
          </w:p>
        </w:tc>
        <w:tc>
          <w:tcPr>
            <w:tcW w:type="dxa" w:w="4248"/>
            <w:shd w:fill="FFFFFF"/>
            <w:vAlign w:val="center"/>
            <w:tcMar>
              <w:top w:w="80" w:type="dxa"/>
              <w:bottom w:w="80" w:type="dxa"/>
              <w:left w:w="90" w:type="dxa"/>
              <w:right w:w="90" w:type="dxa"/>
            </w:tcMar>
          </w:tcPr>
          <w:p>
            <w:pPr>
              <w:spacing w:after="40" w:line="252" w:lineRule="auto"/>
            </w:pPr>
            <w:r>
              <w:rPr>
                <w:sz w:val="19"/>
              </w:rPr>
              <w:t>Read assigned papers, disclose conflicts, participate, vote when eligible and review actions.</w:t>
            </w:r>
          </w:p>
        </w:tc>
        <w:tc>
          <w:tcPr>
            <w:tcW w:type="dxa" w:w="3283"/>
            <w:shd w:fill="FFFFFF"/>
            <w:vAlign w:val="center"/>
            <w:tcMar>
              <w:top w:w="80" w:type="dxa"/>
              <w:bottom w:w="80" w:type="dxa"/>
              <w:left w:w="90" w:type="dxa"/>
              <w:right w:w="90" w:type="dxa"/>
            </w:tcMar>
          </w:tcPr>
          <w:p>
            <w:pPr>
              <w:spacing w:after="40" w:line="252" w:lineRule="auto"/>
            </w:pPr>
            <w:r>
              <w:rPr>
                <w:sz w:val="19"/>
              </w:rPr>
              <w:t>Only the bodies, matters and records covered by the appointment.</w:t>
            </w:r>
          </w:p>
        </w:tc>
      </w:tr>
      <w:tr>
        <w:trPr>
          <w:cantSplit/>
        </w:trPr>
        <w:tc>
          <w:tcPr>
            <w:tcW w:type="dxa" w:w="2304"/>
            <w:shd w:fill="F3F6F8"/>
            <w:vAlign w:val="center"/>
            <w:tcMar>
              <w:top w:w="80" w:type="dxa"/>
              <w:bottom w:w="80" w:type="dxa"/>
              <w:left w:w="90" w:type="dxa"/>
              <w:right w:w="90" w:type="dxa"/>
            </w:tcMar>
          </w:tcPr>
          <w:p>
            <w:pPr>
              <w:spacing w:after="40" w:line="252" w:lineRule="auto"/>
            </w:pPr>
            <w:r>
              <w:rPr>
                <w:sz w:val="19"/>
              </w:rPr>
              <w:t>Chair</w:t>
            </w:r>
          </w:p>
        </w:tc>
        <w:tc>
          <w:tcPr>
            <w:tcW w:type="dxa" w:w="4248"/>
            <w:shd w:fill="F3F6F8"/>
            <w:vAlign w:val="center"/>
            <w:tcMar>
              <w:top w:w="80" w:type="dxa"/>
              <w:bottom w:w="80" w:type="dxa"/>
              <w:left w:w="90" w:type="dxa"/>
              <w:right w:w="90" w:type="dxa"/>
            </w:tcMar>
          </w:tcPr>
          <w:p>
            <w:pPr>
              <w:spacing w:after="40" w:line="252" w:lineRule="auto"/>
            </w:pPr>
            <w:r>
              <w:rPr>
                <w:sz w:val="19"/>
              </w:rPr>
              <w:t>Conduct proceedings and use any expressly granted closure or casting authority.</w:t>
            </w:r>
          </w:p>
        </w:tc>
        <w:tc>
          <w:tcPr>
            <w:tcW w:type="dxa" w:w="3283"/>
            <w:shd w:fill="F3F6F8"/>
            <w:vAlign w:val="center"/>
            <w:tcMar>
              <w:top w:w="80" w:type="dxa"/>
              <w:bottom w:w="80" w:type="dxa"/>
              <w:left w:w="90" w:type="dxa"/>
              <w:right w:w="90" w:type="dxa"/>
            </w:tcMar>
          </w:tcPr>
          <w:p>
            <w:pPr>
              <w:spacing w:after="40" w:line="252" w:lineRule="auto"/>
            </w:pPr>
            <w:r>
              <w:rPr>
                <w:sz w:val="19"/>
              </w:rPr>
              <w:t>No assumed power to approve alone or disregard a failed quorum.</w:t>
            </w:r>
          </w:p>
        </w:tc>
      </w:tr>
      <w:tr>
        <w:trPr>
          <w:cantSplit/>
        </w:trPr>
        <w:tc>
          <w:tcPr>
            <w:tcW w:type="dxa" w:w="2304"/>
            <w:shd w:fill="FFFFFF"/>
            <w:vAlign w:val="center"/>
            <w:tcMar>
              <w:top w:w="80" w:type="dxa"/>
              <w:bottom w:w="80" w:type="dxa"/>
              <w:left w:w="90" w:type="dxa"/>
              <w:right w:w="90" w:type="dxa"/>
            </w:tcMar>
          </w:tcPr>
          <w:p>
            <w:pPr>
              <w:spacing w:after="40" w:line="252" w:lineRule="auto"/>
            </w:pPr>
            <w:r>
              <w:rPr>
                <w:sz w:val="19"/>
              </w:rPr>
              <w:t>Executor or evidence verifier</w:t>
            </w:r>
          </w:p>
        </w:tc>
        <w:tc>
          <w:tcPr>
            <w:tcW w:type="dxa" w:w="4248"/>
            <w:shd w:fill="FFFFFF"/>
            <w:vAlign w:val="center"/>
            <w:tcMar>
              <w:top w:w="80" w:type="dxa"/>
              <w:bottom w:w="80" w:type="dxa"/>
              <w:left w:w="90" w:type="dxa"/>
              <w:right w:w="90" w:type="dxa"/>
            </w:tcMar>
          </w:tcPr>
          <w:p>
            <w:pPr>
              <w:spacing w:after="40" w:line="252" w:lineRule="auto"/>
            </w:pPr>
            <w:r>
              <w:rPr>
                <w:sz w:val="19"/>
              </w:rPr>
              <w:t>Implement a bounded decision or inspect completion evidence.</w:t>
            </w:r>
          </w:p>
        </w:tc>
        <w:tc>
          <w:tcPr>
            <w:tcW w:type="dxa" w:w="3283"/>
            <w:shd w:fill="FFFFFF"/>
            <w:vAlign w:val="center"/>
            <w:tcMar>
              <w:top w:w="80" w:type="dxa"/>
              <w:bottom w:w="80" w:type="dxa"/>
              <w:left w:w="90" w:type="dxa"/>
              <w:right w:w="90" w:type="dxa"/>
            </w:tcMar>
          </w:tcPr>
          <w:p>
            <w:pPr>
              <w:spacing w:after="40" w:line="252" w:lineRule="auto"/>
            </w:pPr>
            <w:r>
              <w:rPr>
                <w:sz w:val="19"/>
              </w:rPr>
              <w:t>Current execution and verification grants remain separate from the decision.</w:t>
            </w:r>
          </w:p>
        </w:tc>
      </w:tr>
    </w:tbl>
    <w:p>
      <w:pPr>
        <w:spacing w:after="20" w:before="0"/>
      </w:pPr>
    </w:p>
    <w:p>
      <w:r>
        <w:t>The decision page should lead with the requested result, what would change, why the user is involved, the proposal version and the action currently available. Put the short explanation and critical amount, population, effective date and conditions above supporting papers. Use precise action labels such as Recommend, Vote, Approve under delegation and Implement approved change. A recommender should not see a button that misrepresents their action as final approval.</w:t>
      </w:r>
    </w:p>
    <w:p>
      <w:r>
        <w:t>Show procedural readiness in plain language: two required reviews complete, one decision outstanding; or quorum not met because a required eligible member is absent. Explain the cause and next step. Do not require the user to choose a role repeatedly when their current task already establishes the relevant capacity. If several capacities could materially change the action, ask them to choose explicitly and preserve that choice in the evidence.</w:t>
      </w:r>
    </w:p>
    <w:p>
      <w:r>
        <w:t>Support mobile document viewing, saved drafts, legible text, accessible controls, local-language labels and stable reference numbers. Sensitive decisions should use a clear final confirmation of the material effect, with stronger authentication where the adopted policy requires it. Push notifications should reveal little sensitive detail and open the authenticated decision page. A decision request sent to an inbox is not proof that the person received valid notice.</w:t>
      </w:r>
    </w:p>
    <w:p>
      <w:r>
        <w:t>Offline reading and drafting can be supported within the record’s storage policy. Show a vote or approval as recorded only after the server accepts it and supplies a receipt and version. If authority, proposal version or closing time changed during disconnection, present the conflict and the available authorised path. Final decisions and execution must not trust a cached mobile permission.</w:t>
      </w:r>
    </w:p>
    <w:p>
      <w:pPr>
        <w:pStyle w:val="Heading2"/>
      </w:pPr>
      <w:r>
        <w:t>8A 10 Digital evidence and external boundaries</w:t>
      </w:r>
    </w:p>
    <w:p>
      <w:r>
        <w:t>The app can prepare and manage permitted physical, online or hybrid proceedings. It can record a physical meeting while members use phones to read papers and track actions. If the applicable rules require a physical meeting, formal notice, a specified signature or filing in an external portal, the workflow records that requirement and evidence instead of claiming an ordinary tap satisfies it.</w:t>
      </w:r>
    </w:p>
    <w:p>
      <w:r>
        <w:t>Distinguish an authenticated app action, a recorded signature or attestation, and a signature produced through the appropriate electronic-signature service. CCA describes an API-integrable eSign service with signer authentication, consent and document integrity within its prescribed framework. This can support a required digital signing step; it does not decide whether a body had authority or whether its meeting procedure was valid. [11]</w:t>
      </w:r>
    </w:p>
    <w:p>
      <w:r>
        <w:t>Store the exact signed document version and its signature-verification evidence. Preserve a source original when creating a redacted paper or translated summary. Personal notes, ballot choices, employment disputes and protected case details need separate access projections and retention rules. Membership of a governing body is not an unrestricted right to export all institutional data.</w:t>
      </w:r>
    </w:p>
    <w:p>
      <w:r>
        <w:t>External approval, submission and acceptance have distinct states. Uploading an affiliation request to the app is not proof that the relevant authority accepted it. Record the issuer, reference, scope, conditions and validity of external orders; connect supported integrations where available, and use verified evidence capture otherwise. The digital record helps enforce and demonstrate the process the app controls; it cannot independently establish undisclosed conflicts, authentic documents or events never recorded.</w:t>
      </w:r>
    </w:p>
    <w:p>
      <w:pPr>
        <w:pStyle w:val="Heading2"/>
      </w:pPr>
      <w:r>
        <w:t>8A 11 Continuity and safe implementation order</w:t>
      </w:r>
    </w:p>
    <w:p>
      <w:r>
        <w:t>Record permitted acting appointments, their appointing source, scope, start and end dates and any excluded powers. A substitute for teaching duties does not automatically become an acting principal. If a body loses quorum or a sole authority becomes unavailable, route affected matters to its documented continuity process. Technical account recovery cannot invent a successor or supply a missing institutional appointment.</w:t>
      </w:r>
    </w:p>
    <w:p>
      <w:r>
        <w:t>Emergency authority is a separately defined, bounded power with conditions, expiry, notification and subsequent review where required. Immediate protective action already within a person’s duty should remain available. A declared emergency does not provide unlimited spending or access, and later review must not rewrite an emergency action as though ordinary prior approval occurred.</w:t>
      </w:r>
    </w:p>
    <w:p>
      <w:r>
        <w:t>Implementation should begin with authority sources, offices, appointments, standing mandates, reserved matters and the protected command checks. Add one complete collective-decision procedure with bodies, seats, eligibility, participation, conflicts, quorum, resolutions and implementation tracking. Introduce advanced circulation, proxy or secret-ballot procedures only when their full semantics and evidence requirements are supported.</w:t>
      </w:r>
    </w:p>
    <w:p>
      <w:r>
        <w:t>Retain the parent-centred attendance and status flow as the first product slice, now grounded in a recorded authority to assign duties and publish policies. Validate a school delegation, a small coaching authority and an autonomous-college academic decision as model fixtures from the start. The capability list may grow progressively; unsupported governance modes must remain explicit.</w:t>
      </w:r>
    </w:p>
    <w:p>
      <w:pPr>
        <w:pStyle w:val="Heading1"/>
      </w:pPr>
      <w:r>
        <w:t>9 Configurable workflows with protected command meanings</w:t>
      </w:r>
    </w:p>
    <w:p>
      <w:r>
        <w:t>A workflow coordinates who does what next. Domain services define what the action actually means. Start with a bounded vocabulary: collect information, validate, assign review, approve/reject/return, execute a registered command, notify, wait, and escalate. Enable parallel reviews, quorum rules or additional branches only when a process requires them.</w:t>
      </w:r>
    </w:p>
    <w:p>
      <w:r>
        <w:t>For a governed matter, the workflow resolves authority through the matter rule and the records in section 8A. Recommendations, ballots, adopted resolutions and execution are distinct record types. A generic approve transition cannot bypass a reserved decision, a required external condition or the adopted collective procedure.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12"/>
        <w:gridCol w:w="7223"/>
      </w:tblGrid>
      <w:tr>
        <w:trPr>
          <w:tblHeader w:val="true"/>
          <w:cantSplit/>
        </w:trPr>
        <w:tc>
          <w:tcPr>
            <w:tcW w:type="dxa" w:w="2612"/>
            <w:shd w:fill="1D3A50"/>
            <w:vAlign w:val="center"/>
            <w:tcMar>
              <w:top w:w="80" w:type="dxa"/>
              <w:bottom w:w="80" w:type="dxa"/>
              <w:left w:w="90" w:type="dxa"/>
              <w:right w:w="90" w:type="dxa"/>
            </w:tcMar>
          </w:tcPr>
          <w:p>
            <w:pPr>
              <w:spacing w:after="40" w:line="252" w:lineRule="auto"/>
            </w:pPr>
            <w:r>
              <w:rPr>
                <w:b/>
                <w:color w:val="FFFFFF"/>
                <w:sz w:val="19"/>
              </w:rPr>
              <w:t>Workflow component</w:t>
            </w:r>
          </w:p>
        </w:tc>
        <w:tc>
          <w:tcPr>
            <w:tcW w:type="dxa" w:w="7223"/>
            <w:shd w:fill="1D3A50"/>
            <w:vAlign w:val="center"/>
            <w:tcMar>
              <w:top w:w="80" w:type="dxa"/>
              <w:bottom w:w="80" w:type="dxa"/>
              <w:left w:w="90" w:type="dxa"/>
              <w:right w:w="90" w:type="dxa"/>
            </w:tcMar>
          </w:tcPr>
          <w:p>
            <w:pPr>
              <w:spacing w:after="40" w:line="252" w:lineRule="auto"/>
            </w:pPr>
            <w:r>
              <w:rPr>
                <w:b/>
                <w:color w:val="FFFFFF"/>
                <w:sz w:val="19"/>
              </w:rPr>
              <w:t>Required definition</w:t>
            </w:r>
          </w:p>
        </w:tc>
      </w:tr>
      <w:tr>
        <w:trPr>
          <w:cantSplit/>
        </w:trPr>
        <w:tc>
          <w:tcPr>
            <w:tcW w:type="dxa" w:w="2612"/>
            <w:shd w:fill="F3F6F8"/>
            <w:vAlign w:val="center"/>
            <w:tcMar>
              <w:top w:w="80" w:type="dxa"/>
              <w:bottom w:w="80" w:type="dxa"/>
              <w:left w:w="90" w:type="dxa"/>
              <w:right w:w="90" w:type="dxa"/>
            </w:tcMar>
          </w:tcPr>
          <w:p>
            <w:pPr>
              <w:spacing w:after="40" w:line="252" w:lineRule="auto"/>
            </w:pPr>
            <w:r>
              <w:rPr>
                <w:sz w:val="19"/>
              </w:rPr>
              <w:t>Trigger and request</w:t>
            </w:r>
          </w:p>
        </w:tc>
        <w:tc>
          <w:tcPr>
            <w:tcW w:type="dxa" w:w="7223"/>
            <w:shd w:fill="F3F6F8"/>
            <w:vAlign w:val="center"/>
            <w:tcMar>
              <w:top w:w="80" w:type="dxa"/>
              <w:bottom w:w="80" w:type="dxa"/>
              <w:left w:w="90" w:type="dxa"/>
              <w:right w:w="90" w:type="dxa"/>
            </w:tcMar>
          </w:tcPr>
          <w:p>
            <w:pPr>
              <w:spacing w:after="40" w:line="252" w:lineRule="auto"/>
            </w:pPr>
            <w:r>
              <w:rPr>
                <w:sz w:val="19"/>
              </w:rPr>
              <w:t>Which event/request starts the process and what typed information it requires.</w:t>
            </w:r>
          </w:p>
        </w:tc>
      </w:tr>
      <w:tr>
        <w:trPr>
          <w:cantSplit/>
        </w:trPr>
        <w:tc>
          <w:tcPr>
            <w:tcW w:type="dxa" w:w="2612"/>
            <w:shd w:fill="FFFFFF"/>
            <w:vAlign w:val="center"/>
            <w:tcMar>
              <w:top w:w="80" w:type="dxa"/>
              <w:bottom w:w="80" w:type="dxa"/>
              <w:left w:w="90" w:type="dxa"/>
              <w:right w:w="90" w:type="dxa"/>
            </w:tcMar>
          </w:tcPr>
          <w:p>
            <w:pPr>
              <w:spacing w:after="40" w:line="252" w:lineRule="auto"/>
            </w:pPr>
            <w:r>
              <w:rPr>
                <w:sz w:val="19"/>
              </w:rPr>
              <w:t>States and transitions</w:t>
            </w:r>
          </w:p>
        </w:tc>
        <w:tc>
          <w:tcPr>
            <w:tcW w:type="dxa" w:w="7223"/>
            <w:shd w:fill="FFFFFF"/>
            <w:vAlign w:val="center"/>
            <w:tcMar>
              <w:top w:w="80" w:type="dxa"/>
              <w:bottom w:w="80" w:type="dxa"/>
              <w:left w:w="90" w:type="dxa"/>
              <w:right w:w="90" w:type="dxa"/>
            </w:tcMar>
          </w:tcPr>
          <w:p>
            <w:pPr>
              <w:spacing w:after="40" w:line="252" w:lineRule="auto"/>
            </w:pPr>
            <w:r>
              <w:rPr>
                <w:sz w:val="19"/>
              </w:rPr>
              <w:t>Which steps are possible, who may trigger them, and which terminal/exception states exist.</w:t>
            </w:r>
          </w:p>
        </w:tc>
      </w:tr>
      <w:tr>
        <w:trPr>
          <w:cantSplit/>
        </w:trPr>
        <w:tc>
          <w:tcPr>
            <w:tcW w:type="dxa" w:w="2612"/>
            <w:shd w:fill="F3F6F8"/>
            <w:vAlign w:val="center"/>
            <w:tcMar>
              <w:top w:w="80" w:type="dxa"/>
              <w:bottom w:w="80" w:type="dxa"/>
              <w:left w:w="90" w:type="dxa"/>
              <w:right w:w="90" w:type="dxa"/>
            </w:tcMar>
          </w:tcPr>
          <w:p>
            <w:pPr>
              <w:spacing w:after="40" w:line="252" w:lineRule="auto"/>
            </w:pPr>
            <w:r>
              <w:rPr>
                <w:sz w:val="19"/>
              </w:rPr>
              <w:t>Actor resolver</w:t>
            </w:r>
          </w:p>
        </w:tc>
        <w:tc>
          <w:tcPr>
            <w:tcW w:type="dxa" w:w="7223"/>
            <w:shd w:fill="F3F6F8"/>
            <w:vAlign w:val="center"/>
            <w:tcMar>
              <w:top w:w="80" w:type="dxa"/>
              <w:bottom w:w="80" w:type="dxa"/>
              <w:left w:w="90" w:type="dxa"/>
              <w:right w:w="90" w:type="dxa"/>
            </w:tcMar>
          </w:tcPr>
          <w:p>
            <w:pPr>
              <w:spacing w:after="40" w:line="252" w:lineRule="auto"/>
            </w:pPr>
            <w:r>
              <w:rPr>
                <w:sz w:val="19"/>
              </w:rPr>
              <w:t>A current eligible assignment, such as financial approver for this institution and amount, rather than a hardcoded employee name.</w:t>
            </w:r>
          </w:p>
        </w:tc>
      </w:tr>
      <w:tr>
        <w:trPr>
          <w:cantSplit/>
        </w:trPr>
        <w:tc>
          <w:tcPr>
            <w:tcW w:type="dxa" w:w="2612"/>
            <w:shd w:fill="FFFFFF"/>
            <w:vAlign w:val="center"/>
            <w:tcMar>
              <w:top w:w="80" w:type="dxa"/>
              <w:bottom w:w="80" w:type="dxa"/>
              <w:left w:w="90" w:type="dxa"/>
              <w:right w:w="90" w:type="dxa"/>
            </w:tcMar>
          </w:tcPr>
          <w:p>
            <w:pPr>
              <w:spacing w:after="40" w:line="252" w:lineRule="auto"/>
            </w:pPr>
            <w:r>
              <w:rPr>
                <w:sz w:val="19"/>
              </w:rPr>
              <w:t>Decision conditions</w:t>
            </w:r>
          </w:p>
        </w:tc>
        <w:tc>
          <w:tcPr>
            <w:tcW w:type="dxa" w:w="7223"/>
            <w:shd w:fill="FFFFFF"/>
            <w:vAlign w:val="center"/>
            <w:tcMar>
              <w:top w:w="80" w:type="dxa"/>
              <w:bottom w:w="80" w:type="dxa"/>
              <w:left w:w="90" w:type="dxa"/>
              <w:right w:w="90" w:type="dxa"/>
            </w:tcMar>
          </w:tcPr>
          <w:p>
            <w:pPr>
              <w:spacing w:after="40" w:line="252" w:lineRule="auto"/>
            </w:pPr>
            <w:r>
              <w:rPr>
                <w:sz w:val="19"/>
              </w:rPr>
              <w:t>Amount, scope, prerequisites, independent review, quorum and permitted exception authority.</w:t>
            </w:r>
          </w:p>
        </w:tc>
      </w:tr>
      <w:tr>
        <w:trPr>
          <w:cantSplit/>
        </w:trPr>
        <w:tc>
          <w:tcPr>
            <w:tcW w:type="dxa" w:w="2612"/>
            <w:shd w:fill="F3F6F8"/>
            <w:vAlign w:val="center"/>
            <w:tcMar>
              <w:top w:w="80" w:type="dxa"/>
              <w:bottom w:w="80" w:type="dxa"/>
              <w:left w:w="90" w:type="dxa"/>
              <w:right w:w="90" w:type="dxa"/>
            </w:tcMar>
          </w:tcPr>
          <w:p>
            <w:pPr>
              <w:spacing w:after="40" w:line="252" w:lineRule="auto"/>
            </w:pPr>
            <w:r>
              <w:rPr>
                <w:sz w:val="19"/>
              </w:rPr>
              <w:t>Business commands</w:t>
            </w:r>
          </w:p>
        </w:tc>
        <w:tc>
          <w:tcPr>
            <w:tcW w:type="dxa" w:w="7223"/>
            <w:shd w:fill="F3F6F8"/>
            <w:vAlign w:val="center"/>
            <w:tcMar>
              <w:top w:w="80" w:type="dxa"/>
              <w:bottom w:w="80" w:type="dxa"/>
              <w:left w:w="90" w:type="dxa"/>
              <w:right w:w="90" w:type="dxa"/>
            </w:tcMar>
          </w:tcPr>
          <w:p>
            <w:pPr>
              <w:spacing w:after="40" w:line="252" w:lineRule="auto"/>
            </w:pPr>
            <w:r>
              <w:rPr>
                <w:sz w:val="19"/>
              </w:rPr>
              <w:t>The registered operation executed after the conditions hold.</w:t>
            </w:r>
          </w:p>
        </w:tc>
      </w:tr>
      <w:tr>
        <w:trPr>
          <w:cantSplit/>
        </w:trPr>
        <w:tc>
          <w:tcPr>
            <w:tcW w:type="dxa" w:w="2612"/>
            <w:shd w:fill="FFFFFF"/>
            <w:vAlign w:val="center"/>
            <w:tcMar>
              <w:top w:w="80" w:type="dxa"/>
              <w:bottom w:w="80" w:type="dxa"/>
              <w:left w:w="90" w:type="dxa"/>
              <w:right w:w="90" w:type="dxa"/>
            </w:tcMar>
          </w:tcPr>
          <w:p>
            <w:pPr>
              <w:spacing w:after="40" w:line="252" w:lineRule="auto"/>
            </w:pPr>
            <w:r>
              <w:rPr>
                <w:sz w:val="19"/>
              </w:rPr>
              <w:t>Failure and follow-up</w:t>
            </w:r>
          </w:p>
        </w:tc>
        <w:tc>
          <w:tcPr>
            <w:tcW w:type="dxa" w:w="7223"/>
            <w:shd w:fill="FFFFFF"/>
            <w:vAlign w:val="center"/>
            <w:tcMar>
              <w:top w:w="80" w:type="dxa"/>
              <w:bottom w:w="80" w:type="dxa"/>
              <w:left w:w="90" w:type="dxa"/>
              <w:right w:w="90" w:type="dxa"/>
            </w:tcMar>
          </w:tcPr>
          <w:p>
            <w:pPr>
              <w:spacing w:after="40" w:line="252" w:lineRule="auto"/>
            </w:pPr>
            <w:r>
              <w:rPr>
                <w:sz w:val="19"/>
              </w:rPr>
              <w:t>What happens if nobody is eligible, a deadline passes, a service fails or the request changes.</w:t>
            </w:r>
          </w:p>
        </w:tc>
      </w:tr>
      <w:tr>
        <w:trPr>
          <w:cantSplit/>
        </w:trPr>
        <w:tc>
          <w:tcPr>
            <w:tcW w:type="dxa" w:w="2612"/>
            <w:shd w:fill="F3F6F8"/>
            <w:vAlign w:val="center"/>
            <w:tcMar>
              <w:top w:w="80" w:type="dxa"/>
              <w:bottom w:w="80" w:type="dxa"/>
              <w:left w:w="90" w:type="dxa"/>
              <w:right w:w="90" w:type="dxa"/>
            </w:tcMar>
          </w:tcPr>
          <w:p>
            <w:pPr>
              <w:spacing w:after="40" w:line="252" w:lineRule="auto"/>
            </w:pPr>
            <w:r>
              <w:rPr>
                <w:sz w:val="19"/>
              </w:rPr>
              <w:t>Evidence and visibility</w:t>
            </w:r>
          </w:p>
        </w:tc>
        <w:tc>
          <w:tcPr>
            <w:tcW w:type="dxa" w:w="7223"/>
            <w:shd w:fill="F3F6F8"/>
            <w:vAlign w:val="center"/>
            <w:tcMar>
              <w:top w:w="80" w:type="dxa"/>
              <w:bottom w:w="80" w:type="dxa"/>
              <w:left w:w="90" w:type="dxa"/>
              <w:right w:w="90" w:type="dxa"/>
            </w:tcMar>
          </w:tcPr>
          <w:p>
            <w:pPr>
              <w:spacing w:after="40" w:line="252" w:lineRule="auto"/>
            </w:pPr>
            <w:r>
              <w:rPr>
                <w:sz w:val="19"/>
              </w:rPr>
              <w:t>What is recorded and what each participant or external viewer may see.</w:t>
            </w:r>
          </w:p>
        </w:tc>
      </w:tr>
    </w:tbl>
    <w:p>
      <w:pPr>
        <w:spacing w:after="20" w:before="0"/>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12"/>
        <w:gridCol w:w="7223"/>
      </w:tblGrid>
      <w:tr>
        <w:trPr>
          <w:tblHeader w:val="true"/>
          <w:cantSplit/>
        </w:trPr>
        <w:tc>
          <w:tcPr>
            <w:tcW w:type="dxa" w:w="2612"/>
            <w:shd w:fill="1D3A50"/>
            <w:vAlign w:val="center"/>
            <w:tcMar>
              <w:top w:w="80" w:type="dxa"/>
              <w:bottom w:w="80" w:type="dxa"/>
              <w:left w:w="90" w:type="dxa"/>
              <w:right w:w="90" w:type="dxa"/>
            </w:tcMar>
          </w:tcPr>
          <w:p>
            <w:pPr>
              <w:spacing w:after="40" w:line="252" w:lineRule="auto"/>
            </w:pPr>
            <w:r>
              <w:rPr>
                <w:b/>
                <w:color w:val="FFFFFF"/>
                <w:sz w:val="19"/>
              </w:rPr>
              <w:t>Action</w:t>
            </w:r>
          </w:p>
        </w:tc>
        <w:tc>
          <w:tcPr>
            <w:tcW w:type="dxa" w:w="7223"/>
            <w:shd w:fill="1D3A50"/>
            <w:vAlign w:val="center"/>
            <w:tcMar>
              <w:top w:w="80" w:type="dxa"/>
              <w:bottom w:w="80" w:type="dxa"/>
              <w:left w:w="90" w:type="dxa"/>
              <w:right w:w="90" w:type="dxa"/>
            </w:tcMar>
          </w:tcPr>
          <w:p>
            <w:pPr>
              <w:spacing w:after="40" w:line="252" w:lineRule="auto"/>
            </w:pPr>
            <w:r>
              <w:rPr>
                <w:b/>
                <w:color w:val="FFFFFF"/>
                <w:sz w:val="19"/>
              </w:rPr>
              <w:t>Meaning the module preserves</w:t>
            </w:r>
          </w:p>
        </w:tc>
      </w:tr>
      <w:tr>
        <w:trPr>
          <w:cantSplit/>
        </w:trPr>
        <w:tc>
          <w:tcPr>
            <w:tcW w:type="dxa" w:w="2612"/>
            <w:shd w:fill="F3F6F8"/>
            <w:vAlign w:val="center"/>
            <w:tcMar>
              <w:top w:w="80" w:type="dxa"/>
              <w:bottom w:w="80" w:type="dxa"/>
              <w:left w:w="90" w:type="dxa"/>
              <w:right w:w="90" w:type="dxa"/>
            </w:tcMar>
          </w:tcPr>
          <w:p>
            <w:pPr>
              <w:spacing w:after="40" w:line="252" w:lineRule="auto"/>
            </w:pPr>
            <w:r>
              <w:rPr>
                <w:sz w:val="19"/>
              </w:rPr>
              <w:t>Record attendance</w:t>
            </w:r>
          </w:p>
        </w:tc>
        <w:tc>
          <w:tcPr>
            <w:tcW w:type="dxa" w:w="7223"/>
            <w:shd w:fill="F3F6F8"/>
            <w:vAlign w:val="center"/>
            <w:tcMar>
              <w:top w:w="80" w:type="dxa"/>
              <w:bottom w:w="80" w:type="dxa"/>
              <w:left w:w="90" w:type="dxa"/>
              <w:right w:w="90" w:type="dxa"/>
            </w:tcMar>
          </w:tcPr>
          <w:p>
            <w:pPr>
              <w:spacing w:after="40" w:line="252" w:lineRule="auto"/>
            </w:pPr>
            <w:r>
              <w:rPr>
                <w:sz w:val="19"/>
              </w:rPr>
              <w:t>An authorised actor or device records a specified observation, with source and time.</w:t>
            </w:r>
          </w:p>
        </w:tc>
      </w:tr>
      <w:tr>
        <w:trPr>
          <w:cantSplit/>
        </w:trPr>
        <w:tc>
          <w:tcPr>
            <w:tcW w:type="dxa" w:w="2612"/>
            <w:shd w:fill="FFFFFF"/>
            <w:vAlign w:val="center"/>
            <w:tcMar>
              <w:top w:w="80" w:type="dxa"/>
              <w:bottom w:w="80" w:type="dxa"/>
              <w:left w:w="90" w:type="dxa"/>
              <w:right w:w="90" w:type="dxa"/>
            </w:tcMar>
          </w:tcPr>
          <w:p>
            <w:pPr>
              <w:spacing w:after="40" w:line="252" w:lineRule="auto"/>
            </w:pPr>
            <w:r>
              <w:rPr>
                <w:sz w:val="19"/>
              </w:rPr>
              <w:t>Request attendance correction</w:t>
            </w:r>
          </w:p>
        </w:tc>
        <w:tc>
          <w:tcPr>
            <w:tcW w:type="dxa" w:w="7223"/>
            <w:shd w:fill="FFFFFF"/>
            <w:vAlign w:val="center"/>
            <w:tcMar>
              <w:top w:w="80" w:type="dxa"/>
              <w:bottom w:w="80" w:type="dxa"/>
              <w:left w:w="90" w:type="dxa"/>
              <w:right w:w="90" w:type="dxa"/>
            </w:tcMar>
          </w:tcPr>
          <w:p>
            <w:pPr>
              <w:spacing w:after="40" w:line="252" w:lineRule="auto"/>
            </w:pPr>
            <w:r>
              <w:rPr>
                <w:sz w:val="19"/>
              </w:rPr>
              <w:t>A proposed change enters review; the original is not silently overwritten.</w:t>
            </w:r>
          </w:p>
        </w:tc>
      </w:tr>
      <w:tr>
        <w:trPr>
          <w:cantSplit/>
        </w:trPr>
        <w:tc>
          <w:tcPr>
            <w:tcW w:type="dxa" w:w="2612"/>
            <w:shd w:fill="F3F6F8"/>
            <w:vAlign w:val="center"/>
            <w:tcMar>
              <w:top w:w="80" w:type="dxa"/>
              <w:bottom w:w="80" w:type="dxa"/>
              <w:left w:w="90" w:type="dxa"/>
              <w:right w:w="90" w:type="dxa"/>
            </w:tcMar>
          </w:tcPr>
          <w:p>
            <w:pPr>
              <w:spacing w:after="40" w:line="252" w:lineRule="auto"/>
            </w:pPr>
            <w:r>
              <w:rPr>
                <w:sz w:val="19"/>
              </w:rPr>
              <w:t>Submit payment evidence</w:t>
            </w:r>
          </w:p>
        </w:tc>
        <w:tc>
          <w:tcPr>
            <w:tcW w:type="dxa" w:w="7223"/>
            <w:shd w:fill="F3F6F8"/>
            <w:vAlign w:val="center"/>
            <w:tcMar>
              <w:top w:w="80" w:type="dxa"/>
              <w:bottom w:w="80" w:type="dxa"/>
              <w:left w:w="90" w:type="dxa"/>
              <w:right w:w="90" w:type="dxa"/>
            </w:tcMar>
          </w:tcPr>
          <w:p>
            <w:pPr>
              <w:spacing w:after="40" w:line="252" w:lineRule="auto"/>
            </w:pPr>
            <w:r>
              <w:rPr>
                <w:sz w:val="19"/>
              </w:rPr>
              <w:t>A payment claim/evidence record is created; the invoice is not automatically confirmed paid.</w:t>
            </w:r>
          </w:p>
        </w:tc>
      </w:tr>
      <w:tr>
        <w:trPr>
          <w:cantSplit/>
        </w:trPr>
        <w:tc>
          <w:tcPr>
            <w:tcW w:type="dxa" w:w="2612"/>
            <w:shd w:fill="FFFFFF"/>
            <w:vAlign w:val="center"/>
            <w:tcMar>
              <w:top w:w="80" w:type="dxa"/>
              <w:bottom w:w="80" w:type="dxa"/>
              <w:left w:w="90" w:type="dxa"/>
              <w:right w:w="90" w:type="dxa"/>
            </w:tcMar>
          </w:tcPr>
          <w:p>
            <w:pPr>
              <w:spacing w:after="40" w:line="252" w:lineRule="auto"/>
            </w:pPr>
            <w:r>
              <w:rPr>
                <w:sz w:val="19"/>
              </w:rPr>
              <w:t>Record cash receipt</w:t>
            </w:r>
          </w:p>
        </w:tc>
        <w:tc>
          <w:tcPr>
            <w:tcW w:type="dxa" w:w="7223"/>
            <w:shd w:fill="FFFFFF"/>
            <w:vAlign w:val="center"/>
            <w:tcMar>
              <w:top w:w="80" w:type="dxa"/>
              <w:bottom w:w="80" w:type="dxa"/>
              <w:left w:w="90" w:type="dxa"/>
              <w:right w:w="90" w:type="dxa"/>
            </w:tcMar>
          </w:tcPr>
          <w:p>
            <w:pPr>
              <w:spacing w:after="40" w:line="252" w:lineRule="auto"/>
            </w:pPr>
            <w:r>
              <w:rPr>
                <w:sz w:val="19"/>
              </w:rPr>
              <w:t>An authorised cashier records the supported money-received event and receipt.</w:t>
            </w:r>
          </w:p>
        </w:tc>
      </w:tr>
      <w:tr>
        <w:trPr>
          <w:cantSplit/>
        </w:trPr>
        <w:tc>
          <w:tcPr>
            <w:tcW w:type="dxa" w:w="2612"/>
            <w:shd w:fill="F3F6F8"/>
            <w:vAlign w:val="center"/>
            <w:tcMar>
              <w:top w:w="80" w:type="dxa"/>
              <w:bottom w:w="80" w:type="dxa"/>
              <w:left w:w="90" w:type="dxa"/>
              <w:right w:w="90" w:type="dxa"/>
            </w:tcMar>
          </w:tcPr>
          <w:p>
            <w:pPr>
              <w:spacing w:after="40" w:line="252" w:lineRule="auto"/>
            </w:pPr>
            <w:r>
              <w:rPr>
                <w:sz w:val="19"/>
              </w:rPr>
              <w:t>Apply concession</w:t>
            </w:r>
          </w:p>
        </w:tc>
        <w:tc>
          <w:tcPr>
            <w:tcW w:type="dxa" w:w="7223"/>
            <w:shd w:fill="F3F6F8"/>
            <w:vAlign w:val="center"/>
            <w:tcMar>
              <w:top w:w="80" w:type="dxa"/>
              <w:bottom w:w="80" w:type="dxa"/>
              <w:left w:w="90" w:type="dxa"/>
              <w:right w:w="90" w:type="dxa"/>
            </w:tcMar>
          </w:tcPr>
          <w:p>
            <w:pPr>
              <w:spacing w:after="40" w:line="252" w:lineRule="auto"/>
            </w:pPr>
            <w:r>
              <w:rPr>
                <w:sz w:val="19"/>
              </w:rPr>
              <w:t>The exact approved adjustment is posted once against the appropriate financial record.</w:t>
            </w:r>
          </w:p>
        </w:tc>
      </w:tr>
      <w:tr>
        <w:trPr>
          <w:cantSplit/>
        </w:trPr>
        <w:tc>
          <w:tcPr>
            <w:tcW w:type="dxa" w:w="2612"/>
            <w:shd w:fill="FFFFFF"/>
            <w:vAlign w:val="center"/>
            <w:tcMar>
              <w:top w:w="80" w:type="dxa"/>
              <w:bottom w:w="80" w:type="dxa"/>
              <w:left w:w="90" w:type="dxa"/>
              <w:right w:w="90" w:type="dxa"/>
            </w:tcMar>
          </w:tcPr>
          <w:p>
            <w:pPr>
              <w:spacing w:after="40" w:line="252" w:lineRule="auto"/>
            </w:pPr>
            <w:r>
              <w:rPr>
                <w:sz w:val="19"/>
              </w:rPr>
              <w:t>Publish result</w:t>
            </w:r>
          </w:p>
        </w:tc>
        <w:tc>
          <w:tcPr>
            <w:tcW w:type="dxa" w:w="7223"/>
            <w:shd w:fill="FFFFFF"/>
            <w:vAlign w:val="center"/>
            <w:tcMar>
              <w:top w:w="80" w:type="dxa"/>
              <w:bottom w:w="80" w:type="dxa"/>
              <w:left w:w="90" w:type="dxa"/>
              <w:right w:w="90" w:type="dxa"/>
            </w:tcMar>
          </w:tcPr>
          <w:p>
            <w:pPr>
              <w:spacing w:after="40" w:line="252" w:lineRule="auto"/>
            </w:pPr>
            <w:r>
              <w:rPr>
                <w:sz w:val="19"/>
              </w:rPr>
              <w:t>An approved result version is released to the authorised audience.</w:t>
            </w:r>
          </w:p>
        </w:tc>
      </w:tr>
      <w:tr>
        <w:trPr>
          <w:cantSplit/>
        </w:trPr>
        <w:tc>
          <w:tcPr>
            <w:tcW w:type="dxa" w:w="2612"/>
            <w:shd w:fill="F3F6F8"/>
            <w:vAlign w:val="center"/>
            <w:tcMar>
              <w:top w:w="80" w:type="dxa"/>
              <w:bottom w:w="80" w:type="dxa"/>
              <w:left w:w="90" w:type="dxa"/>
              <w:right w:w="90" w:type="dxa"/>
            </w:tcMar>
          </w:tcPr>
          <w:p>
            <w:pPr>
              <w:spacing w:after="40" w:line="252" w:lineRule="auto"/>
            </w:pPr>
            <w:r>
              <w:rPr>
                <w:sz w:val="19"/>
              </w:rPr>
              <w:t>Record handover</w:t>
            </w:r>
          </w:p>
        </w:tc>
        <w:tc>
          <w:tcPr>
            <w:tcW w:type="dxa" w:w="7223"/>
            <w:shd w:fill="F3F6F8"/>
            <w:vAlign w:val="center"/>
            <w:tcMar>
              <w:top w:w="80" w:type="dxa"/>
              <w:bottom w:w="80" w:type="dxa"/>
              <w:left w:w="90" w:type="dxa"/>
              <w:right w:w="90" w:type="dxa"/>
            </w:tcMar>
          </w:tcPr>
          <w:p>
            <w:pPr>
              <w:spacing w:after="40" w:line="252" w:lineRule="auto"/>
            </w:pPr>
            <w:r>
              <w:rPr>
                <w:sz w:val="19"/>
              </w:rPr>
              <w:t>The configured identity/release checks and handover observation are recorded.</w:t>
            </w:r>
          </w:p>
        </w:tc>
      </w:tr>
      <w:tr>
        <w:trPr>
          <w:cantSplit/>
        </w:trPr>
        <w:tc>
          <w:tcPr>
            <w:tcW w:type="dxa" w:w="2612"/>
            <w:shd w:fill="FFFFFF"/>
            <w:vAlign w:val="center"/>
            <w:tcMar>
              <w:top w:w="80" w:type="dxa"/>
              <w:bottom w:w="80" w:type="dxa"/>
              <w:left w:w="90" w:type="dxa"/>
              <w:right w:w="90" w:type="dxa"/>
            </w:tcMar>
          </w:tcPr>
          <w:p>
            <w:pPr>
              <w:spacing w:after="40" w:line="252" w:lineRule="auto"/>
            </w:pPr>
            <w:r>
              <w:rPr>
                <w:sz w:val="19"/>
              </w:rPr>
              <w:t>Transfer membership</w:t>
            </w:r>
          </w:p>
        </w:tc>
        <w:tc>
          <w:tcPr>
            <w:tcW w:type="dxa" w:w="7223"/>
            <w:shd w:fill="FFFFFF"/>
            <w:vAlign w:val="center"/>
            <w:tcMar>
              <w:top w:w="80" w:type="dxa"/>
              <w:bottom w:w="80" w:type="dxa"/>
              <w:left w:w="90" w:type="dxa"/>
              <w:right w:w="90" w:type="dxa"/>
            </w:tcMar>
          </w:tcPr>
          <w:p>
            <w:pPr>
              <w:spacing w:after="40" w:line="252" w:lineRule="auto"/>
            </w:pPr>
            <w:r>
              <w:rPr>
                <w:sz w:val="19"/>
              </w:rPr>
              <w:t>One dated membership ends and another starts without rewriting historical rosters.</w:t>
            </w:r>
          </w:p>
        </w:tc>
      </w:tr>
    </w:tbl>
    <w:p>
      <w:pPr>
        <w:spacing w:after="20" w:before="0"/>
      </w:pPr>
    </w:p>
    <w:p>
      <w:r>
        <w:t>A generic editor cannot set an invoice to paid, change a request to approved or mark a report published in order to bypass these commands. An approval must bind to the proposed action, target records, material parameters and version. If the amount or target changes, the affected approval is invalidated or renewed. The command also verifies current prerequisites at execution to prevent stale approval from authorising a materially different action.</w:t>
      </w:r>
    </w:p>
    <w:p>
      <w:r>
        <w:t>Simple institutes may choose direct execution by a single authorised person for suitable work. That configuration should honestly record that independent review is not part of that process. External or nondelegable duties remain governed by their actual appointment and requirements; an app delegation is not a transfer of that authority.</w:t>
      </w:r>
    </w:p>
    <w:p>
      <w:pPr>
        <w:pStyle w:val="Heading1"/>
      </w:pPr>
      <w:r>
        <w:t>10 Resolve configuration deterministically</w:t>
      </w:r>
    </w:p>
    <w:p>
      <w:r>
        <w:t>Every setting needs a policy family, scope, effective period, owner, source and override rule. A single global most-specific-setting-wins mechanism is insufficient because labels, access, academic calculations and financial adjustments have different composition rules.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36"/>
        <w:gridCol w:w="7300"/>
      </w:tblGrid>
      <w:tr>
        <w:trPr>
          <w:tblHeader w:val="true"/>
          <w:cantSplit/>
        </w:trPr>
        <w:tc>
          <w:tcPr>
            <w:tcW w:type="dxa" w:w="2536"/>
            <w:shd w:fill="1D3A50"/>
            <w:vAlign w:val="center"/>
            <w:tcMar>
              <w:top w:w="80" w:type="dxa"/>
              <w:bottom w:w="80" w:type="dxa"/>
              <w:left w:w="90" w:type="dxa"/>
              <w:right w:w="90" w:type="dxa"/>
            </w:tcMar>
          </w:tcPr>
          <w:p>
            <w:pPr>
              <w:spacing w:after="40" w:line="252" w:lineRule="auto"/>
            </w:pPr>
            <w:r>
              <w:rPr>
                <w:b/>
                <w:color w:val="FFFFFF"/>
                <w:sz w:val="19"/>
              </w:rPr>
              <w:t>Setting family</w:t>
            </w:r>
          </w:p>
        </w:tc>
        <w:tc>
          <w:tcPr>
            <w:tcW w:type="dxa" w:w="7300"/>
            <w:shd w:fill="1D3A50"/>
            <w:vAlign w:val="center"/>
            <w:tcMar>
              <w:top w:w="80" w:type="dxa"/>
              <w:bottom w:w="80" w:type="dxa"/>
              <w:left w:w="90" w:type="dxa"/>
              <w:right w:w="90" w:type="dxa"/>
            </w:tcMar>
          </w:tcPr>
          <w:p>
            <w:pPr>
              <w:spacing w:after="40" w:line="252" w:lineRule="auto"/>
            </w:pPr>
            <w:r>
              <w:rPr>
                <w:b/>
                <w:color w:val="FFFFFF"/>
                <w:sz w:val="19"/>
              </w:rPr>
              <w:t>Proposed resolution</w:t>
            </w:r>
          </w:p>
        </w:tc>
      </w:tr>
      <w:tr>
        <w:trPr>
          <w:cantSplit/>
        </w:trPr>
        <w:tc>
          <w:tcPr>
            <w:tcW w:type="dxa" w:w="2536"/>
            <w:shd w:fill="F3F6F8"/>
            <w:vAlign w:val="center"/>
            <w:tcMar>
              <w:top w:w="80" w:type="dxa"/>
              <w:bottom w:w="80" w:type="dxa"/>
              <w:left w:w="90" w:type="dxa"/>
              <w:right w:w="90" w:type="dxa"/>
            </w:tcMar>
          </w:tcPr>
          <w:p>
            <w:pPr>
              <w:spacing w:after="40" w:line="252" w:lineRule="auto"/>
            </w:pPr>
            <w:r>
              <w:rPr>
                <w:sz w:val="19"/>
              </w:rPr>
              <w:t>Labels and presentation defaults</w:t>
            </w:r>
          </w:p>
        </w:tc>
        <w:tc>
          <w:tcPr>
            <w:tcW w:type="dxa" w:w="7300"/>
            <w:shd w:fill="F3F6F8"/>
            <w:vAlign w:val="center"/>
            <w:tcMar>
              <w:top w:w="80" w:type="dxa"/>
              <w:bottom w:w="80" w:type="dxa"/>
              <w:left w:w="90" w:type="dxa"/>
              <w:right w:w="90" w:type="dxa"/>
            </w:tcMar>
          </w:tcPr>
          <w:p>
            <w:pPr>
              <w:spacing w:after="40" w:line="252" w:lineRule="auto"/>
            </w:pPr>
            <w:r>
              <w:rPr>
                <w:sz w:val="19"/>
              </w:rPr>
              <w:t>Use a defined scope precedence with a visible source. A more specific authorised label may replace an inherited label.</w:t>
            </w:r>
          </w:p>
        </w:tc>
      </w:tr>
      <w:tr>
        <w:trPr>
          <w:cantSplit/>
        </w:trPr>
        <w:tc>
          <w:tcPr>
            <w:tcW w:type="dxa" w:w="2536"/>
            <w:shd w:fill="FFFFFF"/>
            <w:vAlign w:val="center"/>
            <w:tcMar>
              <w:top w:w="80" w:type="dxa"/>
              <w:bottom w:w="80" w:type="dxa"/>
              <w:left w:w="90" w:type="dxa"/>
              <w:right w:w="90" w:type="dxa"/>
            </w:tcMar>
          </w:tcPr>
          <w:p>
            <w:pPr>
              <w:spacing w:after="40" w:line="252" w:lineRule="auto"/>
            </w:pPr>
            <w:r>
              <w:rPr>
                <w:sz w:val="19"/>
              </w:rPr>
              <w:t>Academic or financial calculation policy</w:t>
            </w:r>
          </w:p>
        </w:tc>
        <w:tc>
          <w:tcPr>
            <w:tcW w:type="dxa" w:w="7300"/>
            <w:shd w:fill="FFFFFF"/>
            <w:vAlign w:val="center"/>
            <w:tcMar>
              <w:top w:w="80" w:type="dxa"/>
              <w:bottom w:w="80" w:type="dxa"/>
              <w:left w:w="90" w:type="dxa"/>
              <w:right w:w="90" w:type="dxa"/>
            </w:tcMar>
          </w:tcPr>
          <w:p>
            <w:pPr>
              <w:spacing w:after="40" w:line="252" w:lineRule="auto"/>
            </w:pPr>
            <w:r>
              <w:rPr>
                <w:sz w:val="19"/>
              </w:rPr>
              <w:t>Bind one applicable policy version to the offering, agreement or decision. Reject ambiguous bindings. Explicitly define how multiple concessions or requirement rules combine.</w:t>
            </w:r>
          </w:p>
        </w:tc>
      </w:tr>
      <w:tr>
        <w:trPr>
          <w:cantSplit/>
        </w:trPr>
        <w:tc>
          <w:tcPr>
            <w:tcW w:type="dxa" w:w="2536"/>
            <w:shd w:fill="F3F6F8"/>
            <w:vAlign w:val="center"/>
            <w:tcMar>
              <w:top w:w="80" w:type="dxa"/>
              <w:bottom w:w="80" w:type="dxa"/>
              <w:left w:w="90" w:type="dxa"/>
              <w:right w:w="90" w:type="dxa"/>
            </w:tcMar>
          </w:tcPr>
          <w:p>
            <w:pPr>
              <w:spacing w:after="40" w:line="252" w:lineRule="auto"/>
            </w:pPr>
            <w:r>
              <w:rPr>
                <w:sz w:val="19"/>
              </w:rPr>
              <w:t>Access</w:t>
            </w:r>
          </w:p>
        </w:tc>
        <w:tc>
          <w:tcPr>
            <w:tcW w:type="dxa" w:w="7300"/>
            <w:shd w:fill="F3F6F8"/>
            <w:vAlign w:val="center"/>
            <w:tcMar>
              <w:top w:w="80" w:type="dxa"/>
              <w:bottom w:w="80" w:type="dxa"/>
              <w:left w:w="90" w:type="dxa"/>
              <w:right w:w="90" w:type="dxa"/>
            </w:tcMar>
          </w:tcPr>
          <w:p>
            <w:pPr>
              <w:spacing w:after="40" w:line="252" w:lineRule="auto"/>
            </w:pPr>
            <w:r>
              <w:rPr>
                <w:sz w:val="19"/>
              </w:rPr>
              <w:t>Require one complete positive grant and every applicable restriction. Additional unrelated roles cannot weaken a restriction.</w:t>
            </w:r>
          </w:p>
        </w:tc>
      </w:tr>
      <w:tr>
        <w:trPr>
          <w:cantSplit/>
        </w:trPr>
        <w:tc>
          <w:tcPr>
            <w:tcW w:type="dxa" w:w="2536"/>
            <w:shd w:fill="FFFFFF"/>
            <w:vAlign w:val="center"/>
            <w:tcMar>
              <w:top w:w="80" w:type="dxa"/>
              <w:bottom w:w="80" w:type="dxa"/>
              <w:left w:w="90" w:type="dxa"/>
              <w:right w:w="90" w:type="dxa"/>
            </w:tcMar>
          </w:tcPr>
          <w:p>
            <w:pPr>
              <w:spacing w:after="40" w:line="252" w:lineRule="auto"/>
            </w:pPr>
            <w:r>
              <w:rPr>
                <w:sz w:val="19"/>
              </w:rPr>
              <w:t>Approval paths</w:t>
            </w:r>
          </w:p>
        </w:tc>
        <w:tc>
          <w:tcPr>
            <w:tcW w:type="dxa" w:w="7300"/>
            <w:shd w:fill="FFFFFF"/>
            <w:vAlign w:val="center"/>
            <w:tcMar>
              <w:top w:w="80" w:type="dxa"/>
              <w:bottom w:w="80" w:type="dxa"/>
              <w:left w:w="90" w:type="dxa"/>
              <w:right w:w="90" w:type="dxa"/>
            </w:tcMar>
          </w:tcPr>
          <w:p>
            <w:pPr>
              <w:spacing w:after="40" w:line="252" w:lineRule="auto"/>
            </w:pPr>
            <w:r>
              <w:rPr>
                <w:sz w:val="19"/>
              </w:rPr>
              <w:t>Use non-overlapping branches or an explicit deterministic combination rule. Required independence and authority bounds remain enforced.</w:t>
            </w:r>
          </w:p>
        </w:tc>
      </w:tr>
      <w:tr>
        <w:trPr>
          <w:cantSplit/>
        </w:trPr>
        <w:tc>
          <w:tcPr>
            <w:tcW w:type="dxa" w:w="2536"/>
            <w:shd w:fill="F3F6F8"/>
            <w:vAlign w:val="center"/>
            <w:tcMar>
              <w:top w:w="80" w:type="dxa"/>
              <w:bottom w:w="80" w:type="dxa"/>
              <w:left w:w="90" w:type="dxa"/>
              <w:right w:w="90" w:type="dxa"/>
            </w:tcMar>
          </w:tcPr>
          <w:p>
            <w:pPr>
              <w:spacing w:after="40" w:line="252" w:lineRule="auto"/>
            </w:pPr>
            <w:r>
              <w:rPr>
                <w:sz w:val="19"/>
              </w:rPr>
              <w:t>Scheduling</w:t>
            </w:r>
          </w:p>
        </w:tc>
        <w:tc>
          <w:tcPr>
            <w:tcW w:type="dxa" w:w="7300"/>
            <w:shd w:fill="F3F6F8"/>
            <w:vAlign w:val="center"/>
            <w:tcMar>
              <w:top w:w="80" w:type="dxa"/>
              <w:bottom w:w="80" w:type="dxa"/>
              <w:left w:w="90" w:type="dxa"/>
              <w:right w:w="90" w:type="dxa"/>
            </w:tcMar>
          </w:tcPr>
          <w:p>
            <w:pPr>
              <w:spacing w:after="40" w:line="252" w:lineRule="auto"/>
            </w:pPr>
            <w:r>
              <w:rPr>
                <w:sz w:val="19"/>
              </w:rPr>
              <w:t>Apply declared hard constraints; optimise or warn on soft preferences separately. Capacity cannot rely on a stale screen count.</w:t>
            </w:r>
          </w:p>
        </w:tc>
      </w:tr>
      <w:tr>
        <w:trPr>
          <w:cantSplit/>
        </w:trPr>
        <w:tc>
          <w:tcPr>
            <w:tcW w:type="dxa" w:w="2536"/>
            <w:shd w:fill="FFFFFF"/>
            <w:vAlign w:val="center"/>
            <w:tcMar>
              <w:top w:w="80" w:type="dxa"/>
              <w:bottom w:w="80" w:type="dxa"/>
              <w:left w:w="90" w:type="dxa"/>
              <w:right w:w="90" w:type="dxa"/>
            </w:tcMar>
          </w:tcPr>
          <w:p>
            <w:pPr>
              <w:spacing w:after="40" w:line="252" w:lineRule="auto"/>
            </w:pPr>
            <w:r>
              <w:rPr>
                <w:sz w:val="19"/>
              </w:rPr>
              <w:t>Template updates</w:t>
            </w:r>
          </w:p>
        </w:tc>
        <w:tc>
          <w:tcPr>
            <w:tcW w:type="dxa" w:w="7300"/>
            <w:shd w:fill="FFFFFF"/>
            <w:vAlign w:val="center"/>
            <w:tcMar>
              <w:top w:w="80" w:type="dxa"/>
              <w:bottom w:w="80" w:type="dxa"/>
              <w:left w:w="90" w:type="dxa"/>
              <w:right w:w="90" w:type="dxa"/>
            </w:tcMar>
          </w:tcPr>
          <w:p>
            <w:pPr>
              <w:spacing w:after="40" w:line="252" w:lineRule="auto"/>
            </w:pPr>
            <w:r>
              <w:rPr>
                <w:sz w:val="19"/>
              </w:rPr>
              <w:t>Propose a versioned update with impact, conflicts and migration steps; do not mutate adopted configurations silently.</w:t>
            </w:r>
          </w:p>
        </w:tc>
      </w:tr>
      <w:tr>
        <w:trPr>
          <w:cantSplit/>
        </w:trPr>
        <w:tc>
          <w:tcPr>
            <w:tcW w:type="dxa" w:w="2536"/>
            <w:shd w:fill="F3F6F8"/>
            <w:vAlign w:val="center"/>
            <w:tcMar>
              <w:top w:w="80" w:type="dxa"/>
              <w:bottom w:w="80" w:type="dxa"/>
              <w:left w:w="90" w:type="dxa"/>
              <w:right w:w="90" w:type="dxa"/>
            </w:tcMar>
          </w:tcPr>
          <w:p>
            <w:pPr>
              <w:spacing w:after="40" w:line="252" w:lineRule="auto"/>
            </w:pPr>
            <w:r>
              <w:rPr>
                <w:sz w:val="19"/>
              </w:rPr>
              <w:t>Governance and decision authority</w:t>
            </w:r>
          </w:p>
        </w:tc>
        <w:tc>
          <w:tcPr>
            <w:tcW w:type="dxa" w:w="7300"/>
            <w:shd w:fill="F3F6F8"/>
            <w:vAlign w:val="center"/>
            <w:tcMar>
              <w:top w:w="80" w:type="dxa"/>
              <w:bottom w:w="80" w:type="dxa"/>
              <w:left w:w="90" w:type="dxa"/>
              <w:right w:w="90" w:type="dxa"/>
            </w:tcMar>
          </w:tcPr>
          <w:p>
            <w:pPr>
              <w:spacing w:after="40" w:line="252" w:lineRule="auto"/>
            </w:pPr>
            <w:r>
              <w:rPr>
                <w:sz w:val="19"/>
              </w:rPr>
              <w:t>Bind the applicable source, adopted matter rule and procedure. Apply nonwaivable constraints; require authorised amendments. Conflicting authority is unresolved work, not an automatic local override.</w:t>
            </w:r>
          </w:p>
        </w:tc>
      </w:tr>
    </w:tbl>
    <w:p>
      <w:pPr>
        <w:spacing w:after="20" w:before="0"/>
      </w:pPr>
    </w:p>
    <w:p>
      <w:r>
        <w:t>For example, if sibling concession and scholarship both apply, the financial plan must state whether they are exclusive, additive or applied in a defined order, including rounding and a maximum reduction. If two workflows appear applicable to the same refund, publication must require a clear selection or combination rule. Unknown or unavailable inputs must not quietly produce a permission or a fabricated decision.</w:t>
      </w:r>
    </w:p>
    <w:p>
      <w:r>
        <w:t>Higher-level mandatory constraints are validated separately from local preferences. A local exception can relax only a rule that declares an authorised exception mechanism; the exception has a target, approver, reason and expiry. Configuration must not offer an accidental route around product security invariants or applicable non-overridable constraints.</w:t>
      </w:r>
    </w:p>
    <w:p>
      <w:pPr>
        <w:pStyle w:val="Heading1"/>
      </w:pPr>
      <w:r>
        <w:t>11 Time history and change management</w:t>
      </w:r>
    </w:p>
    <w:p>
      <w:r>
        <w:t>Use effective dates for assignments, memberships, relationships and allocations. Keep relevant definition versions on offerings and operational decisions. For important records distinguish when an event occurred from when it was recorded. A teacher transfer, new term or edited profile must not rewrite who taught or attended an earlier session.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66"/>
        <w:gridCol w:w="7069"/>
      </w:tblGrid>
      <w:tr>
        <w:trPr>
          <w:tblHeader w:val="true"/>
          <w:cantSplit/>
        </w:trPr>
        <w:tc>
          <w:tcPr>
            <w:tcW w:type="dxa" w:w="2766"/>
            <w:shd w:fill="1D3A50"/>
            <w:vAlign w:val="center"/>
            <w:tcMar>
              <w:top w:w="80" w:type="dxa"/>
              <w:bottom w:w="80" w:type="dxa"/>
              <w:left w:w="90" w:type="dxa"/>
              <w:right w:w="90" w:type="dxa"/>
            </w:tcMar>
          </w:tcPr>
          <w:p>
            <w:pPr>
              <w:spacing w:after="40" w:line="252" w:lineRule="auto"/>
            </w:pPr>
            <w:r>
              <w:rPr>
                <w:b/>
                <w:color w:val="FFFFFF"/>
                <w:sz w:val="19"/>
              </w:rPr>
              <w:t>Change</w:t>
            </w:r>
          </w:p>
        </w:tc>
        <w:tc>
          <w:tcPr>
            <w:tcW w:type="dxa" w:w="7069"/>
            <w:shd w:fill="1D3A50"/>
            <w:vAlign w:val="center"/>
            <w:tcMar>
              <w:top w:w="80" w:type="dxa"/>
              <w:bottom w:w="80" w:type="dxa"/>
              <w:left w:w="90" w:type="dxa"/>
              <w:right w:w="90" w:type="dxa"/>
            </w:tcMar>
          </w:tcPr>
          <w:p>
            <w:pPr>
              <w:spacing w:after="40" w:line="252" w:lineRule="auto"/>
            </w:pPr>
            <w:r>
              <w:rPr>
                <w:b/>
                <w:color w:val="FFFFFF"/>
                <w:sz w:val="19"/>
              </w:rPr>
              <w:t>Required behaviour</w:t>
            </w:r>
          </w:p>
        </w:tc>
      </w:tr>
      <w:tr>
        <w:trPr>
          <w:cantSplit/>
        </w:trPr>
        <w:tc>
          <w:tcPr>
            <w:tcW w:type="dxa" w:w="2766"/>
            <w:shd w:fill="F3F6F8"/>
            <w:vAlign w:val="center"/>
            <w:tcMar>
              <w:top w:w="80" w:type="dxa"/>
              <w:bottom w:w="80" w:type="dxa"/>
              <w:left w:w="90" w:type="dxa"/>
              <w:right w:w="90" w:type="dxa"/>
            </w:tcMar>
          </w:tcPr>
          <w:p>
            <w:pPr>
              <w:spacing w:after="40" w:line="252" w:lineRule="auto"/>
            </w:pPr>
            <w:r>
              <w:rPr>
                <w:sz w:val="19"/>
              </w:rPr>
              <w:t>New grading scheme</w:t>
            </w:r>
          </w:p>
        </w:tc>
        <w:tc>
          <w:tcPr>
            <w:tcW w:type="dxa" w:w="7069"/>
            <w:shd w:fill="F3F6F8"/>
            <w:vAlign w:val="center"/>
            <w:tcMar>
              <w:top w:w="80" w:type="dxa"/>
              <w:bottom w:w="80" w:type="dxa"/>
              <w:left w:w="90" w:type="dxa"/>
              <w:right w:w="90" w:type="dxa"/>
            </w:tcMar>
          </w:tcPr>
          <w:p>
            <w:pPr>
              <w:spacing w:after="40" w:line="252" w:lineRule="auto"/>
            </w:pPr>
            <w:r>
              <w:rPr>
                <w:sz w:val="19"/>
              </w:rPr>
              <w:t>New applicable offerings use the new version. Existing published results retain their calculation basis until an explicit correction/migration is authorised.</w:t>
            </w:r>
          </w:p>
        </w:tc>
      </w:tr>
      <w:tr>
        <w:trPr>
          <w:cantSplit/>
        </w:trPr>
        <w:tc>
          <w:tcPr>
            <w:tcW w:type="dxa" w:w="2766"/>
            <w:shd w:fill="FFFFFF"/>
            <w:vAlign w:val="center"/>
            <w:tcMar>
              <w:top w:w="80" w:type="dxa"/>
              <w:bottom w:w="80" w:type="dxa"/>
              <w:left w:w="90" w:type="dxa"/>
              <w:right w:w="90" w:type="dxa"/>
            </w:tcMar>
          </w:tcPr>
          <w:p>
            <w:pPr>
              <w:spacing w:after="40" w:line="252" w:lineRule="auto"/>
            </w:pPr>
            <w:r>
              <w:rPr>
                <w:sz w:val="19"/>
              </w:rPr>
              <w:t>New fee/refund rule</w:t>
            </w:r>
          </w:p>
        </w:tc>
        <w:tc>
          <w:tcPr>
            <w:tcW w:type="dxa" w:w="7069"/>
            <w:shd w:fill="FFFFFF"/>
            <w:vAlign w:val="center"/>
            <w:tcMar>
              <w:top w:w="80" w:type="dxa"/>
              <w:bottom w:w="80" w:type="dxa"/>
              <w:left w:w="90" w:type="dxa"/>
              <w:right w:w="90" w:type="dxa"/>
            </w:tcMar>
          </w:tcPr>
          <w:p>
            <w:pPr>
              <w:spacing w:after="40" w:line="252" w:lineRule="auto"/>
            </w:pPr>
            <w:r>
              <w:rPr>
                <w:sz w:val="19"/>
              </w:rPr>
              <w:t>New agreements or eligible future actions use the specified version. Historical transactions and agreement terms remain traceable.</w:t>
            </w:r>
          </w:p>
        </w:tc>
      </w:tr>
      <w:tr>
        <w:trPr>
          <w:cantSplit/>
        </w:trPr>
        <w:tc>
          <w:tcPr>
            <w:tcW w:type="dxa" w:w="2766"/>
            <w:shd w:fill="F3F6F8"/>
            <w:vAlign w:val="center"/>
            <w:tcMar>
              <w:top w:w="80" w:type="dxa"/>
              <w:bottom w:w="80" w:type="dxa"/>
              <w:left w:w="90" w:type="dxa"/>
              <w:right w:w="90" w:type="dxa"/>
            </w:tcMar>
          </w:tcPr>
          <w:p>
            <w:pPr>
              <w:spacing w:after="40" w:line="252" w:lineRule="auto"/>
            </w:pPr>
            <w:r>
              <w:rPr>
                <w:sz w:val="19"/>
              </w:rPr>
              <w:t>Role template gains a sensitive permission</w:t>
            </w:r>
          </w:p>
        </w:tc>
        <w:tc>
          <w:tcPr>
            <w:tcW w:type="dxa" w:w="7069"/>
            <w:shd w:fill="F3F6F8"/>
            <w:vAlign w:val="center"/>
            <w:tcMar>
              <w:top w:w="80" w:type="dxa"/>
              <w:bottom w:w="80" w:type="dxa"/>
              <w:left w:w="90" w:type="dxa"/>
              <w:right w:w="90" w:type="dxa"/>
            </w:tcMar>
          </w:tcPr>
          <w:p>
            <w:pPr>
              <w:spacing w:after="40" w:line="252" w:lineRule="auto"/>
            </w:pPr>
            <w:r>
              <w:rPr>
                <w:sz w:val="19"/>
              </w:rPr>
              <w:t>Show the affected assignees and require an explicit rollout decision; do not silently elevate every existing assignment.</w:t>
            </w:r>
          </w:p>
        </w:tc>
      </w:tr>
      <w:tr>
        <w:trPr>
          <w:cantSplit/>
        </w:trPr>
        <w:tc>
          <w:tcPr>
            <w:tcW w:type="dxa" w:w="2766"/>
            <w:shd w:fill="FFFFFF"/>
            <w:vAlign w:val="center"/>
            <w:tcMar>
              <w:top w:w="80" w:type="dxa"/>
              <w:bottom w:w="80" w:type="dxa"/>
              <w:left w:w="90" w:type="dxa"/>
              <w:right w:w="90" w:type="dxa"/>
            </w:tcMar>
          </w:tcPr>
          <w:p>
            <w:pPr>
              <w:spacing w:after="40" w:line="252" w:lineRule="auto"/>
            </w:pPr>
            <w:r>
              <w:rPr>
                <w:sz w:val="19"/>
              </w:rPr>
              <w:t>Employee leaves or relationship is revoked</w:t>
            </w:r>
          </w:p>
        </w:tc>
        <w:tc>
          <w:tcPr>
            <w:tcW w:type="dxa" w:w="7069"/>
            <w:shd w:fill="FFFFFF"/>
            <w:vAlign w:val="center"/>
            <w:tcMar>
              <w:top w:w="80" w:type="dxa"/>
              <w:bottom w:w="80" w:type="dxa"/>
              <w:left w:w="90" w:type="dxa"/>
              <w:right w:w="90" w:type="dxa"/>
            </w:tcMar>
          </w:tcPr>
          <w:p>
            <w:pPr>
              <w:spacing w:after="40" w:line="252" w:lineRule="auto"/>
            </w:pPr>
            <w:r>
              <w:rPr>
                <w:sz w:val="19"/>
              </w:rPr>
              <w:t>End routine future access immediately through current authorisation. Historical workflows do not preserve the departed person’s authority.</w:t>
            </w:r>
          </w:p>
        </w:tc>
      </w:tr>
      <w:tr>
        <w:trPr>
          <w:cantSplit/>
        </w:trPr>
        <w:tc>
          <w:tcPr>
            <w:tcW w:type="dxa" w:w="2766"/>
            <w:shd w:fill="F3F6F8"/>
            <w:vAlign w:val="center"/>
            <w:tcMar>
              <w:top w:w="80" w:type="dxa"/>
              <w:bottom w:w="80" w:type="dxa"/>
              <w:left w:w="90" w:type="dxa"/>
              <w:right w:w="90" w:type="dxa"/>
            </w:tcMar>
          </w:tcPr>
          <w:p>
            <w:pPr>
              <w:spacing w:after="40" w:line="252" w:lineRule="auto"/>
            </w:pPr>
            <w:r>
              <w:rPr>
                <w:sz w:val="19"/>
              </w:rPr>
              <w:t>Workflow version changes</w:t>
            </w:r>
          </w:p>
        </w:tc>
        <w:tc>
          <w:tcPr>
            <w:tcW w:type="dxa" w:w="7069"/>
            <w:shd w:fill="F3F6F8"/>
            <w:vAlign w:val="center"/>
            <w:tcMar>
              <w:top w:w="80" w:type="dxa"/>
              <w:bottom w:w="80" w:type="dxa"/>
              <w:left w:w="90" w:type="dxa"/>
              <w:right w:w="90" w:type="dxa"/>
            </w:tcMar>
          </w:tcPr>
          <w:p>
            <w:pPr>
              <w:spacing w:after="40" w:line="252" w:lineRule="auto"/>
            </w:pPr>
            <w:r>
              <w:rPr>
                <w:sz w:val="19"/>
              </w:rPr>
              <w:t>New instances use the intended version; existing instances remain pinned or follow an explicit migration. Current restrictions and current authorisation still apply.</w:t>
            </w:r>
          </w:p>
        </w:tc>
      </w:tr>
      <w:tr>
        <w:trPr>
          <w:cantSplit/>
        </w:trPr>
        <w:tc>
          <w:tcPr>
            <w:tcW w:type="dxa" w:w="2766"/>
            <w:shd w:fill="FFFFFF"/>
            <w:vAlign w:val="center"/>
            <w:tcMar>
              <w:top w:w="80" w:type="dxa"/>
              <w:bottom w:w="80" w:type="dxa"/>
              <w:left w:w="90" w:type="dxa"/>
              <w:right w:w="90" w:type="dxa"/>
            </w:tcMar>
          </w:tcPr>
          <w:p>
            <w:pPr>
              <w:spacing w:after="40" w:line="252" w:lineRule="auto"/>
            </w:pPr>
            <w:r>
              <w:rPr>
                <w:sz w:val="19"/>
              </w:rPr>
              <w:t>Academic-year rollover</w:t>
            </w:r>
          </w:p>
        </w:tc>
        <w:tc>
          <w:tcPr>
            <w:tcW w:type="dxa" w:w="7069"/>
            <w:shd w:fill="FFFFFF"/>
            <w:vAlign w:val="center"/>
            <w:tcMar>
              <w:top w:w="80" w:type="dxa"/>
              <w:bottom w:w="80" w:type="dxa"/>
              <w:left w:w="90" w:type="dxa"/>
              <w:right w:w="90" w:type="dxa"/>
            </w:tcMar>
          </w:tcPr>
          <w:p>
            <w:pPr>
              <w:spacing w:after="40" w:line="252" w:lineRule="auto"/>
            </w:pPr>
            <w:r>
              <w:rPr>
                <w:sz w:val="19"/>
              </w:rPr>
              <w:t>Generate proposed periods, offerings, groups and assignments; reconcile promotion, repeat, transfers, availability and expired authority.</w:t>
            </w:r>
          </w:p>
        </w:tc>
      </w:tr>
      <w:tr>
        <w:trPr>
          <w:cantSplit/>
        </w:trPr>
        <w:tc>
          <w:tcPr>
            <w:tcW w:type="dxa" w:w="2766"/>
            <w:shd w:fill="F3F6F8"/>
            <w:vAlign w:val="center"/>
            <w:tcMar>
              <w:top w:w="80" w:type="dxa"/>
              <w:bottom w:w="80" w:type="dxa"/>
              <w:left w:w="90" w:type="dxa"/>
              <w:right w:w="90" w:type="dxa"/>
            </w:tcMar>
          </w:tcPr>
          <w:p>
            <w:pPr>
              <w:spacing w:after="40" w:line="252" w:lineRule="auto"/>
            </w:pPr>
            <w:r>
              <w:rPr>
                <w:sz w:val="19"/>
              </w:rPr>
              <w:t>Module is disabled or retired</w:t>
            </w:r>
          </w:p>
        </w:tc>
        <w:tc>
          <w:tcPr>
            <w:tcW w:type="dxa" w:w="7069"/>
            <w:shd w:fill="F3F6F8"/>
            <w:vAlign w:val="center"/>
            <w:tcMar>
              <w:top w:w="80" w:type="dxa"/>
              <w:bottom w:w="80" w:type="dxa"/>
              <w:left w:w="90" w:type="dxa"/>
              <w:right w:w="90" w:type="dxa"/>
            </w:tcMar>
          </w:tcPr>
          <w:p>
            <w:pPr>
              <w:spacing w:after="40" w:line="252" w:lineRule="auto"/>
            </w:pPr>
            <w:r>
              <w:rPr>
                <w:sz w:val="19"/>
              </w:rPr>
              <w:t>Preserve its records, references and authorised historical access. Resolve or migrate active work and dependencies before disabling required operations.</w:t>
            </w:r>
          </w:p>
        </w:tc>
      </w:tr>
      <w:tr>
        <w:trPr>
          <w:cantSplit/>
        </w:trPr>
        <w:tc>
          <w:tcPr>
            <w:tcW w:type="dxa" w:w="2766"/>
            <w:shd w:fill="FFFFFF"/>
            <w:vAlign w:val="center"/>
            <w:tcMar>
              <w:top w:w="80" w:type="dxa"/>
              <w:bottom w:w="80" w:type="dxa"/>
              <w:left w:w="90" w:type="dxa"/>
              <w:right w:w="90" w:type="dxa"/>
            </w:tcMar>
          </w:tcPr>
          <w:p>
            <w:pPr>
              <w:spacing w:after="40" w:line="252" w:lineRule="auto"/>
            </w:pPr>
            <w:r>
              <w:rPr>
                <w:sz w:val="19"/>
              </w:rPr>
              <w:t>Rollback is requested</w:t>
            </w:r>
          </w:p>
        </w:tc>
        <w:tc>
          <w:tcPr>
            <w:tcW w:type="dxa" w:w="7069"/>
            <w:shd w:fill="FFFFFF"/>
            <w:vAlign w:val="center"/>
            <w:tcMar>
              <w:top w:w="80" w:type="dxa"/>
              <w:bottom w:w="80" w:type="dxa"/>
              <w:left w:w="90" w:type="dxa"/>
              <w:right w:w="90" w:type="dxa"/>
            </w:tcMar>
          </w:tcPr>
          <w:p>
            <w:pPr>
              <w:spacing w:after="40" w:line="252" w:lineRule="auto"/>
            </w:pPr>
            <w:r>
              <w:rPr>
                <w:sz w:val="19"/>
              </w:rPr>
              <w:t>Reverse a configuration release when safe. Existing payments, publications or external side effects require their own compensating/correction operations.</w:t>
            </w:r>
          </w:p>
        </w:tc>
      </w:tr>
      <w:tr>
        <w:trPr>
          <w:cantSplit/>
        </w:trPr>
        <w:tc>
          <w:tcPr>
            <w:tcW w:type="dxa" w:w="2766"/>
            <w:shd w:fill="F3F6F8"/>
            <w:vAlign w:val="center"/>
            <w:tcMar>
              <w:top w:w="80" w:type="dxa"/>
              <w:bottom w:w="80" w:type="dxa"/>
              <w:left w:w="90" w:type="dxa"/>
              <w:right w:w="90" w:type="dxa"/>
            </w:tcMar>
          </w:tcPr>
          <w:p>
            <w:pPr>
              <w:spacing w:after="40" w:line="252" w:lineRule="auto"/>
            </w:pPr>
            <w:r>
              <w:rPr>
                <w:sz w:val="19"/>
              </w:rPr>
              <w:t>Office or body membership changes</w:t>
            </w:r>
          </w:p>
        </w:tc>
        <w:tc>
          <w:tcPr>
            <w:tcW w:type="dxa" w:w="7069"/>
            <w:shd w:fill="F3F6F8"/>
            <w:vAlign w:val="center"/>
            <w:tcMar>
              <w:top w:w="80" w:type="dxa"/>
              <w:bottom w:w="80" w:type="dxa"/>
              <w:left w:w="90" w:type="dxa"/>
              <w:right w:w="90" w:type="dxa"/>
            </w:tcMar>
          </w:tcPr>
          <w:p>
            <w:pPr>
              <w:spacing w:after="40" w:line="252" w:lineRule="auto"/>
            </w:pPr>
            <w:r>
              <w:rPr>
                <w:sz w:val="19"/>
              </w:rPr>
              <w:t>End future participation as the current appointment and procedure require; preserve valid historical decisions, and explicitly handle open cases and acting appointments.</w:t>
            </w:r>
          </w:p>
        </w:tc>
      </w:tr>
      <w:tr>
        <w:trPr>
          <w:cantSplit/>
        </w:trPr>
        <w:tc>
          <w:tcPr>
            <w:tcW w:type="dxa" w:w="2766"/>
            <w:shd w:fill="FFFFFF"/>
            <w:vAlign w:val="center"/>
            <w:tcMar>
              <w:top w:w="80" w:type="dxa"/>
              <w:bottom w:w="80" w:type="dxa"/>
              <w:left w:w="90" w:type="dxa"/>
              <w:right w:w="90" w:type="dxa"/>
            </w:tcMar>
          </w:tcPr>
          <w:p>
            <w:pPr>
              <w:spacing w:after="40" w:line="252" w:lineRule="auto"/>
            </w:pPr>
            <w:r>
              <w:rPr>
                <w:sz w:val="19"/>
              </w:rPr>
              <w:t>Authority or resolution is withdrawn</w:t>
            </w:r>
          </w:p>
        </w:tc>
        <w:tc>
          <w:tcPr>
            <w:tcW w:type="dxa" w:w="7069"/>
            <w:shd w:fill="FFFFFF"/>
            <w:vAlign w:val="center"/>
            <w:tcMar>
              <w:top w:w="80" w:type="dxa"/>
              <w:bottom w:w="80" w:type="dxa"/>
              <w:left w:w="90" w:type="dxa"/>
              <w:right w:w="90" w:type="dxa"/>
            </w:tcMar>
          </w:tcPr>
          <w:p>
            <w:pPr>
              <w:spacing w:after="40" w:line="252" w:lineRule="auto"/>
            </w:pPr>
            <w:r>
              <w:rPr>
                <w:sz w:val="19"/>
              </w:rPr>
              <w:t>Distinguish revoked delegation, suspended decision and completed external effect. Recheck current execution and use an authorised remedial route when necessary.</w:t>
            </w:r>
          </w:p>
        </w:tc>
      </w:tr>
    </w:tbl>
    <w:p>
      <w:pPr>
        <w:spacing w:after="20" w:before="0"/>
      </w:pPr>
    </w:p>
    <w:p>
      <w:r>
        <w:t>Different time bases serve different purposes. A workflow may use its original process version, a charge its agreed price version, and every attempted action the actor’s current authorisation. Newly applicable mandatory restrictions cannot be bypassed by pointing to an old configuration snapshot. Conflicts should create a visible migration or review task.</w:t>
      </w:r>
    </w:p>
    <w:p>
      <w:pPr>
        <w:pStyle w:val="Heading1"/>
      </w:pPr>
      <w:r>
        <w:t>12 Three end to end institution configurations</w:t>
      </w:r>
    </w:p>
    <w:p>
      <w:pPr>
        <w:pStyle w:val="Heading2"/>
      </w:pPr>
      <w:r>
        <w:t>12 1 School</w:t>
      </w:r>
    </w:p>
    <w:p>
      <w:r>
        <w:t>The administrator selects a school starter, defines the calendar, creates grade stages and sections, selects subjects and assigns teachers. The app links the relevant cohorts, offerings, teaching groups and scoped duties. It adds guardian verification, daily classroom attendance, assessment review, result publication and optional transport. A school can activate only the capabilities it currently needs.</w:t>
      </w:r>
    </w:p>
    <w:p>
      <w:r>
        <w:t>The governance profile records the management entity, principal and applicable SMC structure, source-backed delegation and any required external decision process. A proposed annual budget, a fee-policy change and a routine classroom correction can therefore have different routes even when the principal participates in all three.</w:t>
      </w:r>
    </w:p>
    <w:p>
      <w:r>
        <w:t>The August 2026 Ministry of Education reply describes the CBSE fee-revision requirement as express SMC approval or the appropriate government’s prescribed process. The applicable route must be established from the rules; it is not a choice to use whichever approval is easier. Publication waits for that complete route and the authorised effective date. [12]</w:t>
      </w:r>
    </w:p>
    <w:p>
      <w:r>
        <w:t>During operation, Ananya opens VIII-A attendance, uses the valid roster, records the observation and submits it. The parent sees the permitted classroom update. The bus attendant’s earlier boarding event remains a different observation. When a learner changes section, an effective-dated transfer updates future assignments and rosters while preserving earlier attendance and assessment history.</w:t>
      </w:r>
    </w:p>
    <w:p>
      <w:pPr>
        <w:pStyle w:val="Heading2"/>
      </w:pPr>
      <w:r>
        <w:t>12 2 College</w:t>
      </w:r>
    </w:p>
    <w:p>
      <w:r>
        <w:t>The administrator configures programmes, curriculum versions, academic periods and available course definitions. Registration rules express compulsory components, elective baskets, credits, prerequisites and authorised substitutions. An offering may be shared across programmes, with separate lecture/tutorial/lab groups. Attendance, assessment, progression and transcript policies are attached to the relevant context.</w:t>
      </w:r>
    </w:p>
    <w:p>
      <w:r>
        <w:t>Record the college’s actual academic authority profile before enabling curriculum publication. A recommendation by a Board of Studies or local academic group is not automatically the final adoption of a curriculum. The operational publisher can activate only the version and learner population covered by the complete authorised route.</w:t>
      </w:r>
    </w:p>
    <w:p>
      <w:r>
        <w:t>A learner registers for a cross-department elective and is placed into a laboratory group. Their administrative programme cohort remains unchanged. If they repeat a course, the later offering and attempt are recorded separately; a versioned academic rule determines the treatment of attempts and credits. An adult learner can operate without a guardian relationship.</w:t>
      </w:r>
    </w:p>
    <w:p>
      <w:pPr>
        <w:pStyle w:val="Heading2"/>
      </w:pPr>
      <w:r>
        <w:t>12 3 Coaching centre</w:t>
      </w:r>
    </w:p>
    <w:p>
      <w:r>
        <w:t>The administrator selects a coaching starter, creates short courses or test offerings, chooses fixed-batch or rolling delivery and defines products, bundles or subscriptions. Dates can come from an offering or an individual registration. Teaching groups can be morning, evening, weekend or absent for self-paced/test-only access. Commercial eligibility and academic progress remain separate.</w:t>
      </w:r>
    </w:p>
    <w:p>
      <w:r>
        <w:t>A simple governance configuration can assign standing operating powers to an authenticated and appropriately verified proprietor/director, delegate limited routine work and retain a decision record for exceptions. The applicable state and institute policy remains separately versioned. A small institute does not need fictitious committee approval to fit the framework.</w:t>
      </w:r>
    </w:p>
    <w:p>
      <w:r>
        <w:t>A learner buys a coding course, an English course and a test series with different validity periods. The system maintains one learner identity, distinct participation records and explicit entitlements. A trial can convert to a paid agreement without losing work. A batch transfer checks capacity and schedule. A cancellation computes an adjustment from the applicable agreement and evidence, then follows the authorised refund command while preserving the original transactions.</w:t>
      </w:r>
    </w:p>
    <w:p>
      <w:r>
        <w:t>For a refund, the calculation uses the applicable agreement and evidence; the decision route uses the active financial mandate. Changing the general refund policy is a separate matter from executing one permitted refund. The authorised effect is recorded once, and provider confirmation remains separate from internal approval.</w:t>
      </w:r>
    </w:p>
    <w:p>
      <w:pPr>
        <w:pStyle w:val="Heading1"/>
      </w:pPr>
      <w:r>
        <w:t>13 Protected invariants</w:t>
      </w:r>
    </w:p>
    <w:p>
      <w:r>
        <w:t>The following conditions are part of the proposed module and platform contract. A supported configuration may vary the process around them, but cannot defeat their meaning.</w:t>
      </w:r>
    </w:p>
    <w:p>
      <w:pPr>
        <w:pStyle w:val="ListBullet"/>
      </w:pPr>
      <w:r>
        <w:t>Every institution-scoped business record has a valid owning institution; references crossing that boundary require an explicit supported relationship and authority. Shared/platform records have separately defined ownership and sharing rules.</w:t>
      </w:r>
    </w:p>
    <w:p>
      <w:pPr>
        <w:pStyle w:val="ListBullet"/>
      </w:pPr>
      <w:r>
        <w:t>An actor is an identified person/account or scoped machine identity. Sharing a role does not mean sharing a login.</w:t>
      </w:r>
    </w:p>
    <w:p>
      <w:pPr>
        <w:pStyle w:val="ListBullet"/>
      </w:pPr>
      <w:r>
        <w:t>A person may have no account, several capacities and several independent enrolments. No global single-class or mandatory-guardian field defines participation.</w:t>
      </w:r>
    </w:p>
    <w:p>
      <w:pPr>
        <w:pStyle w:val="ListBullet"/>
      </w:pPr>
      <w:r>
        <w:t>An access decision matches an entire grant, including action, scope, fields, time and relationship. Scope fragments from unrelated roles cannot be multiplied together.</w:t>
      </w:r>
    </w:p>
    <w:p>
      <w:pPr>
        <w:pStyle w:val="ListBullet"/>
      </w:pPr>
      <w:r>
        <w:t>Administrative cohorts, teaching groups, calendars, commercial entitlements and service memberships retain their distinct meanings.</w:t>
      </w:r>
    </w:p>
    <w:p>
      <w:pPr>
        <w:pStyle w:val="ListBullet"/>
      </w:pPr>
      <w:r>
        <w:t>Catalogues, assessment rules, agreements and workflow definitions have identifiable versions; important outcomes retain their applicable basis.</w:t>
      </w:r>
    </w:p>
    <w:p>
      <w:pPr>
        <w:pStyle w:val="ListBullet"/>
      </w:pPr>
      <w:r>
        <w:t>Historical attendance, attempts, financial transactions and decisions are not silently rewritten by a current profile, group or policy edit.</w:t>
      </w:r>
    </w:p>
    <w:p>
      <w:pPr>
        <w:pStyle w:val="ListBullet"/>
      </w:pPr>
      <w:r>
        <w:t>Attendance and completion evidence identify what was observed, when and by whom. A missing or contradictory observation remains visible until resolved.</w:t>
      </w:r>
    </w:p>
    <w:p>
      <w:pPr>
        <w:pStyle w:val="ListBullet"/>
      </w:pPr>
      <w:r>
        <w:t>Course repetition, supplementary assessment and result correction preserve distinct histories and apply explicit outcome/credit rules.</w:t>
      </w:r>
    </w:p>
    <w:p>
      <w:pPr>
        <w:pStyle w:val="ListBullet"/>
      </w:pPr>
      <w:r>
        <w:t>A request, an approval and execution are separate facts. An approval is bound to the relevant request version and material parameters.</w:t>
      </w:r>
    </w:p>
    <w:p>
      <w:pPr>
        <w:pStyle w:val="ListBullet"/>
      </w:pPr>
      <w:r>
        <w:t>Financial operations preserve the issuer, currency, agreement and transaction history. Receipts, adjustments and refunds are executed through supported domain commands.</w:t>
      </w:r>
    </w:p>
    <w:p>
      <w:pPr>
        <w:pStyle w:val="ListBullet"/>
      </w:pPr>
      <w:r>
        <w:t>Independent approval is assessed by human identity, and current authorisation is checked at execution even for a previously assigned task.</w:t>
      </w:r>
    </w:p>
    <w:p>
      <w:pPr>
        <w:pStyle w:val="ListBullet"/>
      </w:pPr>
      <w:r>
        <w:t>Capacity and resource-allocation constraints are enforced when an operation commits, not only when a screen is loaded.</w:t>
      </w:r>
    </w:p>
    <w:p>
      <w:pPr>
        <w:pStyle w:val="ListBullet"/>
      </w:pPr>
      <w:r>
        <w:t>Retries and duplicate external events do not duplicate committed charges, attendance decisions, adjustments or logical notification/outbox records; operation and provider-event identifiers support deduplication. External message delivery uses provider-supported deduplication where available and can still duplicate after an ambiguous delivery outcome.</w:t>
      </w:r>
    </w:p>
    <w:p>
      <w:pPr>
        <w:pStyle w:val="ListBullet"/>
      </w:pPr>
      <w:r>
        <w:t>Published configuration and enabled modules must not leave a mandatory process without a possible actor, a valid state transition or an accountable exception path.</w:t>
      </w:r>
    </w:p>
    <w:p>
      <w:pPr>
        <w:pStyle w:val="ListBullet"/>
      </w:pPr>
      <w:r>
        <w:t>Search, reports, attachments, exports, notifications and AI actions obey the same underlying record and field access boundaries.</w:t>
      </w:r>
    </w:p>
    <w:p>
      <w:pPr>
        <w:pStyle w:val="ListBullet"/>
      </w:pPr>
      <w:r>
        <w:t>Application roles do not create an office, appointment, vote or reserved decision power; authority retains its source and scope.</w:t>
      </w:r>
    </w:p>
    <w:p>
      <w:pPr>
        <w:pStyle w:val="ListBullet"/>
      </w:pPr>
      <w:r>
        <w:t>A collective resolution depends on its adopted procedure, eligible participation, conflicts, quorum and decision threshold; a raw approval count cannot substitute for these.</w:t>
      </w:r>
    </w:p>
    <w:p>
      <w:pPr>
        <w:pStyle w:val="ListBullet"/>
      </w:pPr>
      <w:r>
        <w:t>Governance configuration cannot authorise its own adoption; the current amendment authority or a separately verified external instrument governs the change.</w:t>
      </w:r>
    </w:p>
    <w:p>
      <w:pPr>
        <w:pStyle w:val="ListBullet"/>
      </w:pPr>
      <w:r>
        <w:t>A decision authorisation matches the material effect, conditions and target; execution checks current authority and prevents duplicate or over-limit use.</w:t>
      </w:r>
    </w:p>
    <w:p>
      <w:pPr>
        <w:pStyle w:val="ListBullet"/>
      </w:pPr>
      <w:r>
        <w:t>A valid historical resolution, current member eligibility and current executor authority are distinct facts.</w:t>
      </w:r>
    </w:p>
    <w:p>
      <w:pPr>
        <w:pStyle w:val="ListBullet"/>
      </w:pPr>
      <w:r>
        <w:t>Implementation and verified closure retain accountable owners and evidence; a completed task checkbox is not proof of a fulfilled external obligation.</w:t>
      </w:r>
    </w:p>
    <w:p>
      <w:pPr>
        <w:pStyle w:val="Heading1"/>
      </w:pPr>
      <w:r>
        <w:t>14 Runtime and implementation structure</w:t>
      </w:r>
    </w:p>
    <w:p>
      <w:r>
        <w:t>Begin with one backend organised into explicit domain modules and a relational source of truth for critical records. A separate service per module is not necessary for the model. Shared infrastructure can provide configuration resolution, authorisation, workflow/task execution, document handling, audit, notification delivery and integration adapters. Split deployment units only when an observed scale or ownership need justifies it.</w:t>
      </w:r>
    </w:p>
    <w:p>
      <w:r>
        <w:t>Keep stable institutional references and frequently queried relationships in typed records with foreign keys and appropriate uniqueness/transaction constraints. Use validated extension fields for genuine additional metadata. Avoid an untyped universal entity table for all academic, financial and permission semantics. The conceptual relationship graph does not require a graph database.</w:t>
      </w:r>
    </w:p>
    <w:p>
      <w:r>
        <w:t>At publication, normalise templates and policy bindings, check conflicts and produce validated runtime definitions. Cache reusable definitions by version; do not repeatedly interpret a large configuration document for every roster row. Query filters and field projections should enforce data scope efficiently. Live membership and permission changes must invalidate or version affected access decisions so a compiled definition or stale cache does not preserve revoked authority.</w:t>
      </w:r>
    </w:p>
    <w:p>
      <w:pPr>
        <w:spacing w:after="160"/>
        <w:ind w:left="144"/>
      </w:pPr>
      <w:r>
        <w:rPr>
          <w:rFonts w:ascii="Consolas" w:hAnsi="Consolas"/>
          <w:sz w:val="18"/>
        </w:rPr>
        <w:t>Operational command boundary</w:t>
        <w:br/>
        <w:t>1. Authenticate the person or machine actor.</w:t>
        <w:br/>
        <w:t>2. Resolve institution, target record and applicable definition versions.</w:t>
        <w:br/>
        <w:t>3. Check current authorisation and the complete scoped grant.</w:t>
        <w:br/>
        <w:t>4. Resolve the decision matter and check its standing mandate or</w:t>
        <w:br/>
        <w:t xml:space="preserve">   matching effective decision authorisation and all conditions.</w:t>
        <w:br/>
        <w:t>5. Validate current state, evidence and domain invariants.</w:t>
        <w:br/>
        <w:t>6. Commit the intended changes and any mandate usage atomically</w:t>
        <w:br/>
        <w:t xml:space="preserve">   with concurrency protection.</w:t>
        <w:br/>
        <w:t>7. Record the audit/event or transactional outbox with the commit.</w:t>
        <w:br/>
        <w:t>8. Deliver tasks, notifications and external follow-up with deduplication.</w:t>
      </w:r>
    </w:p>
    <w:p>
      <w:r>
        <w:t>The frontend can obtain metadata for available actions, fields and views, but the server remains authoritative. Task-oriented attendance, marks-entry and fee screens can share components while keeping domain-specific interaction design. The same command boundary applies to imports, administrator actions, service accounts, AI and integrations.</w:t>
      </w:r>
    </w:p>
    <w:p>
      <w:r>
        <w:t>The governance service supplies versioned authority resolution, decision-procedure evaluation and bounded authorisations. Preserve the reasoning basis as structured evidence without copying private papers into broad audit logs. Protect final decision closure and mandate consumption against concurrent edits or duplicate calls; perform the final checks at commit time.</w:t>
      </w:r>
    </w:p>
    <w:p>
      <w:r>
        <w:t>Do not claim exactly-once delivery across external systems. Use idempotent processing and durable state such as refund requested, provider pending, succeeded or failed. A financial ledger commit and a notification delivery need not occur at the same instant, but a notification must not invent a success that has not been committed.</w:t>
      </w:r>
    </w:p>
    <w:p>
      <w:r>
        <w:t>Offline attendance can queue observations with device/source identifiers and event time. Synchronisation checks duplicate events, roster context and the current permitted ingestion path. A backdated client timestamp is not proof of authority. Expired or revoked access may require an authorised reconciliation path instead of accepting a stale session automatically.</w:t>
      </w:r>
    </w:p>
    <w:p>
      <w:r>
        <w:t>AI may help prepare institute settings, propose mappings, explain effective rules and draft operational work. It uses the same permissions and commands. Its inferred settings are not silently published, and it cannot bypass workflow approval or read records outside the acting user’s scope.</w:t>
      </w:r>
    </w:p>
    <w:p>
      <w:pPr>
        <w:pStyle w:val="Heading1"/>
      </w:pPr>
      <w:r>
        <w:t>15 Interoperability and external boundaries</w:t>
      </w:r>
    </w:p>
    <w:p>
      <w:r>
        <w:t>Use adapters to translate relevant data into external contracts. OneRoster 1.2 addresses K-12 rostering, gradebook and resource exchange. Its notion of class is a course-delivery instance, which may differ from a school’s administrative section. [1] Edu-API provides useful higher-education concepts, but its current official portal labels v1.0 Candidate Final; do not describe it as a fully final adopted implementation requirement. [2][3]</w:t>
      </w:r>
    </w:p>
    <w:p>
      <w:r>
        <w:t>The app may prepare and track government, board, university or payment-provider submissions. Direct execution depends on an available supported API, credentials and actual authority. An internal role or workflow cannot grant an external appointment. Import/export mappings must record source ownership, stable identifiers, version, conflict handling and which system is authoritative for each field.</w:t>
      </w:r>
    </w:p>
    <w:p>
      <w:pPr>
        <w:pStyle w:val="Heading1"/>
      </w:pPr>
      <w:r>
        <w:t>16 What completeness means and how to evaluate it</w:t>
      </w:r>
    </w:p>
    <w:p>
      <w:r>
        <w:t>A framework can be complete relative to a declared set of capabilities and constraints. It cannot honestly guarantee every future educational process by configuration alone. The proposed completeness contract is that supported records, relationships, scopes, policies and commands can be composed without losing their meaning, and unsupported semantics have an explicit extension path.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11"/>
        <w:gridCol w:w="6224"/>
      </w:tblGrid>
      <w:tr>
        <w:trPr>
          <w:tblHeader w:val="true"/>
          <w:cantSplit/>
        </w:trPr>
        <w:tc>
          <w:tcPr>
            <w:tcW w:type="dxa" w:w="3611"/>
            <w:shd w:fill="1D3A50"/>
            <w:vAlign w:val="center"/>
            <w:tcMar>
              <w:top w:w="80" w:type="dxa"/>
              <w:bottom w:w="80" w:type="dxa"/>
              <w:left w:w="90" w:type="dxa"/>
              <w:right w:w="90" w:type="dxa"/>
            </w:tcMar>
          </w:tcPr>
          <w:p>
            <w:pPr>
              <w:spacing w:after="40" w:line="252" w:lineRule="auto"/>
            </w:pPr>
            <w:r>
              <w:rPr>
                <w:b/>
                <w:color w:val="FFFFFF"/>
                <w:sz w:val="19"/>
              </w:rPr>
              <w:t>Variation</w:t>
            </w:r>
          </w:p>
        </w:tc>
        <w:tc>
          <w:tcPr>
            <w:tcW w:type="dxa" w:w="6224"/>
            <w:shd w:fill="1D3A50"/>
            <w:vAlign w:val="center"/>
            <w:tcMar>
              <w:top w:w="80" w:type="dxa"/>
              <w:bottom w:w="80" w:type="dxa"/>
              <w:left w:w="90" w:type="dxa"/>
              <w:right w:w="90" w:type="dxa"/>
            </w:tcMar>
          </w:tcPr>
          <w:p>
            <w:pPr>
              <w:spacing w:after="40" w:line="252" w:lineRule="auto"/>
            </w:pPr>
            <w:r>
              <w:rPr>
                <w:b/>
                <w:color w:val="FFFFFF"/>
                <w:sz w:val="19"/>
              </w:rPr>
              <w:t>Treatment</w:t>
            </w:r>
          </w:p>
        </w:tc>
      </w:tr>
      <w:tr>
        <w:trPr>
          <w:cantSplit/>
        </w:trPr>
        <w:tc>
          <w:tcPr>
            <w:tcW w:type="dxa" w:w="3611"/>
            <w:shd w:fill="F3F6F8"/>
            <w:vAlign w:val="center"/>
            <w:tcMar>
              <w:top w:w="80" w:type="dxa"/>
              <w:bottom w:w="80" w:type="dxa"/>
              <w:left w:w="90" w:type="dxa"/>
              <w:right w:w="90" w:type="dxa"/>
            </w:tcMar>
          </w:tcPr>
          <w:p>
            <w:pPr>
              <w:spacing w:after="40" w:line="252" w:lineRule="auto"/>
            </w:pPr>
            <w:r>
              <w:rPr>
                <w:sz w:val="19"/>
              </w:rPr>
              <w:t>Different label, field, reminder, approval stage or supported condition</w:t>
            </w:r>
          </w:p>
        </w:tc>
        <w:tc>
          <w:tcPr>
            <w:tcW w:type="dxa" w:w="6224"/>
            <w:shd w:fill="F3F6F8"/>
            <w:vAlign w:val="center"/>
            <w:tcMar>
              <w:top w:w="80" w:type="dxa"/>
              <w:bottom w:w="80" w:type="dxa"/>
              <w:left w:w="90" w:type="dxa"/>
              <w:right w:w="90" w:type="dxa"/>
            </w:tcMar>
          </w:tcPr>
          <w:p>
            <w:pPr>
              <w:spacing w:after="40" w:line="252" w:lineRule="auto"/>
            </w:pPr>
            <w:r>
              <w:rPr>
                <w:sz w:val="19"/>
              </w:rPr>
              <w:t>Configure through the app and validate within the module’s declared vocabulary.</w:t>
            </w:r>
          </w:p>
        </w:tc>
      </w:tr>
      <w:tr>
        <w:trPr>
          <w:cantSplit/>
        </w:trPr>
        <w:tc>
          <w:tcPr>
            <w:tcW w:type="dxa" w:w="3611"/>
            <w:shd w:fill="FFFFFF"/>
            <w:vAlign w:val="center"/>
            <w:tcMar>
              <w:top w:w="80" w:type="dxa"/>
              <w:bottom w:w="80" w:type="dxa"/>
              <w:left w:w="90" w:type="dxa"/>
              <w:right w:w="90" w:type="dxa"/>
            </w:tcMar>
          </w:tcPr>
          <w:p>
            <w:pPr>
              <w:spacing w:after="40" w:line="252" w:lineRule="auto"/>
            </w:pPr>
            <w:r>
              <w:rPr>
                <w:sz w:val="19"/>
              </w:rPr>
              <w:t>Different combination of supported modules or operating patterns</w:t>
            </w:r>
          </w:p>
        </w:tc>
        <w:tc>
          <w:tcPr>
            <w:tcW w:type="dxa" w:w="6224"/>
            <w:shd w:fill="FFFFFF"/>
            <w:vAlign w:val="center"/>
            <w:tcMar>
              <w:top w:w="80" w:type="dxa"/>
              <w:bottom w:w="80" w:type="dxa"/>
              <w:left w:w="90" w:type="dxa"/>
              <w:right w:w="90" w:type="dxa"/>
            </w:tcMar>
          </w:tcPr>
          <w:p>
            <w:pPr>
              <w:spacing w:after="40" w:line="252" w:lineRule="auto"/>
            </w:pPr>
            <w:r>
              <w:rPr>
                <w:sz w:val="19"/>
              </w:rPr>
              <w:t>Compose templates and configuration; check dependencies, policy resolution, permissions and lifecycle effects.</w:t>
            </w:r>
          </w:p>
        </w:tc>
      </w:tr>
      <w:tr>
        <w:trPr>
          <w:cantSplit/>
        </w:trPr>
        <w:tc>
          <w:tcPr>
            <w:tcW w:type="dxa" w:w="3611"/>
            <w:shd w:fill="F3F6F8"/>
            <w:vAlign w:val="center"/>
            <w:tcMar>
              <w:top w:w="80" w:type="dxa"/>
              <w:bottom w:w="80" w:type="dxa"/>
              <w:left w:w="90" w:type="dxa"/>
              <w:right w:w="90" w:type="dxa"/>
            </w:tcMar>
          </w:tcPr>
          <w:p>
            <w:pPr>
              <w:spacing w:after="40" w:line="252" w:lineRule="auto"/>
            </w:pPr>
            <w:r>
              <w:rPr>
                <w:sz w:val="19"/>
              </w:rPr>
              <w:t>A new kind of record or business behaviour</w:t>
            </w:r>
          </w:p>
        </w:tc>
        <w:tc>
          <w:tcPr>
            <w:tcW w:type="dxa" w:w="6224"/>
            <w:shd w:fill="F3F6F8"/>
            <w:vAlign w:val="center"/>
            <w:tcMar>
              <w:top w:w="80" w:type="dxa"/>
              <w:bottom w:w="80" w:type="dxa"/>
              <w:left w:w="90" w:type="dxa"/>
              <w:right w:w="90" w:type="dxa"/>
            </w:tcMar>
          </w:tcPr>
          <w:p>
            <w:pPr>
              <w:spacing w:after="40" w:line="252" w:lineRule="auto"/>
            </w:pPr>
            <w:r>
              <w:rPr>
                <w:sz w:val="19"/>
              </w:rPr>
              <w:t>Add or extend a typed capability module with commands, scopes, validators, views and migrations.</w:t>
            </w:r>
          </w:p>
        </w:tc>
      </w:tr>
      <w:tr>
        <w:trPr>
          <w:cantSplit/>
        </w:trPr>
        <w:tc>
          <w:tcPr>
            <w:tcW w:type="dxa" w:w="3611"/>
            <w:shd w:fill="FFFFFF"/>
            <w:vAlign w:val="center"/>
            <w:tcMar>
              <w:top w:w="80" w:type="dxa"/>
              <w:bottom w:w="80" w:type="dxa"/>
              <w:left w:w="90" w:type="dxa"/>
              <w:right w:w="90" w:type="dxa"/>
            </w:tcMar>
          </w:tcPr>
          <w:p>
            <w:pPr>
              <w:spacing w:after="40" w:line="252" w:lineRule="auto"/>
            </w:pPr>
            <w:r>
              <w:rPr>
                <w:sz w:val="19"/>
              </w:rPr>
              <w:t>A conflicting, invalid or unauthorised combination</w:t>
            </w:r>
          </w:p>
        </w:tc>
        <w:tc>
          <w:tcPr>
            <w:tcW w:type="dxa" w:w="6224"/>
            <w:shd w:fill="FFFFFF"/>
            <w:vAlign w:val="center"/>
            <w:tcMar>
              <w:top w:w="80" w:type="dxa"/>
              <w:bottom w:w="80" w:type="dxa"/>
              <w:left w:w="90" w:type="dxa"/>
              <w:right w:w="90" w:type="dxa"/>
            </w:tcMar>
          </w:tcPr>
          <w:p>
            <w:pPr>
              <w:spacing w:after="40" w:line="252" w:lineRule="auto"/>
            </w:pPr>
            <w:r>
              <w:rPr>
                <w:sz w:val="19"/>
              </w:rPr>
              <w:t>Reject activation or route an explicit authorised exception; do not guess an interpretation.</w:t>
            </w:r>
          </w:p>
        </w:tc>
      </w:tr>
    </w:tbl>
    <w:p>
      <w:pPr>
        <w:spacing w:after="20" w:before="0"/>
      </w:pPr>
    </w:p>
    <w:p>
      <w:r>
        <w:t>The 35 cases in Appendix B are conceptual coverage cases with expected model behaviour. They are not executed application tests. During implementation, turn them into fixtures and assertions. Add negative cases for unauthorised scope, duplicate events, stale approvals, conflicting policy bindings, invalid memberships, resource contention and historical changes.</w:t>
      </w:r>
    </w:p>
    <w:p>
      <w:r>
        <w:t>Exhaustive enumeration is usually impractical once scopes, dates, rules and services combine. Use module conformance checks, property/invariant checks, targeted combinations of interacting capabilities and end-to-end scenarios. Exhaustively test a bounded decision table when feasible; use targeted higher-order combinations where a known interaction risk exists. Do not describe pairwise coverage or a passing example as a proof of all combinations.</w:t>
      </w:r>
    </w:p>
    <w:p>
      <w:pPr>
        <w:pStyle w:val="ListBullet"/>
      </w:pPr>
      <w:r>
        <w:t>A school learner changes section while staying in a mixed-section group; earlier attendance remains accurate.</w:t>
      </w:r>
    </w:p>
    <w:p>
      <w:pPr>
        <w:pStyle w:val="ListBullet"/>
      </w:pPr>
      <w:r>
        <w:t>A college learner joins a shared elective, takes lecture and lab components and later repeats the course without losing the first attempt.</w:t>
      </w:r>
    </w:p>
    <w:p>
      <w:pPr>
        <w:pStyle w:val="ListBullet"/>
      </w:pPr>
      <w:r>
        <w:t>A coaching learner has two courses and a test-only entitlement with independent dates and cancellation rules.</w:t>
      </w:r>
    </w:p>
    <w:p>
      <w:pPr>
        <w:pStyle w:val="ListBullet"/>
      </w:pPr>
      <w:r>
        <w:t>An adult learner has no guardian; another person is simultaneously staff, parent and learner in different institutional contexts.</w:t>
      </w:r>
    </w:p>
    <w:p>
      <w:pPr>
        <w:pStyle w:val="ListBullet"/>
      </w:pPr>
      <w:r>
        <w:t>One teacher and one resource serve multiple calendars or campuses without exposing unrelated private records or permitting conflicting bookings.</w:t>
      </w:r>
    </w:p>
    <w:p>
      <w:pPr>
        <w:pStyle w:val="ListBullet"/>
      </w:pPr>
      <w:r>
        <w:t>A cancellation produces an approved partial refund and entitlement change while preserving attendance, results and the original payment.</w:t>
      </w:r>
    </w:p>
    <w:p>
      <w:pPr>
        <w:pStyle w:val="Heading1"/>
      </w:pPr>
      <w:r>
        <w:t>17 Decisions adopted in this draft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5"/>
        <w:gridCol w:w="7530"/>
      </w:tblGrid>
      <w:tr>
        <w:trPr>
          <w:tblHeader w:val="true"/>
          <w:cantSplit/>
        </w:trPr>
        <w:tc>
          <w:tcPr>
            <w:tcW w:type="dxa" w:w="2305"/>
            <w:shd w:fill="1D3A50"/>
            <w:vAlign w:val="center"/>
            <w:tcMar>
              <w:top w:w="80" w:type="dxa"/>
              <w:bottom w:w="80" w:type="dxa"/>
              <w:left w:w="90" w:type="dxa"/>
              <w:right w:w="90" w:type="dxa"/>
            </w:tcMar>
          </w:tcPr>
          <w:p>
            <w:pPr>
              <w:spacing w:after="40" w:line="252" w:lineRule="auto"/>
            </w:pPr>
            <w:r>
              <w:rPr>
                <w:b/>
                <w:color w:val="FFFFFF"/>
                <w:sz w:val="19"/>
              </w:rPr>
              <w:t>Decision</w:t>
            </w:r>
          </w:p>
        </w:tc>
        <w:tc>
          <w:tcPr>
            <w:tcW w:type="dxa" w:w="7530"/>
            <w:shd w:fill="1D3A50"/>
            <w:vAlign w:val="center"/>
            <w:tcMar>
              <w:top w:w="80" w:type="dxa"/>
              <w:bottom w:w="80" w:type="dxa"/>
              <w:left w:w="90" w:type="dxa"/>
              <w:right w:w="90" w:type="dxa"/>
            </w:tcMar>
          </w:tcPr>
          <w:p>
            <w:pPr>
              <w:spacing w:after="40" w:line="252" w:lineRule="auto"/>
            </w:pPr>
            <w:r>
              <w:rPr>
                <w:b/>
                <w:color w:val="FFFFFF"/>
                <w:sz w:val="19"/>
              </w:rPr>
              <w:t>Default adopted</w:t>
            </w:r>
          </w:p>
        </w:tc>
      </w:tr>
      <w:tr>
        <w:trPr>
          <w:cantSplit/>
        </w:trPr>
        <w:tc>
          <w:tcPr>
            <w:tcW w:type="dxa" w:w="2305"/>
            <w:shd w:fill="F3F6F8"/>
            <w:vAlign w:val="center"/>
            <w:tcMar>
              <w:top w:w="80" w:type="dxa"/>
              <w:bottom w:w="80" w:type="dxa"/>
              <w:left w:w="90" w:type="dxa"/>
              <w:right w:w="90" w:type="dxa"/>
            </w:tcMar>
          </w:tcPr>
          <w:p>
            <w:pPr>
              <w:spacing w:after="40" w:line="252" w:lineRule="auto"/>
            </w:pPr>
            <w:r>
              <w:rPr>
                <w:sz w:val="19"/>
              </w:rPr>
              <w:t>User experience</w:t>
            </w:r>
          </w:p>
        </w:tc>
        <w:tc>
          <w:tcPr>
            <w:tcW w:type="dxa" w:w="7530"/>
            <w:shd w:fill="F3F6F8"/>
            <w:vAlign w:val="center"/>
            <w:tcMar>
              <w:top w:w="80" w:type="dxa"/>
              <w:bottom w:w="80" w:type="dxa"/>
              <w:left w:w="90" w:type="dxa"/>
              <w:right w:w="90" w:type="dxa"/>
            </w:tcMar>
          </w:tcPr>
          <w:p>
            <w:pPr>
              <w:spacing w:after="40" w:line="252" w:lineRule="auto"/>
            </w:pPr>
            <w:r>
              <w:rPr>
                <w:sz w:val="19"/>
              </w:rPr>
              <w:t>Institute Setup and Daily Work are the two management surfaces. Access to each function is delegated, and family/learner views consume the same authorised data.</w:t>
            </w:r>
          </w:p>
        </w:tc>
      </w:tr>
      <w:tr>
        <w:trPr>
          <w:cantSplit/>
        </w:trPr>
        <w:tc>
          <w:tcPr>
            <w:tcW w:type="dxa" w:w="2305"/>
            <w:shd w:fill="FFFFFF"/>
            <w:vAlign w:val="center"/>
            <w:tcMar>
              <w:top w:w="80" w:type="dxa"/>
              <w:bottom w:w="80" w:type="dxa"/>
              <w:left w:w="90" w:type="dxa"/>
              <w:right w:w="90" w:type="dxa"/>
            </w:tcMar>
          </w:tcPr>
          <w:p>
            <w:pPr>
              <w:spacing w:after="40" w:line="252" w:lineRule="auto"/>
            </w:pPr>
            <w:r>
              <w:rPr>
                <w:sz w:val="19"/>
              </w:rPr>
              <w:t>Core model</w:t>
            </w:r>
          </w:p>
        </w:tc>
        <w:tc>
          <w:tcPr>
            <w:tcW w:type="dxa" w:w="7530"/>
            <w:shd w:fill="FFFFFF"/>
            <w:vAlign w:val="center"/>
            <w:tcMar>
              <w:top w:w="80" w:type="dxa"/>
              <w:bottom w:w="80" w:type="dxa"/>
              <w:left w:w="90" w:type="dxa"/>
              <w:right w:w="90" w:type="dxa"/>
            </w:tcMar>
          </w:tcPr>
          <w:p>
            <w:pPr>
              <w:spacing w:after="40" w:line="252" w:lineRule="auto"/>
            </w:pPr>
            <w:r>
              <w:rPr>
                <w:sz w:val="19"/>
              </w:rPr>
              <w:t>Use the eight concept families and keep administration, teaching, finance, services and time as related but distinct structures.</w:t>
            </w:r>
          </w:p>
        </w:tc>
      </w:tr>
      <w:tr>
        <w:trPr>
          <w:cantSplit/>
        </w:trPr>
        <w:tc>
          <w:tcPr>
            <w:tcW w:type="dxa" w:w="2305"/>
            <w:shd w:fill="F3F6F8"/>
            <w:vAlign w:val="center"/>
            <w:tcMar>
              <w:top w:w="80" w:type="dxa"/>
              <w:bottom w:w="80" w:type="dxa"/>
              <w:left w:w="90" w:type="dxa"/>
              <w:right w:w="90" w:type="dxa"/>
            </w:tcMar>
          </w:tcPr>
          <w:p>
            <w:pPr>
              <w:spacing w:after="40" w:line="252" w:lineRule="auto"/>
            </w:pPr>
            <w:r>
              <w:rPr>
                <w:sz w:val="19"/>
              </w:rPr>
              <w:t>Institution types</w:t>
            </w:r>
          </w:p>
        </w:tc>
        <w:tc>
          <w:tcPr>
            <w:tcW w:type="dxa" w:w="7530"/>
            <w:shd w:fill="F3F6F8"/>
            <w:vAlign w:val="center"/>
            <w:tcMar>
              <w:top w:w="80" w:type="dxa"/>
              <w:bottom w:w="80" w:type="dxa"/>
              <w:left w:w="90" w:type="dxa"/>
              <w:right w:w="90" w:type="dxa"/>
            </w:tcMar>
          </w:tcPr>
          <w:p>
            <w:pPr>
              <w:spacing w:after="40" w:line="252" w:lineRule="auto"/>
            </w:pPr>
            <w:r>
              <w:rPr>
                <w:sz w:val="19"/>
              </w:rPr>
              <w:t>Use composable versioned starter templates and local terminology. Mixed institutes are supported through capabilities and scoped configuration.</w:t>
            </w:r>
          </w:p>
        </w:tc>
      </w:tr>
      <w:tr>
        <w:trPr>
          <w:cantSplit/>
        </w:trPr>
        <w:tc>
          <w:tcPr>
            <w:tcW w:type="dxa" w:w="2305"/>
            <w:shd w:fill="FFFFFF"/>
            <w:vAlign w:val="center"/>
            <w:tcMar>
              <w:top w:w="80" w:type="dxa"/>
              <w:bottom w:w="80" w:type="dxa"/>
              <w:left w:w="90" w:type="dxa"/>
              <w:right w:w="90" w:type="dxa"/>
            </w:tcMar>
          </w:tcPr>
          <w:p>
            <w:pPr>
              <w:spacing w:after="40" w:line="252" w:lineRule="auto"/>
            </w:pPr>
            <w:r>
              <w:rPr>
                <w:sz w:val="19"/>
              </w:rPr>
              <w:t>Governance</w:t>
            </w:r>
          </w:p>
        </w:tc>
        <w:tc>
          <w:tcPr>
            <w:tcW w:type="dxa" w:w="7530"/>
            <w:shd w:fill="FFFFFF"/>
            <w:vAlign w:val="center"/>
            <w:tcMar>
              <w:top w:w="80" w:type="dxa"/>
              <w:bottom w:w="80" w:type="dxa"/>
              <w:left w:w="90" w:type="dxa"/>
              <w:right w:w="90" w:type="dxa"/>
            </w:tcMar>
          </w:tcPr>
          <w:p>
            <w:pPr>
              <w:spacing w:after="40" w:line="252" w:lineRule="auto"/>
            </w:pPr>
            <w:r>
              <w:rPr>
                <w:sz w:val="19"/>
              </w:rPr>
              <w:t>Record source-backed powers, offices, bodies and appointments; use matter-specific procedures, bounded decisions and evidence-based follow-up inside the same two experiences.</w:t>
            </w:r>
          </w:p>
        </w:tc>
      </w:tr>
      <w:tr>
        <w:trPr>
          <w:cantSplit/>
        </w:trPr>
        <w:tc>
          <w:tcPr>
            <w:tcW w:type="dxa" w:w="2305"/>
            <w:shd w:fill="F3F6F8"/>
            <w:vAlign w:val="center"/>
            <w:tcMar>
              <w:top w:w="80" w:type="dxa"/>
              <w:bottom w:w="80" w:type="dxa"/>
              <w:left w:w="90" w:type="dxa"/>
              <w:right w:w="90" w:type="dxa"/>
            </w:tcMar>
          </w:tcPr>
          <w:p>
            <w:pPr>
              <w:spacing w:after="40" w:line="252" w:lineRule="auto"/>
            </w:pPr>
            <w:r>
              <w:rPr>
                <w:sz w:val="19"/>
              </w:rPr>
              <w:t>Configuration</w:t>
            </w:r>
          </w:p>
        </w:tc>
        <w:tc>
          <w:tcPr>
            <w:tcW w:type="dxa" w:w="7530"/>
            <w:shd w:fill="F3F6F8"/>
            <w:vAlign w:val="center"/>
            <w:tcMar>
              <w:top w:w="80" w:type="dxa"/>
              <w:bottom w:w="80" w:type="dxa"/>
              <w:left w:w="90" w:type="dxa"/>
              <w:right w:w="90" w:type="dxa"/>
            </w:tcMar>
          </w:tcPr>
          <w:p>
            <w:pPr>
              <w:spacing w:after="40" w:line="252" w:lineRule="auto"/>
            </w:pPr>
            <w:r>
              <w:rPr>
                <w:sz w:val="19"/>
              </w:rPr>
              <w:t>Use typed schemas plus semantic checks and deterministic policy resolution. Publish definitions with impact and effective versions.</w:t>
            </w:r>
          </w:p>
        </w:tc>
      </w:tr>
      <w:tr>
        <w:trPr>
          <w:cantSplit/>
        </w:trPr>
        <w:tc>
          <w:tcPr>
            <w:tcW w:type="dxa" w:w="2305"/>
            <w:shd w:fill="FFFFFF"/>
            <w:vAlign w:val="center"/>
            <w:tcMar>
              <w:top w:w="80" w:type="dxa"/>
              <w:bottom w:w="80" w:type="dxa"/>
              <w:left w:w="90" w:type="dxa"/>
              <w:right w:w="90" w:type="dxa"/>
            </w:tcMar>
          </w:tcPr>
          <w:p>
            <w:pPr>
              <w:spacing w:after="40" w:line="252" w:lineRule="auto"/>
            </w:pPr>
            <w:r>
              <w:rPr>
                <w:sz w:val="19"/>
              </w:rPr>
              <w:t>Roles</w:t>
            </w:r>
          </w:p>
        </w:tc>
        <w:tc>
          <w:tcPr>
            <w:tcW w:type="dxa" w:w="7530"/>
            <w:shd w:fill="FFFFFF"/>
            <w:vAlign w:val="center"/>
            <w:tcMar>
              <w:top w:w="80" w:type="dxa"/>
              <w:bottom w:w="80" w:type="dxa"/>
              <w:left w:w="90" w:type="dxa"/>
              <w:right w:w="90" w:type="dxa"/>
            </w:tcMar>
          </w:tcPr>
          <w:p>
            <w:r>
              <w:t>Use immutable account types, reusable work-profile eligibility, dated typed responsibility assignments, platform-owned capability packs and bounded access exceptions. Keep offices, seats, appointments and institutional powers separate.</w:t>
            </w:r>
          </w:p>
        </w:tc>
      </w:tr>
      <w:tr>
        <w:trPr>
          <w:cantSplit/>
        </w:trPr>
        <w:tc>
          <w:tcPr>
            <w:tcW w:type="dxa" w:w="2305"/>
            <w:shd w:fill="F3F6F8"/>
            <w:vAlign w:val="center"/>
            <w:tcMar>
              <w:top w:w="80" w:type="dxa"/>
              <w:bottom w:w="80" w:type="dxa"/>
              <w:left w:w="90" w:type="dxa"/>
              <w:right w:w="90" w:type="dxa"/>
            </w:tcMar>
          </w:tcPr>
          <w:p>
            <w:pPr>
              <w:spacing w:after="40" w:line="252" w:lineRule="auto"/>
            </w:pPr>
            <w:r>
              <w:rPr>
                <w:sz w:val="19"/>
              </w:rPr>
              <w:t>Operations</w:t>
            </w:r>
          </w:p>
        </w:tc>
        <w:tc>
          <w:tcPr>
            <w:tcW w:type="dxa" w:w="7530"/>
            <w:shd w:fill="F3F6F8"/>
            <w:vAlign w:val="center"/>
            <w:tcMar>
              <w:top w:w="80" w:type="dxa"/>
              <w:bottom w:w="80" w:type="dxa"/>
              <w:left w:w="90" w:type="dxa"/>
              <w:right w:w="90" w:type="dxa"/>
            </w:tcMar>
          </w:tcPr>
          <w:p>
            <w:pPr>
              <w:spacing w:after="40" w:line="252" w:lineRule="auto"/>
            </w:pPr>
            <w:r>
              <w:rPr>
                <w:sz w:val="19"/>
              </w:rPr>
              <w:t>Execute named domain commands through one enforcement boundary. Generic status edits cannot impersonate a completed business action.</w:t>
            </w:r>
          </w:p>
        </w:tc>
      </w:tr>
      <w:tr>
        <w:trPr>
          <w:cantSplit/>
        </w:trPr>
        <w:tc>
          <w:tcPr>
            <w:tcW w:type="dxa" w:w="2305"/>
            <w:shd w:fill="FFFFFF"/>
            <w:vAlign w:val="center"/>
            <w:tcMar>
              <w:top w:w="80" w:type="dxa"/>
              <w:bottom w:w="80" w:type="dxa"/>
              <w:left w:w="90" w:type="dxa"/>
              <w:right w:w="90" w:type="dxa"/>
            </w:tcMar>
          </w:tcPr>
          <w:p>
            <w:pPr>
              <w:spacing w:after="40" w:line="252" w:lineRule="auto"/>
            </w:pPr>
            <w:r>
              <w:rPr>
                <w:sz w:val="19"/>
              </w:rPr>
              <w:t>History</w:t>
            </w:r>
          </w:p>
        </w:tc>
        <w:tc>
          <w:tcPr>
            <w:tcW w:type="dxa" w:w="7530"/>
            <w:shd w:fill="FFFFFF"/>
            <w:vAlign w:val="center"/>
            <w:tcMar>
              <w:top w:w="80" w:type="dxa"/>
              <w:bottom w:w="80" w:type="dxa"/>
              <w:left w:w="90" w:type="dxa"/>
              <w:right w:w="90" w:type="dxa"/>
            </w:tcMar>
          </w:tcPr>
          <w:p>
            <w:pPr>
              <w:spacing w:after="40" w:line="252" w:lineRule="auto"/>
            </w:pPr>
            <w:r>
              <w:rPr>
                <w:sz w:val="19"/>
              </w:rPr>
              <w:t>Keep effective memberships, explicit attempts, applicable policy versions and correction/reversal paths. Current access remains current.</w:t>
            </w:r>
          </w:p>
        </w:tc>
      </w:tr>
      <w:tr>
        <w:trPr>
          <w:cantSplit/>
        </w:trPr>
        <w:tc>
          <w:tcPr>
            <w:tcW w:type="dxa" w:w="2305"/>
            <w:shd w:fill="F3F6F8"/>
            <w:vAlign w:val="center"/>
            <w:tcMar>
              <w:top w:w="80" w:type="dxa"/>
              <w:bottom w:w="80" w:type="dxa"/>
              <w:left w:w="90" w:type="dxa"/>
              <w:right w:w="90" w:type="dxa"/>
            </w:tcMar>
          </w:tcPr>
          <w:p>
            <w:pPr>
              <w:spacing w:after="40" w:line="252" w:lineRule="auto"/>
            </w:pPr>
            <w:r>
              <w:rPr>
                <w:sz w:val="19"/>
              </w:rPr>
              <w:t>Extension</w:t>
            </w:r>
          </w:p>
        </w:tc>
        <w:tc>
          <w:tcPr>
            <w:tcW w:type="dxa" w:w="7530"/>
            <w:shd w:fill="F3F6F8"/>
            <w:vAlign w:val="center"/>
            <w:tcMar>
              <w:top w:w="80" w:type="dxa"/>
              <w:bottom w:w="80" w:type="dxa"/>
              <w:left w:w="90" w:type="dxa"/>
              <w:right w:w="90" w:type="dxa"/>
            </w:tcMar>
          </w:tcPr>
          <w:p>
            <w:pPr>
              <w:spacing w:after="40" w:line="252" w:lineRule="auto"/>
            </w:pPr>
            <w:r>
              <w:rPr>
                <w:sz w:val="19"/>
              </w:rPr>
              <w:t>Provide rich configuration inside supported modules and a registered module path for new semantics.</w:t>
            </w:r>
          </w:p>
        </w:tc>
      </w:tr>
      <w:tr>
        <w:trPr>
          <w:cantSplit/>
        </w:trPr>
        <w:tc>
          <w:tcPr>
            <w:tcW w:type="dxa" w:w="2305"/>
            <w:shd w:fill="FFFFFF"/>
            <w:vAlign w:val="center"/>
            <w:tcMar>
              <w:top w:w="80" w:type="dxa"/>
              <w:bottom w:w="80" w:type="dxa"/>
              <w:left w:w="90" w:type="dxa"/>
              <w:right w:w="90" w:type="dxa"/>
            </w:tcMar>
          </w:tcPr>
          <w:p>
            <w:pPr>
              <w:spacing w:after="40" w:line="252" w:lineRule="auto"/>
            </w:pPr>
            <w:r>
              <w:rPr>
                <w:sz w:val="19"/>
              </w:rPr>
              <w:t>Delivery</w:t>
            </w:r>
          </w:p>
        </w:tc>
        <w:tc>
          <w:tcPr>
            <w:tcW w:type="dxa" w:w="7530"/>
            <w:shd w:fill="FFFFFF"/>
            <w:vAlign w:val="center"/>
            <w:tcMar>
              <w:top w:w="80" w:type="dxa"/>
              <w:bottom w:w="80" w:type="dxa"/>
              <w:left w:w="90" w:type="dxa"/>
              <w:right w:w="90" w:type="dxa"/>
            </w:tcMar>
          </w:tcPr>
          <w:p>
            <w:pPr>
              <w:spacing w:after="40" w:line="252" w:lineRule="auto"/>
            </w:pPr>
            <w:r>
              <w:rPr>
                <w:sz w:val="19"/>
              </w:rPr>
              <w:t>Implement a complete useful vertical slice, starting with your parent-centred school attendance/status flow; retain college/coaching model fixtures from the start.</w:t>
            </w:r>
          </w:p>
        </w:tc>
      </w:tr>
    </w:tbl>
    <w:p>
      <w:pPr>
        <w:spacing w:after="20" w:before="0"/>
      </w:pPr>
    </w:p>
    <w:p>
      <w:r>
        <w:t>The original attendance and operations foundation is already present in OmniSchool. The next implementation sequence therefore begins with authority sources, offices, bodies, seats, appointments, standing mandates, reserved matters and one readable Who can decide what view. It then adds protected adoption and continuity, one complete collective-decision procedure, one bounded decision authorisation connected to a real domain command, and evidence-based implementation closure.</w:t>
      </w:r>
    </w:p>
    <w:p>
      <w:pPr>
        <w:pStyle w:val="Heading2"/>
      </w:pPr>
      <w:r>
        <w:t>OmniSchool adoption sequence</w:t>
      </w:r>
    </w:p>
    <w:p>
      <w:pPr>
        <w:pStyle w:val="ListNumber"/>
      </w:pPr>
      <w:r>
        <w:t>Foundation: record sources, current positions, appointments, mandates, decision routes and review issues.</w:t>
      </w:r>
    </w:p>
    <w:p>
      <w:pPr>
        <w:pStyle w:val="ListNumber"/>
      </w:pPr>
      <w:r>
        <w:t>Adoption: use the currently effective authority to confirm or amend governance; a draft cannot approve itself.</w:t>
      </w:r>
    </w:p>
    <w:p>
      <w:pPr>
        <w:pStyle w:val="ListNumber"/>
      </w:pPr>
      <w:r>
        <w:t>Collective decision: implement versioned proposals, eligibility, conflicts, quorum, threshold, resolution and certification as one supported procedure.</w:t>
      </w:r>
    </w:p>
    <w:p>
      <w:pPr>
        <w:pStyle w:val="ListNumber"/>
      </w:pPr>
      <w:r>
        <w:t>Execution: bind the adopted resolution to an exact domain command, target, limits, conditions and idempotent use.</w:t>
      </w:r>
    </w:p>
    <w:p>
      <w:pPr>
        <w:pStyle w:val="ListNumber"/>
      </w:pPr>
      <w:r>
        <w:t>Oversight: retain implementation owners, evidence, verification, obligations, expiry and corrective follow-up.</w:t>
      </w:r>
    </w:p>
    <w:p>
      <w:r>
        <w:t>Add the minimal governance foundation to that first slice: verified initial authority, the power to assign duties, current office appointments, standing operational mandates and authorised policy publication. Collective procedures can follow as supported capabilities, while the data model already preserves their authority boundary.</w:t>
      </w:r>
    </w:p>
    <w:p>
      <w:r>
        <w:br w:type="page"/>
      </w:r>
    </w:p>
    <w:p>
      <w:pPr>
        <w:pStyle w:val="Heading1"/>
      </w:pPr>
      <w:r>
        <w:t>Appendix A Reference record model</w:t>
      </w:r>
    </w:p>
    <w:p>
      <w:r>
        <w:t>This is a logical inventory, not a mandated database schema. Fields are illustrative and should be refined against the accepted capability contracts. Stable references, institutional ownership, revision information and audit metadata apply where relevant.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5"/>
        <w:gridCol w:w="4072"/>
        <w:gridCol w:w="3458"/>
      </w:tblGrid>
      <w:tr>
        <w:trPr>
          <w:tblHeader w:val="true"/>
          <w:cantSplit/>
        </w:trPr>
        <w:tc>
          <w:tcPr>
            <w:tcW w:type="dxa" w:w="2305"/>
            <w:shd w:fill="1D3A50"/>
            <w:vAlign w:val="center"/>
            <w:tcMar>
              <w:top w:w="80" w:type="dxa"/>
              <w:bottom w:w="80" w:type="dxa"/>
              <w:left w:w="90" w:type="dxa"/>
              <w:right w:w="90" w:type="dxa"/>
            </w:tcMar>
          </w:tcPr>
          <w:p>
            <w:pPr>
              <w:spacing w:after="40" w:line="252" w:lineRule="auto"/>
            </w:pPr>
            <w:r>
              <w:rPr>
                <w:b/>
                <w:color w:val="FFFFFF"/>
                <w:sz w:val="19"/>
              </w:rPr>
              <w:t>Record or family</w:t>
            </w:r>
          </w:p>
        </w:tc>
        <w:tc>
          <w:tcPr>
            <w:tcW w:type="dxa" w:w="4072"/>
            <w:shd w:fill="1D3A50"/>
            <w:vAlign w:val="center"/>
            <w:tcMar>
              <w:top w:w="80" w:type="dxa"/>
              <w:bottom w:w="80" w:type="dxa"/>
              <w:left w:w="90" w:type="dxa"/>
              <w:right w:w="90" w:type="dxa"/>
            </w:tcMar>
          </w:tcPr>
          <w:p>
            <w:pPr>
              <w:spacing w:after="40" w:line="252" w:lineRule="auto"/>
            </w:pPr>
            <w:r>
              <w:rPr>
                <w:b/>
                <w:color w:val="FFFFFF"/>
                <w:sz w:val="19"/>
              </w:rPr>
              <w:t>Essential information</w:t>
            </w:r>
          </w:p>
        </w:tc>
        <w:tc>
          <w:tcPr>
            <w:tcW w:type="dxa" w:w="3458"/>
            <w:shd w:fill="1D3A50"/>
            <w:vAlign w:val="center"/>
            <w:tcMar>
              <w:top w:w="80" w:type="dxa"/>
              <w:bottom w:w="80" w:type="dxa"/>
              <w:left w:w="90" w:type="dxa"/>
              <w:right w:w="90" w:type="dxa"/>
            </w:tcMar>
          </w:tcPr>
          <w:p>
            <w:pPr>
              <w:spacing w:after="40" w:line="252" w:lineRule="auto"/>
            </w:pPr>
            <w:r>
              <w:rPr>
                <w:b/>
                <w:color w:val="FFFFFF"/>
                <w:sz w:val="19"/>
              </w:rPr>
              <w:t>Relationship or constraint</w:t>
            </w:r>
          </w:p>
        </w:tc>
      </w:tr>
      <w:tr>
        <w:trPr>
          <w:cantSplit/>
        </w:trPr>
        <w:tc>
          <w:tcPr>
            <w:tcW w:type="dxa" w:w="2305"/>
            <w:shd w:fill="F3F6F8"/>
            <w:vAlign w:val="center"/>
            <w:tcMar>
              <w:top w:w="80" w:type="dxa"/>
              <w:bottom w:w="80" w:type="dxa"/>
              <w:left w:w="90" w:type="dxa"/>
              <w:right w:w="90" w:type="dxa"/>
            </w:tcMar>
          </w:tcPr>
          <w:p>
            <w:pPr>
              <w:spacing w:after="40" w:line="252" w:lineRule="auto"/>
            </w:pPr>
            <w:r>
              <w:rPr>
                <w:sz w:val="19"/>
              </w:rPr>
              <w:t>Institution / organisational unit</w:t>
            </w:r>
          </w:p>
        </w:tc>
        <w:tc>
          <w:tcPr>
            <w:tcW w:type="dxa" w:w="4072"/>
            <w:shd w:fill="F3F6F8"/>
            <w:vAlign w:val="center"/>
            <w:tcMar>
              <w:top w:w="80" w:type="dxa"/>
              <w:bottom w:w="80" w:type="dxa"/>
              <w:left w:w="90" w:type="dxa"/>
              <w:right w:w="90" w:type="dxa"/>
            </w:tcMar>
          </w:tcPr>
          <w:p>
            <w:pPr>
              <w:spacing w:after="40" w:line="252" w:lineRule="auto"/>
            </w:pPr>
            <w:r>
              <w:rPr>
                <w:sz w:val="19"/>
              </w:rPr>
              <w:t>Identity, owner, unit type, parent relation where meaningful, location and operating status.</w:t>
            </w:r>
          </w:p>
        </w:tc>
        <w:tc>
          <w:tcPr>
            <w:tcW w:type="dxa" w:w="3458"/>
            <w:shd w:fill="F3F6F8"/>
            <w:vAlign w:val="center"/>
            <w:tcMar>
              <w:top w:w="80" w:type="dxa"/>
              <w:bottom w:w="80" w:type="dxa"/>
              <w:left w:w="90" w:type="dxa"/>
              <w:right w:w="90" w:type="dxa"/>
            </w:tcMar>
          </w:tcPr>
          <w:p>
            <w:pPr>
              <w:spacing w:after="40" w:line="252" w:lineRule="auto"/>
            </w:pPr>
            <w:r>
              <w:rPr>
                <w:sz w:val="19"/>
              </w:rPr>
              <w:t>A unit hierarchy must not imply unrestricted access or merge distinct financial issuers.</w:t>
            </w:r>
          </w:p>
        </w:tc>
      </w:tr>
      <w:tr>
        <w:trPr>
          <w:cantSplit/>
        </w:trPr>
        <w:tc>
          <w:tcPr>
            <w:tcW w:type="dxa" w:w="2305"/>
            <w:shd w:fill="FFFFFF"/>
            <w:vAlign w:val="center"/>
            <w:tcMar>
              <w:top w:w="80" w:type="dxa"/>
              <w:bottom w:w="80" w:type="dxa"/>
              <w:left w:w="90" w:type="dxa"/>
              <w:right w:w="90" w:type="dxa"/>
            </w:tcMar>
          </w:tcPr>
          <w:p>
            <w:pPr>
              <w:spacing w:after="40" w:line="252" w:lineRule="auto"/>
            </w:pPr>
            <w:r>
              <w:rPr>
                <w:sz w:val="19"/>
              </w:rPr>
              <w:t>Person / account / membership</w:t>
            </w:r>
          </w:p>
        </w:tc>
        <w:tc>
          <w:tcPr>
            <w:tcW w:type="dxa" w:w="4072"/>
            <w:shd w:fill="FFFFFF"/>
            <w:vAlign w:val="center"/>
            <w:tcMar>
              <w:top w:w="80" w:type="dxa"/>
              <w:bottom w:w="80" w:type="dxa"/>
              <w:left w:w="90" w:type="dxa"/>
              <w:right w:w="90" w:type="dxa"/>
            </w:tcMar>
          </w:tcPr>
          <w:p>
            <w:pPr>
              <w:spacing w:after="40" w:line="252" w:lineRule="auto"/>
            </w:pPr>
            <w:r>
              <w:rPr>
                <w:sz w:val="19"/>
              </w:rPr>
              <w:t>Person identity, optional authenticated account, institution relation, capabilities of the membership, status and dates.</w:t>
            </w:r>
          </w:p>
        </w:tc>
        <w:tc>
          <w:tcPr>
            <w:tcW w:type="dxa" w:w="3458"/>
            <w:shd w:fill="FFFFFF"/>
            <w:vAlign w:val="center"/>
            <w:tcMar>
              <w:top w:w="80" w:type="dxa"/>
              <w:bottom w:w="80" w:type="dxa"/>
              <w:left w:w="90" w:type="dxa"/>
              <w:right w:w="90" w:type="dxa"/>
            </w:tcMar>
          </w:tcPr>
          <w:p>
            <w:pPr>
              <w:spacing w:after="40" w:line="252" w:lineRule="auto"/>
            </w:pPr>
            <w:r>
              <w:rPr>
                <w:sz w:val="19"/>
              </w:rPr>
              <w:t>Do not require a learner login; do not infer relationships from shared contact fields.</w:t>
            </w:r>
          </w:p>
        </w:tc>
      </w:tr>
      <w:tr>
        <w:trPr>
          <w:cantSplit/>
        </w:trPr>
        <w:tc>
          <w:tcPr>
            <w:tcW w:type="dxa" w:w="2305"/>
            <w:shd w:fill="F3F6F8"/>
            <w:vAlign w:val="center"/>
            <w:tcMar>
              <w:top w:w="80" w:type="dxa"/>
              <w:bottom w:w="80" w:type="dxa"/>
              <w:left w:w="90" w:type="dxa"/>
              <w:right w:w="90" w:type="dxa"/>
            </w:tcMar>
          </w:tcPr>
          <w:p>
            <w:pPr>
              <w:spacing w:after="40" w:line="252" w:lineRule="auto"/>
            </w:pPr>
            <w:r>
              <w:rPr>
                <w:sz w:val="19"/>
              </w:rPr>
              <w:t>Relationship</w:t>
            </w:r>
          </w:p>
        </w:tc>
        <w:tc>
          <w:tcPr>
            <w:tcW w:type="dxa" w:w="4072"/>
            <w:shd w:fill="F3F6F8"/>
            <w:vAlign w:val="center"/>
            <w:tcMar>
              <w:top w:w="80" w:type="dxa"/>
              <w:bottom w:w="80" w:type="dxa"/>
              <w:left w:w="90" w:type="dxa"/>
              <w:right w:w="90" w:type="dxa"/>
            </w:tcMar>
          </w:tcPr>
          <w:p>
            <w:pPr>
              <w:spacing w:after="40" w:line="252" w:lineRule="auto"/>
            </w:pPr>
            <w:r>
              <w:rPr>
                <w:sz w:val="19"/>
              </w:rPr>
              <w:t>Persons linked, relationship kind, verified authority, permitted actions and validity.</w:t>
            </w:r>
          </w:p>
        </w:tc>
        <w:tc>
          <w:tcPr>
            <w:tcW w:type="dxa" w:w="3458"/>
            <w:shd w:fill="F3F6F8"/>
            <w:vAlign w:val="center"/>
            <w:tcMar>
              <w:top w:w="80" w:type="dxa"/>
              <w:bottom w:w="80" w:type="dxa"/>
              <w:left w:w="90" w:type="dxa"/>
              <w:right w:w="90" w:type="dxa"/>
            </w:tcMar>
          </w:tcPr>
          <w:p>
            <w:pPr>
              <w:spacing w:after="40" w:line="252" w:lineRule="auto"/>
            </w:pPr>
            <w:r>
              <w:rPr>
                <w:sz w:val="19"/>
              </w:rPr>
              <w:t>Guardian, payer, representative and pickup powers are separate; adult learning can stand alone.</w:t>
            </w:r>
          </w:p>
        </w:tc>
      </w:tr>
      <w:tr>
        <w:trPr>
          <w:cantSplit/>
        </w:trPr>
        <w:tc>
          <w:tcPr>
            <w:tcW w:type="dxa" w:w="2305"/>
            <w:shd w:fill="FFFFFF"/>
            <w:vAlign w:val="center"/>
            <w:tcMar>
              <w:top w:w="80" w:type="dxa"/>
              <w:bottom w:w="80" w:type="dxa"/>
              <w:left w:w="90" w:type="dxa"/>
              <w:right w:w="90" w:type="dxa"/>
            </w:tcMar>
          </w:tcPr>
          <w:p>
            <w:pPr>
              <w:spacing w:after="40" w:line="252" w:lineRule="auto"/>
            </w:pPr>
            <w:r>
              <w:rPr>
                <w:sz w:val="19"/>
              </w:rPr>
              <w:t>Calendar / academic period</w:t>
            </w:r>
          </w:p>
        </w:tc>
        <w:tc>
          <w:tcPr>
            <w:tcW w:type="dxa" w:w="4072"/>
            <w:shd w:fill="FFFFFF"/>
            <w:vAlign w:val="center"/>
            <w:tcMar>
              <w:top w:w="80" w:type="dxa"/>
              <w:bottom w:w="80" w:type="dxa"/>
              <w:left w:w="90" w:type="dxa"/>
              <w:right w:w="90" w:type="dxa"/>
            </w:tcMar>
          </w:tcPr>
          <w:p>
            <w:pPr>
              <w:spacing w:after="40" w:line="252" w:lineRule="auto"/>
            </w:pPr>
            <w:r>
              <w:rPr>
                <w:sz w:val="19"/>
              </w:rPr>
              <w:t>Calendar, timezone, period type, interval, holidays and exceptions.</w:t>
            </w:r>
          </w:p>
        </w:tc>
        <w:tc>
          <w:tcPr>
            <w:tcW w:type="dxa" w:w="3458"/>
            <w:shd w:fill="FFFFFF"/>
            <w:vAlign w:val="center"/>
            <w:tcMar>
              <w:top w:w="80" w:type="dxa"/>
              <w:bottom w:w="80" w:type="dxa"/>
              <w:left w:w="90" w:type="dxa"/>
              <w:right w:w="90" w:type="dxa"/>
            </w:tcMar>
          </w:tcPr>
          <w:p>
            <w:pPr>
              <w:spacing w:after="40" w:line="252" w:lineRule="auto"/>
            </w:pPr>
            <w:r>
              <w:rPr>
                <w:sz w:val="19"/>
              </w:rPr>
              <w:t>Offerings bind the relevant calendar; an academic period is not a lesson session.</w:t>
            </w:r>
          </w:p>
        </w:tc>
      </w:tr>
      <w:tr>
        <w:trPr>
          <w:cantSplit/>
        </w:trPr>
        <w:tc>
          <w:tcPr>
            <w:tcW w:type="dxa" w:w="2305"/>
            <w:shd w:fill="F3F6F8"/>
            <w:vAlign w:val="center"/>
            <w:tcMar>
              <w:top w:w="80" w:type="dxa"/>
              <w:bottom w:w="80" w:type="dxa"/>
              <w:left w:w="90" w:type="dxa"/>
              <w:right w:w="90" w:type="dxa"/>
            </w:tcMar>
          </w:tcPr>
          <w:p>
            <w:pPr>
              <w:spacing w:after="40" w:line="252" w:lineRule="auto"/>
            </w:pPr>
            <w:r>
              <w:rPr>
                <w:sz w:val="19"/>
              </w:rPr>
              <w:t>Programme and curriculum version</w:t>
            </w:r>
          </w:p>
        </w:tc>
        <w:tc>
          <w:tcPr>
            <w:tcW w:type="dxa" w:w="4072"/>
            <w:shd w:fill="F3F6F8"/>
            <w:vAlign w:val="center"/>
            <w:tcMar>
              <w:top w:w="80" w:type="dxa"/>
              <w:bottom w:w="80" w:type="dxa"/>
              <w:left w:w="90" w:type="dxa"/>
              <w:right w:w="90" w:type="dxa"/>
            </w:tcMar>
          </w:tcPr>
          <w:p>
            <w:pPr>
              <w:spacing w:after="40" w:line="252" w:lineRule="auto"/>
            </w:pPr>
            <w:r>
              <w:rPr>
                <w:sz w:val="19"/>
              </w:rPr>
              <w:t>Programme identity, stages, compulsory/elective requirements, prerequisites, credit/counting rules and effective version.</w:t>
            </w:r>
          </w:p>
        </w:tc>
        <w:tc>
          <w:tcPr>
            <w:tcW w:type="dxa" w:w="3458"/>
            <w:shd w:fill="F3F6F8"/>
            <w:vAlign w:val="center"/>
            <w:tcMar>
              <w:top w:w="80" w:type="dxa"/>
              <w:bottom w:w="80" w:type="dxa"/>
              <w:left w:w="90" w:type="dxa"/>
              <w:right w:w="90" w:type="dxa"/>
            </w:tcMar>
          </w:tcPr>
          <w:p>
            <w:pPr>
              <w:spacing w:after="40" w:line="252" w:lineRule="auto"/>
            </w:pPr>
            <w:r>
              <w:rPr>
                <w:sz w:val="19"/>
              </w:rPr>
              <w:t>A learner’s programme enrolment identifies the applicable curriculum; approved exceptions remain recorded.</w:t>
            </w:r>
          </w:p>
        </w:tc>
      </w:tr>
      <w:tr>
        <w:trPr>
          <w:cantSplit/>
        </w:trPr>
        <w:tc>
          <w:tcPr>
            <w:tcW w:type="dxa" w:w="2305"/>
            <w:shd w:fill="FFFFFF"/>
            <w:vAlign w:val="center"/>
            <w:tcMar>
              <w:top w:w="80" w:type="dxa"/>
              <w:bottom w:w="80" w:type="dxa"/>
              <w:left w:w="90" w:type="dxa"/>
              <w:right w:w="90" w:type="dxa"/>
            </w:tcMar>
          </w:tcPr>
          <w:p>
            <w:pPr>
              <w:spacing w:after="40" w:line="252" w:lineRule="auto"/>
            </w:pPr>
            <w:r>
              <w:rPr>
                <w:sz w:val="19"/>
              </w:rPr>
              <w:t>Course definition and version</w:t>
            </w:r>
          </w:p>
        </w:tc>
        <w:tc>
          <w:tcPr>
            <w:tcW w:type="dxa" w:w="4072"/>
            <w:shd w:fill="FFFFFF"/>
            <w:vAlign w:val="center"/>
            <w:tcMar>
              <w:top w:w="80" w:type="dxa"/>
              <w:bottom w:w="80" w:type="dxa"/>
              <w:left w:w="90" w:type="dxa"/>
              <w:right w:w="90" w:type="dxa"/>
            </w:tcMar>
          </w:tcPr>
          <w:p>
            <w:pPr>
              <w:spacing w:after="40" w:line="252" w:lineRule="auto"/>
            </w:pPr>
            <w:r>
              <w:rPr>
                <w:sz w:val="19"/>
              </w:rPr>
              <w:t>Stable course identity/code, learning description, credits or outcomes where applicable, version and component structure.</w:t>
            </w:r>
          </w:p>
        </w:tc>
        <w:tc>
          <w:tcPr>
            <w:tcW w:type="dxa" w:w="3458"/>
            <w:shd w:fill="FFFFFF"/>
            <w:vAlign w:val="center"/>
            <w:tcMar>
              <w:top w:w="80" w:type="dxa"/>
              <w:bottom w:w="80" w:type="dxa"/>
              <w:left w:w="90" w:type="dxa"/>
              <w:right w:w="90" w:type="dxa"/>
            </w:tcMar>
          </w:tcPr>
          <w:p>
            <w:pPr>
              <w:spacing w:after="40" w:line="252" w:lineRule="auto"/>
            </w:pPr>
            <w:r>
              <w:rPr>
                <w:sz w:val="19"/>
              </w:rPr>
              <w:t>A definition can have many offerings; the same name does not make two versions identical.</w:t>
            </w:r>
          </w:p>
        </w:tc>
      </w:tr>
      <w:tr>
        <w:trPr>
          <w:cantSplit/>
        </w:trPr>
        <w:tc>
          <w:tcPr>
            <w:tcW w:type="dxa" w:w="2305"/>
            <w:shd w:fill="F3F6F8"/>
            <w:vAlign w:val="center"/>
            <w:tcMar>
              <w:top w:w="80" w:type="dxa"/>
              <w:bottom w:w="80" w:type="dxa"/>
              <w:left w:w="90" w:type="dxa"/>
              <w:right w:w="90" w:type="dxa"/>
            </w:tcMar>
          </w:tcPr>
          <w:p>
            <w:pPr>
              <w:spacing w:after="40" w:line="252" w:lineRule="auto"/>
            </w:pPr>
            <w:r>
              <w:rPr>
                <w:sz w:val="19"/>
              </w:rPr>
              <w:t>Programme run / course offering</w:t>
            </w:r>
          </w:p>
        </w:tc>
        <w:tc>
          <w:tcPr>
            <w:tcW w:type="dxa" w:w="4072"/>
            <w:shd w:fill="F3F6F8"/>
            <w:vAlign w:val="center"/>
            <w:tcMar>
              <w:top w:w="80" w:type="dxa"/>
              <w:bottom w:w="80" w:type="dxa"/>
              <w:left w:w="90" w:type="dxa"/>
              <w:right w:w="90" w:type="dxa"/>
            </w:tcMar>
          </w:tcPr>
          <w:p>
            <w:pPr>
              <w:spacing w:after="40" w:line="252" w:lineRule="auto"/>
            </w:pPr>
            <w:r>
              <w:rPr>
                <w:sz w:val="19"/>
              </w:rPr>
              <w:t>Definition version, institution, delivery pattern, applicable period/dates, capacity and policies.</w:t>
            </w:r>
          </w:p>
        </w:tc>
        <w:tc>
          <w:tcPr>
            <w:tcW w:type="dxa" w:w="3458"/>
            <w:shd w:fill="F3F6F8"/>
            <w:vAlign w:val="center"/>
            <w:tcMar>
              <w:top w:w="80" w:type="dxa"/>
              <w:bottom w:w="80" w:type="dxa"/>
              <w:left w:w="90" w:type="dxa"/>
              <w:right w:w="90" w:type="dxa"/>
            </w:tcMar>
          </w:tcPr>
          <w:p>
            <w:pPr>
              <w:spacing w:after="40" w:line="252" w:lineRule="auto"/>
            </w:pPr>
            <w:r>
              <w:rPr>
                <w:sz w:val="19"/>
              </w:rPr>
              <w:t>Programme run is optional for standalone delivery; offerings can be unscheduled or rolling.</w:t>
            </w:r>
          </w:p>
        </w:tc>
      </w:tr>
      <w:tr>
        <w:trPr>
          <w:cantSplit/>
        </w:trPr>
        <w:tc>
          <w:tcPr>
            <w:tcW w:type="dxa" w:w="2305"/>
            <w:shd w:fill="FFFFFF"/>
            <w:vAlign w:val="center"/>
            <w:tcMar>
              <w:top w:w="80" w:type="dxa"/>
              <w:bottom w:w="80" w:type="dxa"/>
              <w:left w:w="90" w:type="dxa"/>
              <w:right w:w="90" w:type="dxa"/>
            </w:tcMar>
          </w:tcPr>
          <w:p>
            <w:pPr>
              <w:spacing w:after="40" w:line="252" w:lineRule="auto"/>
            </w:pPr>
            <w:r>
              <w:rPr>
                <w:sz w:val="19"/>
              </w:rPr>
              <w:t>Administrative cohort</w:t>
            </w:r>
          </w:p>
        </w:tc>
        <w:tc>
          <w:tcPr>
            <w:tcW w:type="dxa" w:w="4072"/>
            <w:shd w:fill="FFFFFF"/>
            <w:vAlign w:val="center"/>
            <w:tcMar>
              <w:top w:w="80" w:type="dxa"/>
              <w:bottom w:w="80" w:type="dxa"/>
              <w:left w:w="90" w:type="dxa"/>
              <w:right w:w="90" w:type="dxa"/>
            </w:tcMar>
          </w:tcPr>
          <w:p>
            <w:pPr>
              <w:spacing w:after="40" w:line="252" w:lineRule="auto"/>
            </w:pPr>
            <w:r>
              <w:rPr>
                <w:sz w:val="19"/>
              </w:rPr>
              <w:t>Coordination purpose, institution, programme/intake/stage context where applicable and effective membership.</w:t>
            </w:r>
          </w:p>
        </w:tc>
        <w:tc>
          <w:tcPr>
            <w:tcW w:type="dxa" w:w="3458"/>
            <w:shd w:fill="FFFFFF"/>
            <w:vAlign w:val="center"/>
            <w:tcMar>
              <w:top w:w="80" w:type="dxa"/>
              <w:bottom w:w="80" w:type="dxa"/>
              <w:left w:w="90" w:type="dxa"/>
              <w:right w:w="90" w:type="dxa"/>
            </w:tcMar>
          </w:tcPr>
          <w:p>
            <w:pPr>
              <w:spacing w:after="40" w:line="252" w:lineRule="auto"/>
            </w:pPr>
            <w:r>
              <w:rPr>
                <w:sz w:val="19"/>
              </w:rPr>
              <w:t>Cohort is independent from teaching group and current semester/stage.</w:t>
            </w:r>
          </w:p>
        </w:tc>
      </w:tr>
      <w:tr>
        <w:trPr>
          <w:cantSplit/>
        </w:trPr>
        <w:tc>
          <w:tcPr>
            <w:tcW w:type="dxa" w:w="2305"/>
            <w:shd w:fill="F3F6F8"/>
            <w:vAlign w:val="center"/>
            <w:tcMar>
              <w:top w:w="80" w:type="dxa"/>
              <w:bottom w:w="80" w:type="dxa"/>
              <w:left w:w="90" w:type="dxa"/>
              <w:right w:w="90" w:type="dxa"/>
            </w:tcMar>
          </w:tcPr>
          <w:p>
            <w:pPr>
              <w:spacing w:after="40" w:line="252" w:lineRule="auto"/>
            </w:pPr>
            <w:r>
              <w:rPr>
                <w:sz w:val="19"/>
              </w:rPr>
              <w:t>Teaching group / component</w:t>
            </w:r>
          </w:p>
        </w:tc>
        <w:tc>
          <w:tcPr>
            <w:tcW w:type="dxa" w:w="4072"/>
            <w:shd w:fill="F3F6F8"/>
            <w:vAlign w:val="center"/>
            <w:tcMar>
              <w:top w:w="80" w:type="dxa"/>
              <w:bottom w:w="80" w:type="dxa"/>
              <w:left w:w="90" w:type="dxa"/>
              <w:right w:w="90" w:type="dxa"/>
            </w:tcMar>
          </w:tcPr>
          <w:p>
            <w:pPr>
              <w:spacing w:after="40" w:line="252" w:lineRule="auto"/>
            </w:pPr>
            <w:r>
              <w:rPr>
                <w:sz w:val="19"/>
              </w:rPr>
              <w:t>Offering or approved activity context, instructional purpose, delivery/component type and schedule pattern.</w:t>
            </w:r>
          </w:p>
        </w:tc>
        <w:tc>
          <w:tcPr>
            <w:tcW w:type="dxa" w:w="3458"/>
            <w:shd w:fill="F3F6F8"/>
            <w:vAlign w:val="center"/>
            <w:tcMar>
              <w:top w:w="80" w:type="dxa"/>
              <w:bottom w:w="80" w:type="dxa"/>
              <w:left w:w="90" w:type="dxa"/>
              <w:right w:w="90" w:type="dxa"/>
            </w:tcMar>
          </w:tcPr>
          <w:p>
            <w:pPr>
              <w:spacing w:after="40" w:line="252" w:lineRule="auto"/>
            </w:pPr>
            <w:r>
              <w:rPr>
                <w:sz w:val="19"/>
              </w:rPr>
              <w:t>One course may have lecture, tutorial and lab groups; typed activity groups do not grant general academic access.</w:t>
            </w:r>
          </w:p>
        </w:tc>
      </w:tr>
      <w:tr>
        <w:trPr>
          <w:cantSplit/>
        </w:trPr>
        <w:tc>
          <w:tcPr>
            <w:tcW w:type="dxa" w:w="2305"/>
            <w:shd w:fill="FFFFFF"/>
            <w:vAlign w:val="center"/>
            <w:tcMar>
              <w:top w:w="80" w:type="dxa"/>
              <w:bottom w:w="80" w:type="dxa"/>
              <w:left w:w="90" w:type="dxa"/>
              <w:right w:w="90" w:type="dxa"/>
            </w:tcMar>
          </w:tcPr>
          <w:p>
            <w:pPr>
              <w:spacing w:after="40" w:line="252" w:lineRule="auto"/>
            </w:pPr>
            <w:r>
              <w:rPr>
                <w:sz w:val="19"/>
              </w:rPr>
              <w:t>Programme enrolment</w:t>
            </w:r>
          </w:p>
        </w:tc>
        <w:tc>
          <w:tcPr>
            <w:tcW w:type="dxa" w:w="4072"/>
            <w:shd w:fill="FFFFFF"/>
            <w:vAlign w:val="center"/>
            <w:tcMar>
              <w:top w:w="80" w:type="dxa"/>
              <w:bottom w:w="80" w:type="dxa"/>
              <w:left w:w="90" w:type="dxa"/>
              <w:right w:w="90" w:type="dxa"/>
            </w:tcMar>
          </w:tcPr>
          <w:p>
            <w:pPr>
              <w:spacing w:after="40" w:line="252" w:lineRule="auto"/>
            </w:pPr>
            <w:r>
              <w:rPr>
                <w:sz w:val="19"/>
              </w:rPr>
              <w:t>Learner, programme, applicable curriculum version, optional programme run, dates, standing and progression context.</w:t>
            </w:r>
          </w:p>
        </w:tc>
        <w:tc>
          <w:tcPr>
            <w:tcW w:type="dxa" w:w="3458"/>
            <w:shd w:fill="FFFFFF"/>
            <w:vAlign w:val="center"/>
            <w:tcMar>
              <w:top w:w="80" w:type="dxa"/>
              <w:bottom w:w="80" w:type="dxa"/>
              <w:left w:w="90" w:type="dxa"/>
              <w:right w:w="90" w:type="dxa"/>
            </w:tcMar>
          </w:tcPr>
          <w:p>
            <w:pPr>
              <w:spacing w:after="40" w:line="252" w:lineRule="auto"/>
            </w:pPr>
            <w:r>
              <w:rPr>
                <w:sz w:val="19"/>
              </w:rPr>
              <w:t>Allow concurrent pathways; a course does not fulfil every programme merely because the learner is enrolled in them.</w:t>
            </w:r>
          </w:p>
        </w:tc>
      </w:tr>
      <w:tr>
        <w:trPr>
          <w:cantSplit/>
        </w:trPr>
        <w:tc>
          <w:tcPr>
            <w:tcW w:type="dxa" w:w="2305"/>
            <w:shd w:fill="F3F6F8"/>
            <w:vAlign w:val="center"/>
            <w:tcMar>
              <w:top w:w="80" w:type="dxa"/>
              <w:bottom w:w="80" w:type="dxa"/>
              <w:left w:w="90" w:type="dxa"/>
              <w:right w:w="90" w:type="dxa"/>
            </w:tcMar>
          </w:tcPr>
          <w:p>
            <w:pPr>
              <w:spacing w:after="40" w:line="252" w:lineRule="auto"/>
            </w:pPr>
            <w:r>
              <w:rPr>
                <w:sz w:val="19"/>
              </w:rPr>
              <w:t>Course registration</w:t>
            </w:r>
          </w:p>
        </w:tc>
        <w:tc>
          <w:tcPr>
            <w:tcW w:type="dxa" w:w="4072"/>
            <w:shd w:fill="F3F6F8"/>
            <w:vAlign w:val="center"/>
            <w:tcMar>
              <w:top w:w="80" w:type="dxa"/>
              <w:bottom w:w="80" w:type="dxa"/>
              <w:left w:w="90" w:type="dxa"/>
              <w:right w:w="90" w:type="dxa"/>
            </w:tcMar>
          </w:tcPr>
          <w:p>
            <w:pPr>
              <w:spacing w:after="40" w:line="252" w:lineRule="auto"/>
            </w:pPr>
            <w:r>
              <w:rPr>
                <w:sz w:val="19"/>
              </w:rPr>
              <w:t>Learner, course offering, dates, participation status, course-attempt context and eligibility decision.</w:t>
            </w:r>
          </w:p>
        </w:tc>
        <w:tc>
          <w:tcPr>
            <w:tcW w:type="dxa" w:w="3458"/>
            <w:shd w:fill="F3F6F8"/>
            <w:vAlign w:val="center"/>
            <w:tcMar>
              <w:top w:w="80" w:type="dxa"/>
              <w:bottom w:w="80" w:type="dxa"/>
              <w:left w:w="90" w:type="dxa"/>
              <w:right w:w="90" w:type="dxa"/>
            </w:tcMar>
          </w:tcPr>
          <w:p>
            <w:pPr>
              <w:spacing w:after="40" w:line="252" w:lineRule="auto"/>
            </w:pPr>
            <w:r>
              <w:rPr>
                <w:sz w:val="19"/>
              </w:rPr>
              <w:t>Can exist independently of a programme enrolment; group transfer need not be a course withdrawal.</w:t>
            </w:r>
          </w:p>
        </w:tc>
      </w:tr>
      <w:tr>
        <w:trPr>
          <w:cantSplit/>
        </w:trPr>
        <w:tc>
          <w:tcPr>
            <w:tcW w:type="dxa" w:w="2305"/>
            <w:shd w:fill="FFFFFF"/>
            <w:vAlign w:val="center"/>
            <w:tcMar>
              <w:top w:w="80" w:type="dxa"/>
              <w:bottom w:w="80" w:type="dxa"/>
              <w:left w:w="90" w:type="dxa"/>
              <w:right w:w="90" w:type="dxa"/>
            </w:tcMar>
          </w:tcPr>
          <w:p>
            <w:pPr>
              <w:spacing w:after="40" w:line="252" w:lineRule="auto"/>
            </w:pPr>
            <w:r>
              <w:rPr>
                <w:sz w:val="19"/>
              </w:rPr>
              <w:t>Group membership</w:t>
            </w:r>
          </w:p>
        </w:tc>
        <w:tc>
          <w:tcPr>
            <w:tcW w:type="dxa" w:w="4072"/>
            <w:shd w:fill="FFFFFF"/>
            <w:vAlign w:val="center"/>
            <w:tcMar>
              <w:top w:w="80" w:type="dxa"/>
              <w:bottom w:w="80" w:type="dxa"/>
              <w:left w:w="90" w:type="dxa"/>
              <w:right w:w="90" w:type="dxa"/>
            </w:tcMar>
          </w:tcPr>
          <w:p>
            <w:pPr>
              <w:spacing w:after="40" w:line="252" w:lineRule="auto"/>
            </w:pPr>
            <w:r>
              <w:rPr>
                <w:sz w:val="19"/>
              </w:rPr>
              <w:t>Person/registration, typed group, effective interval and origin.</w:t>
            </w:r>
          </w:p>
        </w:tc>
        <w:tc>
          <w:tcPr>
            <w:tcW w:type="dxa" w:w="3458"/>
            <w:shd w:fill="FFFFFF"/>
            <w:vAlign w:val="center"/>
            <w:tcMar>
              <w:top w:w="80" w:type="dxa"/>
              <w:bottom w:w="80" w:type="dxa"/>
              <w:left w:w="90" w:type="dxa"/>
              <w:right w:w="90" w:type="dxa"/>
            </w:tcMar>
          </w:tcPr>
          <w:p>
            <w:pPr>
              <w:spacing w:after="40" w:line="252" w:lineRule="auto"/>
            </w:pPr>
            <w:r>
              <w:rPr>
                <w:sz w:val="19"/>
              </w:rPr>
              <w:t>Past session membership remains reconstructible after a transfer.</w:t>
            </w:r>
          </w:p>
        </w:tc>
      </w:tr>
      <w:tr>
        <w:trPr>
          <w:cantSplit/>
        </w:trPr>
        <w:tc>
          <w:tcPr>
            <w:tcW w:type="dxa" w:w="2305"/>
            <w:shd w:fill="F3F6F8"/>
            <w:vAlign w:val="center"/>
            <w:tcMar>
              <w:top w:w="80" w:type="dxa"/>
              <w:bottom w:w="80" w:type="dxa"/>
              <w:left w:w="90" w:type="dxa"/>
              <w:right w:w="90" w:type="dxa"/>
            </w:tcMar>
          </w:tcPr>
          <w:p>
            <w:pPr>
              <w:spacing w:after="40" w:line="252" w:lineRule="auto"/>
            </w:pPr>
            <w:r>
              <w:rPr>
                <w:sz w:val="19"/>
              </w:rPr>
              <w:t>Resource / allocation</w:t>
            </w:r>
          </w:p>
        </w:tc>
        <w:tc>
          <w:tcPr>
            <w:tcW w:type="dxa" w:w="4072"/>
            <w:shd w:fill="F3F6F8"/>
            <w:vAlign w:val="center"/>
            <w:tcMar>
              <w:top w:w="80" w:type="dxa"/>
              <w:bottom w:w="80" w:type="dxa"/>
              <w:left w:w="90" w:type="dxa"/>
              <w:right w:w="90" w:type="dxa"/>
            </w:tcMar>
          </w:tcPr>
          <w:p>
            <w:pPr>
              <w:spacing w:after="40" w:line="252" w:lineRule="auto"/>
            </w:pPr>
            <w:r>
              <w:rPr>
                <w:sz w:val="19"/>
              </w:rPr>
              <w:t>Resource identity/type, capacity, location, availability; allocation context, interval and purpose.</w:t>
            </w:r>
          </w:p>
        </w:tc>
        <w:tc>
          <w:tcPr>
            <w:tcW w:type="dxa" w:w="3458"/>
            <w:shd w:fill="F3F6F8"/>
            <w:vAlign w:val="center"/>
            <w:tcMar>
              <w:top w:w="80" w:type="dxa"/>
              <w:bottom w:w="80" w:type="dxa"/>
              <w:left w:w="90" w:type="dxa"/>
              <w:right w:w="90" w:type="dxa"/>
            </w:tcMar>
          </w:tcPr>
          <w:p>
            <w:pPr>
              <w:spacing w:after="40" w:line="252" w:lineRule="auto"/>
            </w:pPr>
            <w:r>
              <w:rPr>
                <w:sz w:val="19"/>
              </w:rPr>
              <w:t>Bookings for different departments/events still consume the same resource availability.</w:t>
            </w:r>
          </w:p>
        </w:tc>
      </w:tr>
      <w:tr>
        <w:trPr>
          <w:cantSplit/>
        </w:trPr>
        <w:tc>
          <w:tcPr>
            <w:tcW w:type="dxa" w:w="2305"/>
            <w:shd w:fill="FFFFFF"/>
            <w:vAlign w:val="center"/>
            <w:tcMar>
              <w:top w:w="80" w:type="dxa"/>
              <w:bottom w:w="80" w:type="dxa"/>
              <w:left w:w="90" w:type="dxa"/>
              <w:right w:w="90" w:type="dxa"/>
            </w:tcMar>
          </w:tcPr>
          <w:p>
            <w:pPr>
              <w:spacing w:after="40" w:line="252" w:lineRule="auto"/>
            </w:pPr>
            <w:r>
              <w:rPr>
                <w:sz w:val="19"/>
              </w:rPr>
              <w:t>Session / event</w:t>
            </w:r>
          </w:p>
        </w:tc>
        <w:tc>
          <w:tcPr>
            <w:tcW w:type="dxa" w:w="4072"/>
            <w:shd w:fill="FFFFFF"/>
            <w:vAlign w:val="center"/>
            <w:tcMar>
              <w:top w:w="80" w:type="dxa"/>
              <w:bottom w:w="80" w:type="dxa"/>
              <w:left w:w="90" w:type="dxa"/>
              <w:right w:w="90" w:type="dxa"/>
            </w:tcMar>
          </w:tcPr>
          <w:p>
            <w:pPr>
              <w:spacing w:after="40" w:line="252" w:lineRule="auto"/>
            </w:pPr>
            <w:r>
              <w:rPr>
                <w:sz w:val="19"/>
              </w:rPr>
              <w:t>Occurrence identity, offering/group context if relevant, time, location, assigned staff, state and replacement links.</w:t>
            </w:r>
          </w:p>
        </w:tc>
        <w:tc>
          <w:tcPr>
            <w:tcW w:type="dxa" w:w="3458"/>
            <w:shd w:fill="FFFFFF"/>
            <w:vAlign w:val="center"/>
            <w:tcMar>
              <w:top w:w="80" w:type="dxa"/>
              <w:bottom w:w="80" w:type="dxa"/>
              <w:left w:w="90" w:type="dxa"/>
              <w:right w:w="90" w:type="dxa"/>
            </w:tcMar>
          </w:tcPr>
          <w:p>
            <w:pPr>
              <w:spacing w:after="40" w:line="252" w:lineRule="auto"/>
            </w:pPr>
            <w:r>
              <w:rPr>
                <w:sz w:val="19"/>
              </w:rPr>
              <w:t>Cancellations, substitutions and makeup sessions preserve distinct occurrence history.</w:t>
            </w:r>
          </w:p>
        </w:tc>
      </w:tr>
      <w:tr>
        <w:trPr>
          <w:cantSplit/>
        </w:trPr>
        <w:tc>
          <w:tcPr>
            <w:tcW w:type="dxa" w:w="2305"/>
            <w:shd w:fill="F3F6F8"/>
            <w:vAlign w:val="center"/>
            <w:tcMar>
              <w:top w:w="80" w:type="dxa"/>
              <w:bottom w:w="80" w:type="dxa"/>
              <w:left w:w="90" w:type="dxa"/>
              <w:right w:w="90" w:type="dxa"/>
            </w:tcMar>
          </w:tcPr>
          <w:p>
            <w:pPr>
              <w:spacing w:after="40" w:line="252" w:lineRule="auto"/>
            </w:pPr>
            <w:r>
              <w:rPr>
                <w:sz w:val="19"/>
              </w:rPr>
              <w:t>Role / responsibility template version</w:t>
            </w:r>
          </w:p>
        </w:tc>
        <w:tc>
          <w:tcPr>
            <w:tcW w:type="dxa" w:w="4072"/>
            <w:shd w:fill="F3F6F8"/>
            <w:vAlign w:val="center"/>
            <w:tcMar>
              <w:top w:w="80" w:type="dxa"/>
              <w:bottom w:w="80" w:type="dxa"/>
              <w:left w:w="90" w:type="dxa"/>
              <w:right w:w="90" w:type="dxa"/>
            </w:tcMar>
          </w:tcPr>
          <w:p>
            <w:pPr>
              <w:spacing w:after="40" w:line="252" w:lineRule="auto"/>
            </w:pPr>
            <w:r>
              <w:rPr>
                <w:sz w:val="19"/>
              </w:rPr>
              <w:t>Purpose, duty/output descriptions, permitted actions, scope types and relevant default conditions.</w:t>
            </w:r>
          </w:p>
        </w:tc>
        <w:tc>
          <w:tcPr>
            <w:tcW w:type="dxa" w:w="3458"/>
            <w:shd w:fill="F3F6F8"/>
            <w:vAlign w:val="center"/>
            <w:tcMar>
              <w:top w:w="80" w:type="dxa"/>
              <w:bottom w:w="80" w:type="dxa"/>
              <w:left w:w="90" w:type="dxa"/>
              <w:right w:w="90" w:type="dxa"/>
            </w:tcMar>
          </w:tcPr>
          <w:p>
            <w:pPr>
              <w:spacing w:after="40" w:line="252" w:lineRule="auto"/>
            </w:pPr>
            <w:r>
              <w:rPr>
                <w:sz w:val="19"/>
              </w:rPr>
              <w:t>No permanent person names or class IDs inside a reusable role definition.</w:t>
            </w:r>
          </w:p>
        </w:tc>
      </w:tr>
      <w:tr>
        <w:trPr>
          <w:cantSplit/>
        </w:trPr>
        <w:tc>
          <w:tcPr>
            <w:tcW w:type="dxa" w:w="2305"/>
            <w:shd w:fill="FFFFFF"/>
            <w:vAlign w:val="center"/>
            <w:tcMar>
              <w:top w:w="80" w:type="dxa"/>
              <w:bottom w:w="80" w:type="dxa"/>
              <w:left w:w="90" w:type="dxa"/>
              <w:right w:w="90" w:type="dxa"/>
            </w:tcMar>
          </w:tcPr>
          <w:p>
            <w:pPr>
              <w:spacing w:after="40" w:line="252" w:lineRule="auto"/>
            </w:pPr>
            <w:r>
              <w:rPr>
                <w:sz w:val="19"/>
              </w:rPr>
              <w:t>Work assignment / approval delegation</w:t>
            </w:r>
          </w:p>
        </w:tc>
        <w:tc>
          <w:tcPr>
            <w:tcW w:type="dxa" w:w="4072"/>
            <w:shd w:fill="FFFFFF"/>
            <w:vAlign w:val="center"/>
            <w:tcMar>
              <w:top w:w="80" w:type="dxa"/>
              <w:bottom w:w="80" w:type="dxa"/>
              <w:left w:w="90" w:type="dxa"/>
              <w:right w:w="90" w:type="dxa"/>
            </w:tcMar>
          </w:tcPr>
          <w:p>
            <w:pPr>
              <w:spacing w:after="40" w:line="252" w:lineRule="auto"/>
            </w:pPr>
            <w:r>
              <w:rPr>
                <w:sz w:val="19"/>
              </w:rPr>
              <w:t>Person, role version, institution, typed scope, dates, authoriser and narrower limits.</w:t>
            </w:r>
          </w:p>
        </w:tc>
        <w:tc>
          <w:tcPr>
            <w:tcW w:type="dxa" w:w="3458"/>
            <w:shd w:fill="FFFFFF"/>
            <w:vAlign w:val="center"/>
            <w:tcMar>
              <w:top w:w="80" w:type="dxa"/>
              <w:bottom w:w="80" w:type="dxa"/>
              <w:left w:w="90" w:type="dxa"/>
              <w:right w:w="90" w:type="dxa"/>
            </w:tcMar>
          </w:tcPr>
          <w:p>
            <w:pPr>
              <w:spacing w:after="40" w:line="252" w:lineRule="auto"/>
            </w:pPr>
            <w:r>
              <w:rPr>
                <w:sz w:val="19"/>
              </w:rPr>
              <w:t>Only explicitly granted actions; grant authority and execution authority are distinct.</w:t>
            </w:r>
          </w:p>
        </w:tc>
      </w:tr>
      <w:tr>
        <w:trPr>
          <w:cantSplit/>
        </w:trPr>
        <w:tc>
          <w:tcPr>
            <w:tcW w:type="dxa" w:w="2305"/>
            <w:shd w:fill="F3F6F8"/>
            <w:vAlign w:val="center"/>
            <w:tcMar>
              <w:top w:w="80" w:type="dxa"/>
              <w:bottom w:w="80" w:type="dxa"/>
              <w:left w:w="90" w:type="dxa"/>
              <w:right w:w="90" w:type="dxa"/>
            </w:tcMar>
          </w:tcPr>
          <w:p>
            <w:pPr>
              <w:spacing w:after="40" w:line="252" w:lineRule="auto"/>
            </w:pPr>
            <w:r>
              <w:rPr>
                <w:sz w:val="19"/>
              </w:rPr>
              <w:t>Policy definition / binding</w:t>
            </w:r>
          </w:p>
        </w:tc>
        <w:tc>
          <w:tcPr>
            <w:tcW w:type="dxa" w:w="4072"/>
            <w:shd w:fill="F3F6F8"/>
            <w:vAlign w:val="center"/>
            <w:tcMar>
              <w:top w:w="80" w:type="dxa"/>
              <w:bottom w:w="80" w:type="dxa"/>
              <w:left w:w="90" w:type="dxa"/>
              <w:right w:w="90" w:type="dxa"/>
            </w:tcMar>
          </w:tcPr>
          <w:p>
            <w:pPr>
              <w:spacing w:after="40" w:line="252" w:lineRule="auto"/>
            </w:pPr>
            <w:r>
              <w:rPr>
                <w:sz w:val="19"/>
              </w:rPr>
              <w:t>Typed expression or decision table, scope, source, version, resolution and override/exception semantics.</w:t>
            </w:r>
          </w:p>
        </w:tc>
        <w:tc>
          <w:tcPr>
            <w:tcW w:type="dxa" w:w="3458"/>
            <w:shd w:fill="F3F6F8"/>
            <w:vAlign w:val="center"/>
            <w:tcMar>
              <w:top w:w="80" w:type="dxa"/>
              <w:bottom w:w="80" w:type="dxa"/>
              <w:left w:w="90" w:type="dxa"/>
              <w:right w:w="90" w:type="dxa"/>
            </w:tcMar>
          </w:tcPr>
          <w:p>
            <w:pPr>
              <w:spacing w:after="40" w:line="252" w:lineRule="auto"/>
            </w:pPr>
            <w:r>
              <w:rPr>
                <w:sz w:val="19"/>
              </w:rPr>
              <w:t>A binding must have a deterministic effective meaning; unknown data does not imply permission.</w:t>
            </w:r>
          </w:p>
        </w:tc>
      </w:tr>
      <w:tr>
        <w:trPr>
          <w:cantSplit/>
        </w:trPr>
        <w:tc>
          <w:tcPr>
            <w:tcW w:type="dxa" w:w="2305"/>
            <w:shd w:fill="FFFFFF"/>
            <w:vAlign w:val="center"/>
            <w:tcMar>
              <w:top w:w="80" w:type="dxa"/>
              <w:bottom w:w="80" w:type="dxa"/>
              <w:left w:w="90" w:type="dxa"/>
              <w:right w:w="90" w:type="dxa"/>
            </w:tcMar>
          </w:tcPr>
          <w:p>
            <w:pPr>
              <w:spacing w:after="40" w:line="252" w:lineRule="auto"/>
            </w:pPr>
            <w:r>
              <w:rPr>
                <w:sz w:val="19"/>
              </w:rPr>
              <w:t>Workflow definition / instance / task</w:t>
            </w:r>
          </w:p>
        </w:tc>
        <w:tc>
          <w:tcPr>
            <w:tcW w:type="dxa" w:w="4072"/>
            <w:shd w:fill="FFFFFF"/>
            <w:vAlign w:val="center"/>
            <w:tcMar>
              <w:top w:w="80" w:type="dxa"/>
              <w:bottom w:w="80" w:type="dxa"/>
              <w:left w:w="90" w:type="dxa"/>
              <w:right w:w="90" w:type="dxa"/>
            </w:tcMar>
          </w:tcPr>
          <w:p>
            <w:pPr>
              <w:spacing w:after="40" w:line="252" w:lineRule="auto"/>
            </w:pPr>
            <w:r>
              <w:rPr>
                <w:sz w:val="19"/>
              </w:rPr>
              <w:t>Versioned states/transitions, command hooks, actor resolvers; current instance state, owner, deadline and history.</w:t>
            </w:r>
          </w:p>
        </w:tc>
        <w:tc>
          <w:tcPr>
            <w:tcW w:type="dxa" w:w="3458"/>
            <w:shd w:fill="FFFFFF"/>
            <w:vAlign w:val="center"/>
            <w:tcMar>
              <w:top w:w="80" w:type="dxa"/>
              <w:bottom w:w="80" w:type="dxa"/>
              <w:left w:w="90" w:type="dxa"/>
              <w:right w:w="90" w:type="dxa"/>
            </w:tcMar>
          </w:tcPr>
          <w:p>
            <w:pPr>
              <w:spacing w:after="40" w:line="252" w:lineRule="auto"/>
            </w:pPr>
            <w:r>
              <w:rPr>
                <w:sz w:val="19"/>
              </w:rPr>
              <w:t>Task assignment does not confer authority; a workflow version is not a permanent authorisation grant.</w:t>
            </w:r>
          </w:p>
        </w:tc>
      </w:tr>
      <w:tr>
        <w:trPr>
          <w:cantSplit/>
        </w:trPr>
        <w:tc>
          <w:tcPr>
            <w:tcW w:type="dxa" w:w="2305"/>
            <w:shd w:fill="F3F6F8"/>
            <w:vAlign w:val="center"/>
            <w:tcMar>
              <w:top w:w="80" w:type="dxa"/>
              <w:bottom w:w="80" w:type="dxa"/>
              <w:left w:w="90" w:type="dxa"/>
              <w:right w:w="90" w:type="dxa"/>
            </w:tcMar>
          </w:tcPr>
          <w:p>
            <w:pPr>
              <w:spacing w:after="40" w:line="252" w:lineRule="auto"/>
            </w:pPr>
            <w:r>
              <w:rPr>
                <w:sz w:val="19"/>
              </w:rPr>
              <w:t>Decision / evidence / audit event</w:t>
            </w:r>
          </w:p>
        </w:tc>
        <w:tc>
          <w:tcPr>
            <w:tcW w:type="dxa" w:w="4072"/>
            <w:shd w:fill="F3F6F8"/>
            <w:vAlign w:val="center"/>
            <w:tcMar>
              <w:top w:w="80" w:type="dxa"/>
              <w:bottom w:w="80" w:type="dxa"/>
              <w:left w:w="90" w:type="dxa"/>
              <w:right w:w="90" w:type="dxa"/>
            </w:tcMar>
          </w:tcPr>
          <w:p>
            <w:pPr>
              <w:spacing w:after="40" w:line="252" w:lineRule="auto"/>
            </w:pPr>
            <w:r>
              <w:rPr>
                <w:sz w:val="19"/>
              </w:rPr>
              <w:t>Actor, context, source/time, request version, material inputs, decision, reason and relevant evidence references.</w:t>
            </w:r>
          </w:p>
        </w:tc>
        <w:tc>
          <w:tcPr>
            <w:tcW w:type="dxa" w:w="3458"/>
            <w:shd w:fill="F3F6F8"/>
            <w:vAlign w:val="center"/>
            <w:tcMar>
              <w:top w:w="80" w:type="dxa"/>
              <w:bottom w:w="80" w:type="dxa"/>
              <w:left w:w="90" w:type="dxa"/>
              <w:right w:w="90" w:type="dxa"/>
            </w:tcMar>
          </w:tcPr>
          <w:p>
            <w:pPr>
              <w:spacing w:after="40" w:line="252" w:lineRule="auto"/>
            </w:pPr>
            <w:r>
              <w:rPr>
                <w:sz w:val="19"/>
              </w:rPr>
              <w:t>Restrict audit/evidence fields too; do not copy full private notes or secrets into general logs.</w:t>
            </w:r>
          </w:p>
        </w:tc>
      </w:tr>
      <w:tr>
        <w:trPr>
          <w:cantSplit/>
        </w:trPr>
        <w:tc>
          <w:tcPr>
            <w:tcW w:type="dxa" w:w="2305"/>
            <w:shd w:fill="FFFFFF"/>
            <w:vAlign w:val="center"/>
            <w:tcMar>
              <w:top w:w="80" w:type="dxa"/>
              <w:bottom w:w="80" w:type="dxa"/>
              <w:left w:w="90" w:type="dxa"/>
              <w:right w:w="90" w:type="dxa"/>
            </w:tcMar>
          </w:tcPr>
          <w:p>
            <w:pPr>
              <w:spacing w:after="40" w:line="252" w:lineRule="auto"/>
            </w:pPr>
            <w:r>
              <w:rPr>
                <w:sz w:val="19"/>
              </w:rPr>
              <w:t>Configuration release / module installation</w:t>
            </w:r>
          </w:p>
        </w:tc>
        <w:tc>
          <w:tcPr>
            <w:tcW w:type="dxa" w:w="4072"/>
            <w:shd w:fill="FFFFFF"/>
            <w:vAlign w:val="center"/>
            <w:tcMar>
              <w:top w:w="80" w:type="dxa"/>
              <w:bottom w:w="80" w:type="dxa"/>
              <w:left w:w="90" w:type="dxa"/>
              <w:right w:w="90" w:type="dxa"/>
            </w:tcMar>
          </w:tcPr>
          <w:p>
            <w:pPr>
              <w:spacing w:after="40" w:line="252" w:lineRule="auto"/>
            </w:pPr>
            <w:r>
              <w:rPr>
                <w:sz w:val="19"/>
              </w:rPr>
              <w:t>Module versions, schema references, effective bindings, published status, migration plan and impact.</w:t>
            </w:r>
          </w:p>
        </w:tc>
        <w:tc>
          <w:tcPr>
            <w:tcW w:type="dxa" w:w="3458"/>
            <w:shd w:fill="FFFFFF"/>
            <w:vAlign w:val="center"/>
            <w:tcMar>
              <w:top w:w="80" w:type="dxa"/>
              <w:bottom w:w="80" w:type="dxa"/>
              <w:left w:w="90" w:type="dxa"/>
              <w:right w:w="90" w:type="dxa"/>
            </w:tcMar>
          </w:tcPr>
          <w:p>
            <w:pPr>
              <w:spacing w:after="40" w:line="252" w:lineRule="auto"/>
            </w:pPr>
            <w:r>
              <w:rPr>
                <w:sz w:val="19"/>
              </w:rPr>
              <w:t>Retirement preserves historical references and handles live dependencies.</w:t>
            </w:r>
          </w:p>
        </w:tc>
      </w:tr>
      <w:tr>
        <w:trPr>
          <w:cantSplit/>
        </w:trPr>
        <w:tc>
          <w:tcPr>
            <w:tcW w:type="dxa" w:w="2305"/>
            <w:shd w:fill="F3F6F8"/>
            <w:vAlign w:val="center"/>
            <w:tcMar>
              <w:top w:w="80" w:type="dxa"/>
              <w:bottom w:w="80" w:type="dxa"/>
              <w:left w:w="90" w:type="dxa"/>
              <w:right w:w="90" w:type="dxa"/>
            </w:tcMar>
          </w:tcPr>
          <w:p>
            <w:pPr>
              <w:spacing w:after="40" w:line="252" w:lineRule="auto"/>
            </w:pPr>
            <w:r>
              <w:rPr>
                <w:sz w:val="19"/>
              </w:rPr>
              <w:t>Assessment and achievement records</w:t>
            </w:r>
          </w:p>
        </w:tc>
        <w:tc>
          <w:tcPr>
            <w:tcW w:type="dxa" w:w="4072"/>
            <w:shd w:fill="F3F6F8"/>
            <w:vAlign w:val="center"/>
            <w:tcMar>
              <w:top w:w="80" w:type="dxa"/>
              <w:bottom w:w="80" w:type="dxa"/>
              <w:left w:w="90" w:type="dxa"/>
              <w:right w:w="90" w:type="dxa"/>
            </w:tcMar>
          </w:tcPr>
          <w:p>
            <w:pPr>
              <w:spacing w:after="40" w:line="252" w:lineRule="auto"/>
            </w:pPr>
            <w:r>
              <w:rPr>
                <w:sz w:val="19"/>
              </w:rPr>
              <w:t>Assessment definition, delivery, attempt, raw evidence, outcome scheme, calculation and publication versions.</w:t>
            </w:r>
          </w:p>
        </w:tc>
        <w:tc>
          <w:tcPr>
            <w:tcW w:type="dxa" w:w="3458"/>
            <w:shd w:fill="F3F6F8"/>
            <w:vAlign w:val="center"/>
            <w:tcMar>
              <w:top w:w="80" w:type="dxa"/>
              <w:bottom w:w="80" w:type="dxa"/>
              <w:left w:w="90" w:type="dxa"/>
              <w:right w:w="90" w:type="dxa"/>
            </w:tcMar>
          </w:tcPr>
          <w:p>
            <w:pPr>
              <w:spacing w:after="40" w:line="252" w:lineRule="auto"/>
            </w:pPr>
            <w:r>
              <w:rPr>
                <w:sz w:val="19"/>
              </w:rPr>
              <w:t>A repeated course, supplementary exam and corrected score remain distinguishable.</w:t>
            </w:r>
          </w:p>
        </w:tc>
      </w:tr>
      <w:tr>
        <w:trPr>
          <w:cantSplit/>
        </w:trPr>
        <w:tc>
          <w:tcPr>
            <w:tcW w:type="dxa" w:w="2305"/>
            <w:shd w:fill="FFFFFF"/>
            <w:vAlign w:val="center"/>
            <w:tcMar>
              <w:top w:w="80" w:type="dxa"/>
              <w:bottom w:w="80" w:type="dxa"/>
              <w:left w:w="90" w:type="dxa"/>
              <w:right w:w="90" w:type="dxa"/>
            </w:tcMar>
          </w:tcPr>
          <w:p>
            <w:pPr>
              <w:spacing w:after="40" w:line="252" w:lineRule="auto"/>
            </w:pPr>
            <w:r>
              <w:rPr>
                <w:sz w:val="19"/>
              </w:rPr>
              <w:t>Assessment participation / eligibility</w:t>
            </w:r>
          </w:p>
        </w:tc>
        <w:tc>
          <w:tcPr>
            <w:tcW w:type="dxa" w:w="4072"/>
            <w:shd w:fill="FFFFFF"/>
            <w:vAlign w:val="center"/>
            <w:tcMar>
              <w:top w:w="80" w:type="dxa"/>
              <w:bottom w:w="80" w:type="dxa"/>
              <w:left w:w="90" w:type="dxa"/>
              <w:right w:w="90" w:type="dxa"/>
            </w:tcMar>
          </w:tcPr>
          <w:p>
            <w:pPr>
              <w:spacing w:after="40" w:line="252" w:lineRule="auto"/>
            </w:pPr>
            <w:r>
              <w:rPr>
                <w:sz w:val="19"/>
              </w:rPr>
              <w:t>Learner, assessment context, qualifying entitlement or reassessment authority, optional original attempt/registration reference and validity.</w:t>
            </w:r>
          </w:p>
        </w:tc>
        <w:tc>
          <w:tcPr>
            <w:tcW w:type="dxa" w:w="3458"/>
            <w:shd w:fill="FFFFFF"/>
            <w:vAlign w:val="center"/>
            <w:tcMar>
              <w:top w:w="80" w:type="dxa"/>
              <w:bottom w:w="80" w:type="dxa"/>
              <w:left w:w="90" w:type="dxa"/>
              <w:right w:w="90" w:type="dxa"/>
            </w:tcMar>
          </w:tcPr>
          <w:p>
            <w:pPr>
              <w:spacing w:after="40" w:line="252" w:lineRule="auto"/>
            </w:pPr>
            <w:r>
              <w:rPr>
                <w:sz w:val="19"/>
              </w:rPr>
              <w:t>A test or supplementary examination need not require an active teaching registration or fictional class.</w:t>
            </w:r>
          </w:p>
        </w:tc>
      </w:tr>
      <w:tr>
        <w:trPr>
          <w:cantSplit/>
        </w:trPr>
        <w:tc>
          <w:tcPr>
            <w:tcW w:type="dxa" w:w="2305"/>
            <w:shd w:fill="F3F6F8"/>
            <w:vAlign w:val="center"/>
            <w:tcMar>
              <w:top w:w="80" w:type="dxa"/>
              <w:bottom w:w="80" w:type="dxa"/>
              <w:left w:w="90" w:type="dxa"/>
              <w:right w:w="90" w:type="dxa"/>
            </w:tcMar>
          </w:tcPr>
          <w:p>
            <w:pPr>
              <w:spacing w:after="40" w:line="252" w:lineRule="auto"/>
            </w:pPr>
            <w:r>
              <w:rPr>
                <w:sz w:val="19"/>
              </w:rPr>
              <w:t>Achievement / requirement fulfilment</w:t>
            </w:r>
          </w:p>
        </w:tc>
        <w:tc>
          <w:tcPr>
            <w:tcW w:type="dxa" w:w="4072"/>
            <w:shd w:fill="F3F6F8"/>
            <w:vAlign w:val="center"/>
            <w:tcMar>
              <w:top w:w="80" w:type="dxa"/>
              <w:bottom w:w="80" w:type="dxa"/>
              <w:left w:w="90" w:type="dxa"/>
              <w:right w:w="90" w:type="dxa"/>
            </w:tcMar>
          </w:tcPr>
          <w:p>
            <w:pPr>
              <w:spacing w:after="40" w:line="252" w:lineRule="auto"/>
            </w:pPr>
            <w:r>
              <w:rPr>
                <w:sz w:val="19"/>
              </w:rPr>
              <w:t>Recognised result reference, programme enrolment, requirement, credited contribution and counting-policy version.</w:t>
            </w:r>
          </w:p>
        </w:tc>
        <w:tc>
          <w:tcPr>
            <w:tcW w:type="dxa" w:w="3458"/>
            <w:shd w:fill="F3F6F8"/>
            <w:vAlign w:val="center"/>
            <w:tcMar>
              <w:top w:w="80" w:type="dxa"/>
              <w:bottom w:w="80" w:type="dxa"/>
              <w:left w:w="90" w:type="dxa"/>
              <w:right w:w="90" w:type="dxa"/>
            </w:tcMar>
          </w:tcPr>
          <w:p>
            <w:pPr>
              <w:spacing w:after="40" w:line="252" w:lineRule="auto"/>
            </w:pPr>
            <w:r>
              <w:rPr>
                <w:sz w:val="19"/>
              </w:rPr>
              <w:t>Count an outcome against each applicable curriculum explicitly; enforce reuse and double-counting rules without duplicating the result.</w:t>
            </w:r>
          </w:p>
        </w:tc>
      </w:tr>
      <w:tr>
        <w:trPr>
          <w:cantSplit/>
        </w:trPr>
        <w:tc>
          <w:tcPr>
            <w:tcW w:type="dxa" w:w="2305"/>
            <w:shd w:fill="FFFFFF"/>
            <w:vAlign w:val="center"/>
            <w:tcMar>
              <w:top w:w="80" w:type="dxa"/>
              <w:bottom w:w="80" w:type="dxa"/>
              <w:left w:w="90" w:type="dxa"/>
              <w:right w:w="90" w:type="dxa"/>
            </w:tcMar>
          </w:tcPr>
          <w:p>
            <w:pPr>
              <w:spacing w:after="40" w:line="252" w:lineRule="auto"/>
            </w:pPr>
            <w:r>
              <w:rPr>
                <w:sz w:val="19"/>
              </w:rPr>
              <w:t>Attendance context</w:t>
            </w:r>
          </w:p>
        </w:tc>
        <w:tc>
          <w:tcPr>
            <w:tcW w:type="dxa" w:w="4072"/>
            <w:shd w:fill="FFFFFF"/>
            <w:vAlign w:val="center"/>
            <w:tcMar>
              <w:top w:w="80" w:type="dxa"/>
              <w:bottom w:w="80" w:type="dxa"/>
              <w:left w:w="90" w:type="dxa"/>
              <w:right w:w="90" w:type="dxa"/>
            </w:tcMar>
          </w:tcPr>
          <w:p>
            <w:pPr>
              <w:spacing w:after="40" w:line="252" w:lineRule="auto"/>
            </w:pPr>
            <w:r>
              <w:rPr>
                <w:sz w:val="19"/>
              </w:rPr>
              <w:t>Observation type, cohort/session/gate/trip target, calendar binding, expected-roster rule and applicable attendance policy.</w:t>
            </w:r>
          </w:p>
        </w:tc>
        <w:tc>
          <w:tcPr>
            <w:tcW w:type="dxa" w:w="3458"/>
            <w:shd w:fill="FFFFFF"/>
            <w:vAlign w:val="center"/>
            <w:tcMar>
              <w:top w:w="80" w:type="dxa"/>
              <w:bottom w:w="80" w:type="dxa"/>
              <w:left w:w="90" w:type="dxa"/>
              <w:right w:w="90" w:type="dxa"/>
            </w:tcMar>
          </w:tcPr>
          <w:p>
            <w:pPr>
              <w:spacing w:after="40" w:line="252" w:lineRule="auto"/>
            </w:pPr>
            <w:r>
              <w:rPr>
                <w:sz w:val="19"/>
              </w:rPr>
              <w:t>Daily cohort attendance can operate without subject offerings; different evidence contexts remain distinct.</w:t>
            </w:r>
          </w:p>
        </w:tc>
      </w:tr>
      <w:tr>
        <w:trPr>
          <w:cantSplit/>
        </w:trPr>
        <w:tc>
          <w:tcPr>
            <w:tcW w:type="dxa" w:w="2305"/>
            <w:shd w:fill="F3F6F8"/>
            <w:vAlign w:val="center"/>
            <w:tcMar>
              <w:top w:w="80" w:type="dxa"/>
              <w:bottom w:w="80" w:type="dxa"/>
              <w:left w:w="90" w:type="dxa"/>
              <w:right w:w="90" w:type="dxa"/>
            </w:tcMar>
          </w:tcPr>
          <w:p>
            <w:pPr>
              <w:spacing w:after="40" w:line="252" w:lineRule="auto"/>
            </w:pPr>
            <w:r>
              <w:rPr>
                <w:sz w:val="19"/>
              </w:rPr>
              <w:t>Commercial agreement / entitlement</w:t>
            </w:r>
          </w:p>
        </w:tc>
        <w:tc>
          <w:tcPr>
            <w:tcW w:type="dxa" w:w="4072"/>
            <w:shd w:fill="F3F6F8"/>
            <w:vAlign w:val="center"/>
            <w:tcMar>
              <w:top w:w="80" w:type="dxa"/>
              <w:bottom w:w="80" w:type="dxa"/>
              <w:left w:w="90" w:type="dxa"/>
              <w:right w:w="90" w:type="dxa"/>
            </w:tcMar>
          </w:tcPr>
          <w:p>
            <w:pPr>
              <w:spacing w:after="40" w:line="252" w:lineRule="auto"/>
            </w:pPr>
            <w:r>
              <w:rPr>
                <w:sz w:val="19"/>
              </w:rPr>
              <w:t>Product/bundle version, parties, validity and granted learning/service rights.</w:t>
            </w:r>
          </w:p>
        </w:tc>
        <w:tc>
          <w:tcPr>
            <w:tcW w:type="dxa" w:w="3458"/>
            <w:shd w:fill="F3F6F8"/>
            <w:vAlign w:val="center"/>
            <w:tcMar>
              <w:top w:w="80" w:type="dxa"/>
              <w:bottom w:w="80" w:type="dxa"/>
              <w:left w:w="90" w:type="dxa"/>
              <w:right w:w="90" w:type="dxa"/>
            </w:tcMar>
          </w:tcPr>
          <w:p>
            <w:pPr>
              <w:spacing w:after="40" w:line="252" w:lineRule="auto"/>
            </w:pPr>
            <w:r>
              <w:rPr>
                <w:sz w:val="19"/>
              </w:rPr>
              <w:t>A payment is not the entitlement itself; trials, scholarships and sponsors are supported explicitly.</w:t>
            </w:r>
          </w:p>
        </w:tc>
      </w:tr>
      <w:tr>
        <w:trPr>
          <w:cantSplit/>
        </w:trPr>
        <w:tc>
          <w:tcPr>
            <w:tcW w:type="dxa" w:w="2305"/>
            <w:shd w:fill="FFFFFF"/>
            <w:vAlign w:val="center"/>
            <w:tcMar>
              <w:top w:w="80" w:type="dxa"/>
              <w:bottom w:w="80" w:type="dxa"/>
              <w:left w:w="90" w:type="dxa"/>
              <w:right w:w="90" w:type="dxa"/>
            </w:tcMar>
          </w:tcPr>
          <w:p>
            <w:pPr>
              <w:spacing w:after="40" w:line="252" w:lineRule="auto"/>
            </w:pPr>
            <w:r>
              <w:rPr>
                <w:sz w:val="19"/>
              </w:rPr>
              <w:t>Finance records</w:t>
            </w:r>
          </w:p>
        </w:tc>
        <w:tc>
          <w:tcPr>
            <w:tcW w:type="dxa" w:w="4072"/>
            <w:shd w:fill="FFFFFF"/>
            <w:vAlign w:val="center"/>
            <w:tcMar>
              <w:top w:w="80" w:type="dxa"/>
              <w:bottom w:w="80" w:type="dxa"/>
              <w:left w:w="90" w:type="dxa"/>
              <w:right w:w="90" w:type="dxa"/>
            </w:tcMar>
          </w:tcPr>
          <w:p>
            <w:pPr>
              <w:spacing w:after="40" w:line="252" w:lineRule="auto"/>
            </w:pPr>
            <w:r>
              <w:rPr>
                <w:sz w:val="19"/>
              </w:rPr>
              <w:t>Issuer, account, currency, charge/invoice, payment, allocation, adjustment/refund and approval references.</w:t>
            </w:r>
          </w:p>
        </w:tc>
        <w:tc>
          <w:tcPr>
            <w:tcW w:type="dxa" w:w="3458"/>
            <w:shd w:fill="FFFFFF"/>
            <w:vAlign w:val="center"/>
            <w:tcMar>
              <w:top w:w="80" w:type="dxa"/>
              <w:bottom w:w="80" w:type="dxa"/>
              <w:left w:w="90" w:type="dxa"/>
              <w:right w:w="90" w:type="dxa"/>
            </w:tcMar>
          </w:tcPr>
          <w:p>
            <w:pPr>
              <w:spacing w:after="40" w:line="252" w:lineRule="auto"/>
            </w:pPr>
            <w:r>
              <w:rPr>
                <w:sz w:val="19"/>
              </w:rPr>
              <w:t>Use precise monetary representation and protected posting/reversal semantics; applicable accounting requirements belong to the finance module.</w:t>
            </w:r>
          </w:p>
        </w:tc>
      </w:tr>
      <w:tr>
        <w:trPr>
          <w:cantSplit/>
        </w:trPr>
        <w:tc>
          <w:tcPr>
            <w:tcW w:type="dxa" w:w="2305"/>
            <w:shd w:fill="F3F6F8"/>
            <w:vAlign w:val="center"/>
            <w:tcMar>
              <w:top w:w="80" w:type="dxa"/>
              <w:bottom w:w="80" w:type="dxa"/>
              <w:left w:w="90" w:type="dxa"/>
              <w:right w:w="90" w:type="dxa"/>
            </w:tcMar>
          </w:tcPr>
          <w:p>
            <w:pPr>
              <w:spacing w:after="40" w:line="252" w:lineRule="auto"/>
            </w:pPr>
            <w:r>
              <w:rPr>
                <w:sz w:val="19"/>
              </w:rPr>
              <w:t>Service records</w:t>
            </w:r>
          </w:p>
        </w:tc>
        <w:tc>
          <w:tcPr>
            <w:tcW w:type="dxa" w:w="4072"/>
            <w:shd w:fill="F3F6F8"/>
            <w:vAlign w:val="center"/>
            <w:tcMar>
              <w:top w:w="80" w:type="dxa"/>
              <w:bottom w:w="80" w:type="dxa"/>
              <w:left w:w="90" w:type="dxa"/>
              <w:right w:w="90" w:type="dxa"/>
            </w:tcMar>
          </w:tcPr>
          <w:p>
            <w:pPr>
              <w:spacing w:after="40" w:line="252" w:lineRule="auto"/>
            </w:pPr>
            <w:r>
              <w:rPr>
                <w:sz w:val="19"/>
              </w:rPr>
              <w:t>Transport trips, residential allocations, loans, meals or professional cases with their own scope and lifecycle.</w:t>
            </w:r>
          </w:p>
        </w:tc>
        <w:tc>
          <w:tcPr>
            <w:tcW w:type="dxa" w:w="3458"/>
            <w:shd w:fill="F3F6F8"/>
            <w:vAlign w:val="center"/>
            <w:tcMar>
              <w:top w:w="80" w:type="dxa"/>
              <w:bottom w:w="80" w:type="dxa"/>
              <w:left w:w="90" w:type="dxa"/>
              <w:right w:w="90" w:type="dxa"/>
            </w:tcMar>
          </w:tcPr>
          <w:p>
            <w:pPr>
              <w:spacing w:after="40" w:line="252" w:lineRule="auto"/>
            </w:pPr>
            <w:r>
              <w:rPr>
                <w:sz w:val="19"/>
              </w:rPr>
              <w:t>Service status does not redefine academic enrolment; private case data has explicit sharing rules.</w:t>
            </w:r>
          </w:p>
        </w:tc>
      </w:tr>
      <w:tr>
        <w:trPr>
          <w:cantSplit/>
        </w:trPr>
        <w:tc>
          <w:tcPr>
            <w:tcW w:type="dxa" w:w="2305"/>
            <w:shd w:fill="FFFFFF"/>
            <w:vAlign w:val="center"/>
            <w:tcMar>
              <w:top w:w="80" w:type="dxa"/>
              <w:bottom w:w="80" w:type="dxa"/>
              <w:left w:w="90" w:type="dxa"/>
              <w:right w:w="90" w:type="dxa"/>
            </w:tcMar>
          </w:tcPr>
          <w:p>
            <w:pPr>
              <w:spacing w:after="40" w:line="252" w:lineRule="auto"/>
            </w:pPr>
            <w:r>
              <w:rPr>
                <w:sz w:val="19"/>
              </w:rPr>
              <w:t>Authority source and applicability</w:t>
            </w:r>
          </w:p>
        </w:tc>
        <w:tc>
          <w:tcPr>
            <w:tcW w:type="dxa" w:w="4072"/>
            <w:shd w:fill="FFFFFF"/>
            <w:vAlign w:val="center"/>
            <w:tcMar>
              <w:top w:w="80" w:type="dxa"/>
              <w:bottom w:w="80" w:type="dxa"/>
              <w:left w:w="90" w:type="dxa"/>
              <w:right w:w="90" w:type="dxa"/>
            </w:tcMar>
          </w:tcPr>
          <w:p>
            <w:pPr>
              <w:spacing w:after="40" w:line="252" w:lineRule="auto"/>
            </w:pPr>
            <w:r>
              <w:rPr>
                <w:sz w:val="19"/>
              </w:rPr>
              <w:t>Issuing party, instrument/provision, version, jurisdiction, scope, effective dates, evidence and verification/adoption state.</w:t>
            </w:r>
          </w:p>
        </w:tc>
        <w:tc>
          <w:tcPr>
            <w:tcW w:type="dxa" w:w="3458"/>
            <w:shd w:fill="FFFFFF"/>
            <w:vAlign w:val="center"/>
            <w:tcMar>
              <w:top w:w="80" w:type="dxa"/>
              <w:bottom w:w="80" w:type="dxa"/>
              <w:left w:w="90" w:type="dxa"/>
              <w:right w:w="90" w:type="dxa"/>
            </w:tcMar>
          </w:tcPr>
          <w:p>
            <w:pPr>
              <w:spacing w:after="40" w:line="252" w:lineRule="auto"/>
            </w:pPr>
            <w:r>
              <w:rPr>
                <w:sz w:val="19"/>
              </w:rPr>
              <w:t>An upload or starter template does not itself establish power.</w:t>
            </w:r>
          </w:p>
        </w:tc>
      </w:tr>
      <w:tr>
        <w:trPr>
          <w:cantSplit/>
        </w:trPr>
        <w:tc>
          <w:tcPr>
            <w:tcW w:type="dxa" w:w="2305"/>
            <w:shd w:fill="F3F6F8"/>
            <w:vAlign w:val="center"/>
            <w:tcMar>
              <w:top w:w="80" w:type="dxa"/>
              <w:bottom w:w="80" w:type="dxa"/>
              <w:left w:w="90" w:type="dxa"/>
              <w:right w:w="90" w:type="dxa"/>
            </w:tcMar>
          </w:tcPr>
          <w:p>
            <w:pPr>
              <w:spacing w:after="40" w:line="252" w:lineRule="auto"/>
            </w:pPr>
            <w:r>
              <w:rPr>
                <w:sz w:val="19"/>
              </w:rPr>
              <w:t>Office body seat and appointment</w:t>
            </w:r>
          </w:p>
        </w:tc>
        <w:tc>
          <w:tcPr>
            <w:tcW w:type="dxa" w:w="4072"/>
            <w:shd w:fill="F3F6F8"/>
            <w:vAlign w:val="center"/>
            <w:tcMar>
              <w:top w:w="80" w:type="dxa"/>
              <w:bottom w:w="80" w:type="dxa"/>
              <w:left w:w="90" w:type="dxa"/>
              <w:right w:w="90" w:type="dxa"/>
            </w:tcMar>
          </w:tcPr>
          <w:p>
            <w:pPr>
              <w:spacing w:after="40" w:line="252" w:lineRule="auto"/>
            </w:pPr>
            <w:r>
              <w:rPr>
                <w:sz w:val="19"/>
              </w:rPr>
              <w:t>Continuing office/body identity, remit, seat category, appointing source, person, term and eligibility evidence.</w:t>
            </w:r>
          </w:p>
        </w:tc>
        <w:tc>
          <w:tcPr>
            <w:tcW w:type="dxa" w:w="3458"/>
            <w:shd w:fill="F3F6F8"/>
            <w:vAlign w:val="center"/>
            <w:tcMar>
              <w:top w:w="80" w:type="dxa"/>
              <w:bottom w:w="80" w:type="dxa"/>
              <w:left w:w="90" w:type="dxa"/>
              <w:right w:w="90" w:type="dxa"/>
            </w:tcMar>
          </w:tcPr>
          <w:p>
            <w:pPr>
              <w:spacing w:after="40" w:line="252" w:lineRule="auto"/>
            </w:pPr>
            <w:r>
              <w:rPr>
                <w:sz w:val="19"/>
              </w:rPr>
              <w:t>Separate a committee seat from a software role and allow vacancies and external members.</w:t>
            </w:r>
          </w:p>
        </w:tc>
      </w:tr>
      <w:tr>
        <w:trPr>
          <w:cantSplit/>
        </w:trPr>
        <w:tc>
          <w:tcPr>
            <w:tcW w:type="dxa" w:w="2305"/>
            <w:shd w:fill="FFFFFF"/>
            <w:vAlign w:val="center"/>
            <w:tcMar>
              <w:top w:w="80" w:type="dxa"/>
              <w:bottom w:w="80" w:type="dxa"/>
              <w:left w:w="90" w:type="dxa"/>
              <w:right w:w="90" w:type="dxa"/>
            </w:tcMar>
          </w:tcPr>
          <w:p>
            <w:pPr>
              <w:spacing w:after="40" w:line="252" w:lineRule="auto"/>
            </w:pPr>
            <w:r>
              <w:rPr>
                <w:sz w:val="19"/>
              </w:rPr>
              <w:t>Authority grant and delegation</w:t>
            </w:r>
          </w:p>
        </w:tc>
        <w:tc>
          <w:tcPr>
            <w:tcW w:type="dxa" w:w="4072"/>
            <w:shd w:fill="FFFFFF"/>
            <w:vAlign w:val="center"/>
            <w:tcMar>
              <w:top w:w="80" w:type="dxa"/>
              <w:bottom w:w="80" w:type="dxa"/>
              <w:left w:w="90" w:type="dxa"/>
              <w:right w:w="90" w:type="dxa"/>
            </w:tcMar>
          </w:tcPr>
          <w:p>
            <w:pPr>
              <w:spacing w:after="40" w:line="252" w:lineRule="auto"/>
            </w:pPr>
            <w:r>
              <w:rPr>
                <w:sz w:val="19"/>
              </w:rPr>
              <w:t>Source, holder, power, matter types, scope, limits, dates, parent grant and permitted subdelegation.</w:t>
            </w:r>
          </w:p>
        </w:tc>
        <w:tc>
          <w:tcPr>
            <w:tcW w:type="dxa" w:w="3458"/>
            <w:shd w:fill="FFFFFF"/>
            <w:vAlign w:val="center"/>
            <w:tcMar>
              <w:top w:w="80" w:type="dxa"/>
              <w:bottom w:w="80" w:type="dxa"/>
              <w:left w:w="90" w:type="dxa"/>
              <w:right w:w="90" w:type="dxa"/>
            </w:tcMar>
          </w:tcPr>
          <w:p>
            <w:pPr>
              <w:spacing w:after="40" w:line="252" w:lineRule="auto"/>
            </w:pPr>
            <w:r>
              <w:rPr>
                <w:sz w:val="19"/>
              </w:rPr>
              <w:t>A delegated power cannot exceed its source; a revoked delegation is distinct from a suspended past resolution.</w:t>
            </w:r>
          </w:p>
        </w:tc>
      </w:tr>
      <w:tr>
        <w:trPr>
          <w:cantSplit/>
        </w:trPr>
        <w:tc>
          <w:tcPr>
            <w:tcW w:type="dxa" w:w="2305"/>
            <w:shd w:fill="F3F6F8"/>
            <w:vAlign w:val="center"/>
            <w:tcMar>
              <w:top w:w="80" w:type="dxa"/>
              <w:bottom w:w="80" w:type="dxa"/>
              <w:left w:w="90" w:type="dxa"/>
              <w:right w:w="90" w:type="dxa"/>
            </w:tcMar>
          </w:tcPr>
          <w:p>
            <w:pPr>
              <w:spacing w:after="40" w:line="252" w:lineRule="auto"/>
            </w:pPr>
            <w:r>
              <w:rPr>
                <w:sz w:val="19"/>
              </w:rPr>
              <w:t>Decision matter rule and procedure</w:t>
            </w:r>
          </w:p>
        </w:tc>
        <w:tc>
          <w:tcPr>
            <w:tcW w:type="dxa" w:w="4072"/>
            <w:shd w:fill="F3F6F8"/>
            <w:vAlign w:val="center"/>
            <w:tcMar>
              <w:top w:w="80" w:type="dxa"/>
              <w:bottom w:w="80" w:type="dxa"/>
              <w:left w:w="90" w:type="dxa"/>
              <w:right w:w="90" w:type="dxa"/>
            </w:tcMar>
          </w:tcPr>
          <w:p>
            <w:pPr>
              <w:spacing w:after="40" w:line="252" w:lineRule="auto"/>
            </w:pPr>
            <w:r>
              <w:rPr>
                <w:sz w:val="19"/>
              </w:rPr>
              <w:t>Required authorities, material parameters, recommendations, external conditions, notice, electorate, quorum, vote rule and certification.</w:t>
            </w:r>
          </w:p>
        </w:tc>
        <w:tc>
          <w:tcPr>
            <w:tcW w:type="dxa" w:w="3458"/>
            <w:shd w:fill="F3F6F8"/>
            <w:vAlign w:val="center"/>
            <w:tcMar>
              <w:top w:w="80" w:type="dxa"/>
              <w:bottom w:w="80" w:type="dxa"/>
              <w:left w:w="90" w:type="dxa"/>
              <w:right w:w="90" w:type="dxa"/>
            </w:tcMar>
          </w:tcPr>
          <w:p>
            <w:pPr>
              <w:spacing w:after="40" w:line="252" w:lineRule="auto"/>
            </w:pPr>
            <w:r>
              <w:rPr>
                <w:sz w:val="19"/>
              </w:rPr>
              <w:t>Use supported semantics and explicit denominators; unknown rules do not imply permission.</w:t>
            </w:r>
          </w:p>
        </w:tc>
      </w:tr>
      <w:tr>
        <w:trPr>
          <w:cantSplit/>
        </w:trPr>
        <w:tc>
          <w:tcPr>
            <w:tcW w:type="dxa" w:w="2305"/>
            <w:shd w:fill="FFFFFF"/>
            <w:vAlign w:val="center"/>
            <w:tcMar>
              <w:top w:w="80" w:type="dxa"/>
              <w:bottom w:w="80" w:type="dxa"/>
              <w:left w:w="90" w:type="dxa"/>
              <w:right w:w="90" w:type="dxa"/>
            </w:tcMar>
          </w:tcPr>
          <w:p>
            <w:pPr>
              <w:spacing w:after="40" w:line="252" w:lineRule="auto"/>
            </w:pPr>
            <w:r>
              <w:rPr>
                <w:sz w:val="19"/>
              </w:rPr>
              <w:t>Decision case and participation</w:t>
            </w:r>
          </w:p>
        </w:tc>
        <w:tc>
          <w:tcPr>
            <w:tcW w:type="dxa" w:w="4072"/>
            <w:shd w:fill="FFFFFF"/>
            <w:vAlign w:val="center"/>
            <w:tcMar>
              <w:top w:w="80" w:type="dxa"/>
              <w:bottom w:w="80" w:type="dxa"/>
              <w:left w:w="90" w:type="dxa"/>
              <w:right w:w="90" w:type="dxa"/>
            </w:tcMar>
          </w:tcPr>
          <w:p>
            <w:pPr>
              <w:spacing w:after="40" w:line="252" w:lineRule="auto"/>
            </w:pPr>
            <w:r>
              <w:rPr>
                <w:sz w:val="19"/>
              </w:rPr>
              <w:t>Proposal versions, papers, notices, eligibility snapshots, attendance, conflicts, representation and ballot or response evidence.</w:t>
            </w:r>
          </w:p>
        </w:tc>
        <w:tc>
          <w:tcPr>
            <w:tcW w:type="dxa" w:w="3458"/>
            <w:shd w:fill="FFFFFF"/>
            <w:vAlign w:val="center"/>
            <w:tcMar>
              <w:top w:w="80" w:type="dxa"/>
              <w:bottom w:w="80" w:type="dxa"/>
              <w:left w:w="90" w:type="dxa"/>
              <w:right w:w="90" w:type="dxa"/>
            </w:tcMar>
          </w:tcPr>
          <w:p>
            <w:pPr>
              <w:spacing w:after="40" w:line="252" w:lineRule="auto"/>
            </w:pPr>
            <w:r>
              <w:rPr>
                <w:sz w:val="19"/>
              </w:rPr>
              <w:t>Preserve proposal binding, membership-change treatment and any required ballot secrecy.</w:t>
            </w:r>
          </w:p>
        </w:tc>
      </w:tr>
      <w:tr>
        <w:trPr>
          <w:cantSplit/>
        </w:trPr>
        <w:tc>
          <w:tcPr>
            <w:tcW w:type="dxa" w:w="2305"/>
            <w:shd w:fill="F3F6F8"/>
            <w:vAlign w:val="center"/>
            <w:tcMar>
              <w:top w:w="80" w:type="dxa"/>
              <w:bottom w:w="80" w:type="dxa"/>
              <w:left w:w="90" w:type="dxa"/>
              <w:right w:w="90" w:type="dxa"/>
            </w:tcMar>
          </w:tcPr>
          <w:p>
            <w:pPr>
              <w:spacing w:after="40" w:line="252" w:lineRule="auto"/>
            </w:pPr>
            <w:r>
              <w:rPr>
                <w:sz w:val="19"/>
              </w:rPr>
              <w:t>Resolution and decision authorisation</w:t>
            </w:r>
          </w:p>
        </w:tc>
        <w:tc>
          <w:tcPr>
            <w:tcW w:type="dxa" w:w="4072"/>
            <w:shd w:fill="F3F6F8"/>
            <w:vAlign w:val="center"/>
            <w:tcMar>
              <w:top w:w="80" w:type="dxa"/>
              <w:bottom w:w="80" w:type="dxa"/>
              <w:left w:w="90" w:type="dxa"/>
              <w:right w:w="90" w:type="dxa"/>
            </w:tcMar>
          </w:tcPr>
          <w:p>
            <w:pPr>
              <w:spacing w:after="40" w:line="252" w:lineRule="auto"/>
            </w:pPr>
            <w:r>
              <w:rPr>
                <w:sz w:val="19"/>
              </w:rPr>
              <w:t>Decision authority/procedure/evidence, adopted version, effect, scope, dates, conditions, executor class and usage limits.</w:t>
            </w:r>
          </w:p>
        </w:tc>
        <w:tc>
          <w:tcPr>
            <w:tcW w:type="dxa" w:w="3458"/>
            <w:shd w:fill="F3F6F8"/>
            <w:vAlign w:val="center"/>
            <w:tcMar>
              <w:top w:w="80" w:type="dxa"/>
              <w:bottom w:w="80" w:type="dxa"/>
              <w:left w:w="90" w:type="dxa"/>
              <w:right w:w="90" w:type="dxa"/>
            </w:tcMar>
          </w:tcPr>
          <w:p>
            <w:pPr>
              <w:spacing w:after="40" w:line="252" w:lineRule="auto"/>
            </w:pPr>
            <w:r>
              <w:rPr>
                <w:sz w:val="19"/>
              </w:rPr>
              <w:t>Recheck the current executor and exact effect; preserve amendment, suspension and execution history.</w:t>
            </w:r>
          </w:p>
        </w:tc>
      </w:tr>
      <w:tr>
        <w:trPr>
          <w:cantSplit/>
        </w:trPr>
        <w:tc>
          <w:tcPr>
            <w:tcW w:type="dxa" w:w="2305"/>
            <w:shd w:fill="FFFFFF"/>
            <w:vAlign w:val="center"/>
            <w:tcMar>
              <w:top w:w="80" w:type="dxa"/>
              <w:bottom w:w="80" w:type="dxa"/>
              <w:left w:w="90" w:type="dxa"/>
              <w:right w:w="90" w:type="dxa"/>
            </w:tcMar>
          </w:tcPr>
          <w:p>
            <w:pPr>
              <w:spacing w:after="40" w:line="252" w:lineRule="auto"/>
            </w:pPr>
            <w:r>
              <w:rPr>
                <w:sz w:val="19"/>
              </w:rPr>
              <w:t>Obligation review and closure</w:t>
            </w:r>
          </w:p>
        </w:tc>
        <w:tc>
          <w:tcPr>
            <w:tcW w:type="dxa" w:w="4072"/>
            <w:shd w:fill="FFFFFF"/>
            <w:vAlign w:val="center"/>
            <w:tcMar>
              <w:top w:w="80" w:type="dxa"/>
              <w:bottom w:w="80" w:type="dxa"/>
              <w:left w:w="90" w:type="dxa"/>
              <w:right w:w="90" w:type="dxa"/>
            </w:tcMar>
          </w:tcPr>
          <w:p>
            <w:pPr>
              <w:spacing w:after="40" w:line="252" w:lineRule="auto"/>
            </w:pPr>
            <w:r>
              <w:rPr>
                <w:sz w:val="19"/>
              </w:rPr>
              <w:t>Source or adopted objective, responsible office, recurrence, due dates, required evidence, verifier and findings.</w:t>
            </w:r>
          </w:p>
        </w:tc>
        <w:tc>
          <w:tcPr>
            <w:tcW w:type="dxa" w:w="3458"/>
            <w:shd w:fill="FFFFFF"/>
            <w:vAlign w:val="center"/>
            <w:tcMar>
              <w:top w:w="80" w:type="dxa"/>
              <w:bottom w:w="80" w:type="dxa"/>
              <w:left w:w="90" w:type="dxa"/>
              <w:right w:w="90" w:type="dxa"/>
            </w:tcMar>
          </w:tcPr>
          <w:p>
            <w:pPr>
              <w:spacing w:after="40" w:line="252" w:lineRule="auto"/>
            </w:pPr>
            <w:r>
              <w:rPr>
                <w:sz w:val="19"/>
              </w:rPr>
              <w:t>Submitted, implemented and verified closed are distinct; scope the oversight view.</w:t>
            </w:r>
          </w:p>
        </w:tc>
      </w:tr>
    </w:tbl>
    <w:p>
      <w:pPr>
        <w:spacing w:after="20" w:before="0"/>
      </w:pPr>
    </w:p>
    <w:p>
      <w:r>
        <w:br w:type="page"/>
      </w:r>
    </w:p>
    <w:p>
      <w:pPr>
        <w:pStyle w:val="Heading1"/>
      </w:pPr>
      <w:r>
        <w:t>Appendix B Thirty five model coverage cases</w:t>
      </w:r>
    </w:p>
    <w:p>
      <w:r>
        <w:t>Each case is an illustrative challenge to the design. Its expected rule should become an implementation acceptance criterion. The cases cover model behaviour; real institutions still supply their own approved policies and arrangements.</w:t>
      </w:r>
    </w:p>
    <w:p>
      <w:pPr>
        <w:pStyle w:val="Heading2"/>
      </w:pPr>
      <w:r>
        <w:t>C01 School</w:t>
      </w:r>
    </w:p>
    <w:p>
      <w:r>
        <w:t>Scenario: A school admits each learner to Class VI-B for the year, with a common set of subjects and different subject teachers.</w:t>
      </w:r>
    </w:p>
    <w:p>
      <w:r>
        <w:t>Model elements: Programme/curriculum version; academic period; programme enrolment; administrative cohort; course offerings; teaching groups; staff assignments.</w:t>
      </w:r>
    </w:p>
    <w:p>
      <w:r>
        <w:t>Required behaviour: A class-section can provide a convenient default roster while subject delivery and teacher authority remain separately assigned.</w:t>
      </w:r>
    </w:p>
    <w:p>
      <w:r>
        <w:t>Failure to prevent: One class record conflates admission placement, curriculum, lesson roster and teacher permissions; later exceptions require duplicated classes.</w:t>
      </w:r>
    </w:p>
    <w:p>
      <w:pPr>
        <w:pStyle w:val="Heading2"/>
      </w:pPr>
      <w:r>
        <w:t>C02 School</w:t>
      </w:r>
    </w:p>
    <w:p>
      <w:r>
        <w:t>Scenario: One teacher teaches Mathematics in VI-A and VI-B, serves as class teacher for VI-B, and runs a mixed-grade maths club.</w:t>
      </w:r>
    </w:p>
    <w:p>
      <w:r>
        <w:t>Model elements: Person/account; staff memberships; scoped duty assignments; course offerings; administrative cohorts; activity teaching groups.</w:t>
      </w:r>
    </w:p>
    <w:p>
      <w:r>
        <w:t>Required behaviour: Each duty grants only its own actions and student scope; class-teacher status does not grant editing rights to every subject.</w:t>
      </w:r>
    </w:p>
    <w:p>
      <w:r>
        <w:t>Failure to prevent: A single employee designation or teacher-to-class link either grants excessive access or cannot represent multiple simultaneous responsibilities.</w:t>
      </w:r>
    </w:p>
    <w:p>
      <w:pPr>
        <w:pStyle w:val="Heading2"/>
      </w:pPr>
      <w:r>
        <w:t>C03 School</w:t>
      </w:r>
    </w:p>
    <w:p>
      <w:r>
        <w:t>Scenario: A learner transfers from VI-A to VI-B midyear, then advances to VII-A in the next academic cycle.</w:t>
      </w:r>
    </w:p>
    <w:p>
      <w:r>
        <w:t>Model elements: Programme enrolment; effective-dated cohort memberships; academic periods; historical session attendance; assessment records.</w:t>
      </w:r>
    </w:p>
    <w:p>
      <w:r>
        <w:t>Required behaviour: A transfer ends one membership and starts another without rewriting the roster that applied to completed sessions.</w:t>
      </w:r>
    </w:p>
    <w:p>
      <w:r>
        <w:t>Failure to prevent: Updating a current class field relocates historical attendance and marks, corrupting old reports and teacher-access boundaries.</w:t>
      </w:r>
    </w:p>
    <w:p>
      <w:pPr>
        <w:pStyle w:val="Heading2"/>
      </w:pPr>
      <w:r>
        <w:t>C04 School</w:t>
      </w:r>
    </w:p>
    <w:p>
      <w:r>
        <w:t>Scenario: Learners from three sections attend a six-week remedial group, while others join mixed-age sports training.</w:t>
      </w:r>
    </w:p>
    <w:p>
      <w:r>
        <w:t>Model elements: Administrative cohorts; optional teaching/activity groups; effective-dated group memberships; sessions; group assignments.</w:t>
      </w:r>
    </w:p>
    <w:p>
      <w:r>
        <w:t>Required behaviour: A learner can belong to multiple operational groups without changing their administrative home section.</w:t>
      </w:r>
    </w:p>
    <w:p>
      <w:r>
        <w:t>Failure to prevent: A strict class tree forces duplicate learner records or fictitious permanent sections for every temporary activity.</w:t>
      </w:r>
    </w:p>
    <w:p>
      <w:pPr>
        <w:pStyle w:val="Heading2"/>
      </w:pPr>
      <w:r>
        <w:t>C05 College</w:t>
      </w:r>
    </w:p>
    <w:p>
      <w:r>
        <w:t>Scenario: A degree programme has a 2026 admission batch, learners in different current semesters, and several teaching sections.</w:t>
      </w:r>
    </w:p>
    <w:p>
      <w:r>
        <w:t>Model elements: Programme definition; programme enrolment; admission cohort; academic periods; learner progression; teaching groups.</w:t>
      </w:r>
    </w:p>
    <w:p>
      <w:r>
        <w:t>Required behaviour: Admission cohort, current study stage and actual teaching roster are independent facts.</w:t>
      </w:r>
    </w:p>
    <w:p>
      <w:r>
        <w:t>Failure to prevent: A batch-to-semester-to-class tree fails when members progress at different rates, take leave or repeat individual components.</w:t>
      </w:r>
    </w:p>
    <w:p>
      <w:pPr>
        <w:pStyle w:val="Heading2"/>
      </w:pPr>
      <w:r>
        <w:t>C06 College</w:t>
      </w:r>
    </w:p>
    <w:p>
      <w:r>
        <w:t>Scenario: Learners from three departments take the same elective, which appears under different programme requirements.</w:t>
      </w:r>
    </w:p>
    <w:p>
      <w:r>
        <w:t>Model elements: Course catalogue; curriculum requirements; course offering; teaching-group enrolment; programme enrolments; equivalence mappings.</w:t>
      </w:r>
    </w:p>
    <w:p>
      <w:r>
        <w:t>Required behaviour: One delivered offering can serve multiple programmes; each programme evaluates its own requirement fulfilment.</w:t>
      </w:r>
    </w:p>
    <w:p>
      <w:r>
        <w:t>Failure to prevent: Copying the elective into each department duplicates sessions, attendance, capacity, faculty load and results.</w:t>
      </w:r>
    </w:p>
    <w:p>
      <w:pPr>
        <w:pStyle w:val="Heading2"/>
      </w:pPr>
      <w:r>
        <w:t>C07 College</w:t>
      </w:r>
    </w:p>
    <w:p>
      <w:r>
        <w:t>Scenario: A learner selects electives subject to credit limits, prerequisites and an approved substitution.</w:t>
      </w:r>
    </w:p>
    <w:p>
      <w:r>
        <w:t>Model elements: Versioned curriculum requirements; course credits; completed attempts; enrolment eligibility rules; exception approvals.</w:t>
      </w:r>
    </w:p>
    <w:p>
      <w:r>
        <w:t>Required behaviour: Eligibility and completion decisions use explicit requirements and recorded exceptions rather than department-tree location.</w:t>
      </w:r>
    </w:p>
    <w:p>
      <w:r>
        <w:t>Failure to prevent: A generic form can collect course choices but cannot reliably calculate eligibility, credits or approved substitutions.</w:t>
      </w:r>
    </w:p>
    <w:p>
      <w:pPr>
        <w:pStyle w:val="Heading2"/>
      </w:pPr>
      <w:r>
        <w:t>C08 College</w:t>
      </w:r>
    </w:p>
    <w:p>
      <w:r>
        <w:t>Scenario: A learner fails a course and repeats it in a later term with a different instructor.</w:t>
      </w:r>
    </w:p>
    <w:p>
      <w:r>
        <w:t>Model elements: Course definition/version; separate course offerings; course enrolments; course attempts; result history; repeat policy version.</w:t>
      </w:r>
    </w:p>
    <w:p>
      <w:r>
        <w:t>Required behaviour: Retain both attempts; progression and final-result rules choose their treatment without deleting the earlier result.</w:t>
      </w:r>
    </w:p>
    <w:p>
      <w:r>
        <w:t>Failure to prevent: One student-course grade field overwrites failure history and loses which term, instructor and assessment produced each result.</w:t>
      </w:r>
    </w:p>
    <w:p>
      <w:pPr>
        <w:pStyle w:val="Heading2"/>
      </w:pPr>
      <w:r>
        <w:t>C09 College</w:t>
      </w:r>
    </w:p>
    <w:p>
      <w:r>
        <w:t>Scenario: A learner takes a supplementary assessment or requests review of an existing result without repeating all teaching.</w:t>
      </w:r>
    </w:p>
    <w:p>
      <w:r>
        <w:t>Model elements: Course attempt; assessment definition; assessment attempts; reviewed result versions; correction/appeal workflow.</w:t>
      </w:r>
    </w:p>
    <w:p>
      <w:r>
        <w:t>Required behaviour: An assessment retry or reviewed result is distinguishable from a new course-delivery enrolment.</w:t>
      </w:r>
    </w:p>
    <w:p>
      <w:r>
        <w:t>Failure to prevent: Treating every retry as a new class or overwriting a mark obscures the original attempt and creates false attendance or fee obligations.</w:t>
      </w:r>
    </w:p>
    <w:p>
      <w:pPr>
        <w:pStyle w:val="Heading2"/>
      </w:pPr>
      <w:r>
        <w:t>C10 College and school</w:t>
      </w:r>
    </w:p>
    <w:p>
      <w:r>
        <w:t>Scenario: A course retains its familiar name or code while its syllabus, credit value or assessment scheme changes for a new intake.</w:t>
      </w:r>
    </w:p>
    <w:p>
      <w:r>
        <w:t>Model elements: Versioned course catalogue; versioned curriculum; effective dates; offering references; historical result policy.</w:t>
      </w:r>
    </w:p>
    <w:p>
      <w:r>
        <w:t>Required behaviour: Existing offerings and learner records continue referencing the version under which they were established.</w:t>
      </w:r>
    </w:p>
    <w:p>
      <w:r>
        <w:t>Failure to prevent: Editing a single shared course record retroactively changes old transcripts, requirements and interpretations of marks.</w:t>
      </w:r>
    </w:p>
    <w:p>
      <w:pPr>
        <w:pStyle w:val="Heading2"/>
      </w:pPr>
      <w:r>
        <w:t>C11 College</w:t>
      </w:r>
    </w:p>
    <w:p>
      <w:r>
        <w:t>Scenario: A course has one lecture cohort, two tutorial groups and four laboratory groups with different timetables.</w:t>
      </w:r>
    </w:p>
    <w:p>
      <w:r>
        <w:t>Model elements: Course offering; course enrolment; instructional components; teaching groups; sessions; component membership rules.</w:t>
      </w:r>
    </w:p>
    <w:p>
      <w:r>
        <w:t>Required behaviour: A learner may have one course enrolment and several component-specific teaching memberships.</w:t>
      </w:r>
    </w:p>
    <w:p>
      <w:r>
        <w:t>Failure to prevent: One class per course cannot represent split practicals; independent generic groups cannot enforce required component combinations.</w:t>
      </w:r>
    </w:p>
    <w:p>
      <w:pPr>
        <w:pStyle w:val="Heading2"/>
      </w:pPr>
      <w:r>
        <w:t>C12 College</w:t>
      </w:r>
    </w:p>
    <w:p>
      <w:r>
        <w:t>Scenario: A learner pursues a main programme and an additional certificate or minor, with one course potentially contributing to both.</w:t>
      </w:r>
    </w:p>
    <w:p>
      <w:r>
        <w:t>Model elements: Person; multiple programme enrolments; course attempts; curriculum requirements; credit-allocation or sharing rules.</w:t>
      </w:r>
    </w:p>
    <w:p>
      <w:r>
        <w:t>Required behaviour: Academic ownership and counting rules are explicit; one learning result may be referenced without duplicating the result itself.</w:t>
      </w:r>
    </w:p>
    <w:p>
      <w:r>
        <w:t>Failure to prevent: One programme field per learner loses concurrent study, while duplicated learner records double-count work and fragment identity.</w:t>
      </w:r>
    </w:p>
    <w:p>
      <w:pPr>
        <w:pStyle w:val="Heading2"/>
      </w:pPr>
      <w:r>
        <w:t>C13 Coaching</w:t>
      </w:r>
    </w:p>
    <w:p>
      <w:r>
        <w:t>Scenario: A centre admits learners every week to an individual three-month course instead of using a common academic-year start.</w:t>
      </w:r>
    </w:p>
    <w:p>
      <w:r>
        <w:t>Model elements: Reusable course; rolling course offering; individual enrolment dates; duration/validity rules; sessions or self-paced units.</w:t>
      </w:r>
    </w:p>
    <w:p>
      <w:r>
        <w:t>Required behaviour: Eligibility and access depend on each enrolment’s dates rather than a mandatory school-year container.</w:t>
      </w:r>
    </w:p>
    <w:p>
      <w:r>
        <w:t>Failure to prevent: A fixed year/class model gives late joiners the wrong expiry, progress window, fee schedule or attendance denominator.</w:t>
      </w:r>
    </w:p>
    <w:p>
      <w:pPr>
        <w:pStyle w:val="Heading2"/>
      </w:pPr>
      <w:r>
        <w:t>C14 Coaching</w:t>
      </w:r>
    </w:p>
    <w:p>
      <w:r>
        <w:t>Scenario: The same learner buys spoken English, coding and mathematics courses with different start dates and schedules.</w:t>
      </w:r>
    </w:p>
    <w:p>
      <w:r>
        <w:t>Model elements: Single learner identity; multiple enrolments; course offerings; teaching groups; commercial agreements; independent progress.</w:t>
      </w:r>
    </w:p>
    <w:p>
      <w:r>
        <w:t>Required behaviour: Each enrolment has its own status, schedule, price and learning record while identity remains shared.</w:t>
      </w:r>
    </w:p>
    <w:p>
      <w:r>
        <w:t>Failure to prevent: A single current class, batch or fee-plan field causes one course change to overwrite the other courses.</w:t>
      </w:r>
    </w:p>
    <w:p>
      <w:pPr>
        <w:pStyle w:val="Heading2"/>
      </w:pPr>
      <w:r>
        <w:t>C15 Coaching</w:t>
      </w:r>
    </w:p>
    <w:p>
      <w:r>
        <w:t>Scenario: A learner buys only a test series; another purchases a monthly membership; a third buys a bundle containing classes and tests.</w:t>
      </w:r>
    </w:p>
    <w:p>
      <w:r>
        <w:t>Model elements: Commercial products/bundles; dated entitlements; course/test offerings; assessment participation; optional teaching-group enrolment.</w:t>
      </w:r>
    </w:p>
    <w:p>
      <w:r>
        <w:t>Required behaviour: Purchasing a product grants explicitly defined entitlements; it does not automatically create a fictional classroom or programme enrolment.</w:t>
      </w:r>
    </w:p>
    <w:p>
      <w:r>
        <w:t>Failure to prevent: Making every sale a class cannot represent test-only or membership access, and tying access only to invoices confuses payment with entitlement.</w:t>
      </w:r>
    </w:p>
    <w:p>
      <w:pPr>
        <w:pStyle w:val="Heading2"/>
      </w:pPr>
      <w:r>
        <w:t>C16 Coaching</w:t>
      </w:r>
    </w:p>
    <w:p>
      <w:r>
        <w:t>Scenario: A learner receives a seven-day trial, then converts to a paid course without losing completed practice work.</w:t>
      </w:r>
    </w:p>
    <w:p>
      <w:r>
        <w:t>Model elements: Learner identity; trial agreement; dated entitlements; learning participation; paid enrolment conversion; commercial history.</w:t>
      </w:r>
    </w:p>
    <w:p>
      <w:r>
        <w:t>Required behaviour: Conversion changes the authorised commercial/access state while preserving the learner’s existing work and identity.</w:t>
      </w:r>
    </w:p>
    <w:p>
      <w:r>
        <w:t>Failure to prevent: Deleting the trial record and recreating a student loses progress; a permanent active flag leaves trial access open indefinitely.</w:t>
      </w:r>
    </w:p>
    <w:p>
      <w:pPr>
        <w:pStyle w:val="Heading2"/>
      </w:pPr>
      <w:r>
        <w:t>C17 Coaching and school</w:t>
      </w:r>
    </w:p>
    <w:p>
      <w:r>
        <w:t>Scenario: A learner requests transfer from an evening group to a full morning group, requiring a waitlist and later effective transfer.</w:t>
      </w:r>
    </w:p>
    <w:p>
      <w:r>
        <w:t>Model elements: Teaching-group capacity; waitlist; effective-dated memberships; timetable; transfer request; commercial adjustment if applicable.</w:t>
      </w:r>
    </w:p>
    <w:p>
      <w:r>
        <w:t>Required behaviour: Transfer commits only when applicable capacity and approval conditions are satisfied; historical sessions retain their actual membership.</w:t>
      </w:r>
    </w:p>
    <w:p>
      <w:r>
        <w:t>Failure to prevent: Moving a class field ignores capacity, pending status, completed-session history and possible commercial differences.</w:t>
      </w:r>
    </w:p>
    <w:p>
      <w:pPr>
        <w:pStyle w:val="Heading2"/>
      </w:pPr>
      <w:r>
        <w:t>C18 College and coaching</w:t>
      </w:r>
    </w:p>
    <w:p>
      <w:r>
        <w:t>Scenario: A learner temporarily pauses study, returns later and continues selected outstanding courses.</w:t>
      </w:r>
    </w:p>
    <w:p>
      <w:r>
        <w:t>Model elements: Programme/course enrolment lifecycle; leave/pause periods; academic attempts; access entitlements; billing schedule; reactivation workflow.</w:t>
      </w:r>
    </w:p>
    <w:p>
      <w:r>
        <w:t>Required behaviour: Academic standing, attendance eligibility, service access and billing are separate states coordinated by explicit policy.</w:t>
      </w:r>
    </w:p>
    <w:p>
      <w:r>
        <w:t>Failure to prevent: One active/inactive flag cannot express paused study with preserved records, suspended access and differently treated financial obligations.</w:t>
      </w:r>
    </w:p>
    <w:p>
      <w:pPr>
        <w:pStyle w:val="Heading2"/>
      </w:pPr>
      <w:r>
        <w:t>C19 All institute types</w:t>
      </w:r>
    </w:p>
    <w:p>
      <w:r>
        <w:t>Scenario: A teacher works at two campuses and cannot teach adjacent sessions that leave insufficient travel time.</w:t>
      </w:r>
    </w:p>
    <w:p>
      <w:r>
        <w:t>Model elements: Person identity; campus-scoped staff assignments; sessions; shared availability; location; travel/setup constraints.</w:t>
      </w:r>
    </w:p>
    <w:p>
      <w:r>
        <w:t>Required behaviour: Timetable conflict checking considers the same person across all authorised campus assignments, including practical travel constraints.</w:t>
      </w:r>
    </w:p>
    <w:p>
      <w:r>
        <w:t>Failure to prevent: Separate campus timetables double-book the teacher; a broad organisation role leaks records beyond the person’s actual duties.</w:t>
      </w:r>
    </w:p>
    <w:p>
      <w:pPr>
        <w:pStyle w:val="Heading2"/>
      </w:pPr>
      <w:r>
        <w:t>C20 College and multi-campus school</w:t>
      </w:r>
    </w:p>
    <w:p>
      <w:r>
        <w:t>Scenario: Departments share a laboratory, auditorium and equipment pool that may be reserved for teaching or events.</w:t>
      </w:r>
    </w:p>
    <w:p>
      <w:r>
        <w:t>Model elements: Resource catalogue; capacity/capability; bookings; teaching sessions; nonteaching events; availability and setup rules.</w:t>
      </w:r>
    </w:p>
    <w:p>
      <w:r>
        <w:t>Required behaviour: All relevant bookings consume the same underlying resource availability, regardless of department or event type.</w:t>
      </w:r>
    </w:p>
    <w:p>
      <w:r>
        <w:t>Failure to prevent: Department-owned class trees and separate event calendars each appear valid while reserving the same room or equipment twice.</w:t>
      </w:r>
    </w:p>
    <w:p>
      <w:pPr>
        <w:pStyle w:val="Heading2"/>
      </w:pPr>
      <w:r>
        <w:t>C21 Franchise and multi-institution group</w:t>
      </w:r>
    </w:p>
    <w:p>
      <w:r>
        <w:t>Scenario: Several independently operated centres share branding and setup templates, while head office sees only specifically authorised summaries.</w:t>
      </w:r>
    </w:p>
    <w:p>
      <w:r>
        <w:t>Model elements: Organisation/operating-entity boundaries; campuses; explicit data partitions; template distribution; reporting grants; scoped memberships.</w:t>
      </w:r>
    </w:p>
    <w:p>
      <w:r>
        <w:t>Required behaviour: Shared brand or configuration does not imply shared personal data, financial accounts or unrestricted parent-organisation access.</w:t>
      </w:r>
    </w:p>
    <w:p>
      <w:r>
        <w:t>Failure to prevent: A parent-child organisation tree with inherited administrator visibility silently crosses intended legal and operational data boundaries.</w:t>
      </w:r>
    </w:p>
    <w:p>
      <w:pPr>
        <w:pStyle w:val="Heading2"/>
      </w:pPr>
      <w:r>
        <w:t>C22 Multi-campus school and education group</w:t>
      </w:r>
    </w:p>
    <w:p>
      <w:r>
        <w:t>Scenario: One management group runs campuses with different curricula and a separate college or coaching centre.</w:t>
      </w:r>
    </w:p>
    <w:p>
      <w:r>
        <w:t>Model elements: Institution/campus; programme/curriculum versions; local policy packs; local calendars; course catalogues; scoped enrolments.</w:t>
      </w:r>
    </w:p>
    <w:p>
      <w:r>
        <w:t>Required behaviour: Each programme or campus uses the applicable configuration; defaults can be shared without forcing a single curriculum.</w:t>
      </w:r>
    </w:p>
    <w:p>
      <w:r>
        <w:t>Failure to prevent: An organisation-wide board, grade ladder or exam scheme makes one campus’s settings overwrite another’s operating model.</w:t>
      </w:r>
    </w:p>
    <w:p>
      <w:pPr>
        <w:pStyle w:val="Heading2"/>
      </w:pPr>
      <w:r>
        <w:t>C23 All institute types</w:t>
      </w:r>
    </w:p>
    <w:p>
      <w:r>
        <w:t>Scenario: A campus hosts a weekday school programme and a weekend coaching course with different holidays and term dates.</w:t>
      </w:r>
    </w:p>
    <w:p>
      <w:r>
        <w:t>Model elements: Academic calendars; academic periods; programme/offering calendar assignment; sessions; dated calendar exceptions.</w:t>
      </w:r>
    </w:p>
    <w:p>
      <w:r>
        <w:t>Required behaviour: Attendance expectations and scheduling derive from the relevant offering calendar and session, not one global school-day flag.</w:t>
      </w:r>
    </w:p>
    <w:p>
      <w:r>
        <w:t>Failure to prevent: One organisation calendar marks valid weekend classes as holidays or incorrectly expects school attendance on coaching days.</w:t>
      </w:r>
    </w:p>
    <w:p>
      <w:pPr>
        <w:pStyle w:val="Heading2"/>
      </w:pPr>
      <w:r>
        <w:t>C24 College and adult coaching</w:t>
      </w:r>
    </w:p>
    <w:p>
      <w:r>
        <w:t>Scenario: An adult learner enrols without a guardian; another voluntarily authorises a family member for limited assistance.</w:t>
      </w:r>
    </w:p>
    <w:p>
      <w:r>
        <w:t>Model elements: Person; learner account; optional relationships; explicit representative grants; action scopes; effective dates.</w:t>
      </w:r>
    </w:p>
    <w:p>
      <w:r>
        <w:t>Required behaviour: A guardian is optional; representative visibility follows recorded authority and applicable policy, not an assumed mandatory parent link.</w:t>
      </w:r>
    </w:p>
    <w:p>
      <w:r>
        <w:t>Failure to prevent: A required father/mother account blocks independent learners and can expose adult learning or financial information to unapproved contacts.</w:t>
      </w:r>
    </w:p>
    <w:p>
      <w:pPr>
        <w:pStyle w:val="Heading2"/>
      </w:pPr>
      <w:r>
        <w:t>C25 All institute types</w:t>
      </w:r>
    </w:p>
    <w:p>
      <w:r>
        <w:t>Scenario: One person is a staff member, a parent of two schoolchildren and an evening-course learner, possibly at different institutions.</w:t>
      </w:r>
    </w:p>
    <w:p>
      <w:r>
        <w:t>Model elements: Single person/account; institution memberships; staff assignments; guardian relationships; learner enrolments; acting context.</w:t>
      </w:r>
    </w:p>
    <w:p>
      <w:r>
        <w:t>Required behaviour: Every action is evaluated against the relevant institution, capacity, record and scope.</w:t>
      </w:r>
    </w:p>
    <w:p>
      <w:r>
        <w:t>Failure to prevent: One global user type or unrestricted union of role permissions confuses staff access, parent access and the person’s own learning data.</w:t>
      </w:r>
    </w:p>
    <w:p>
      <w:pPr>
        <w:pStyle w:val="Heading2"/>
      </w:pPr>
      <w:r>
        <w:t>C26 School and youth coaching</w:t>
      </w:r>
    </w:p>
    <w:p>
      <w:r>
        <w:t>Scenario: A guardian can view school progress, a grandparent pays specified fees and an authorised neighbour collects the child on Fridays.</w:t>
      </w:r>
    </w:p>
    <w:p>
      <w:r>
        <w:t>Model elements: Verified relationships; child-specific grants; payer assignment; dated pickup authority; separate view/consent/payment/collection actions.</w:t>
      </w:r>
    </w:p>
    <w:p>
      <w:r>
        <w:t>Required behaviour: Viewing, consent, payment and collection authorities are independently granted and may have different validity periods.</w:t>
      </w:r>
    </w:p>
    <w:p>
      <w:r>
        <w:t>Failure to prevent: A single parent/guardian role gives a payer unnecessary child-location access or lets any linked adult collect the child.</w:t>
      </w:r>
    </w:p>
    <w:p>
      <w:pPr>
        <w:pStyle w:val="Heading2"/>
      </w:pPr>
      <w:r>
        <w:t>C27 All institute types</w:t>
      </w:r>
    </w:p>
    <w:p>
      <w:r>
        <w:t>Scenario: A fee plan uses instalments, a sibling concession and a scholarship that requires approval above a threshold.</w:t>
      </w:r>
    </w:p>
    <w:p>
      <w:r>
        <w:t>Model elements: Versioned fee plan; commercial agreement; charges/invoices; instalments; concession eligibility; amount-limited approval workflow.</w:t>
      </w:r>
    </w:p>
    <w:p>
      <w:r>
        <w:t>Required behaviour: A discount request, its approval and its applied financial entry are separate recorded stages with explicit conditions.</w:t>
      </w:r>
    </w:p>
    <w:p>
      <w:r>
        <w:t>Failure to prevent: A generic discount field or unrestricted finance role bypasses eligibility, approval limits and the evidence needed to explain the final amount.</w:t>
      </w:r>
    </w:p>
    <w:p>
      <w:pPr>
        <w:pStyle w:val="Heading2"/>
      </w:pPr>
      <w:r>
        <w:t>C28 Coaching and college</w:t>
      </w:r>
    </w:p>
    <w:p>
      <w:r>
        <w:t>Scenario: A learner cancels after attending some sessions; the refund depends on the applicable agreement and recorded consumption.</w:t>
      </w:r>
    </w:p>
    <w:p>
      <w:r>
        <w:t>Model elements: Commercial agreement/policy version; cancellation request; learning/service consumption; financial ledger; refund approval; entitlement end date.</w:t>
      </w:r>
    </w:p>
    <w:p>
      <w:r>
        <w:t>Required behaviour: Calculate and approve the adjustment from the applicable policy and evidence; preserve original transactions and learning history.</w:t>
      </w:r>
    </w:p>
    <w:p>
      <w:r>
        <w:t>Failure to prevent: Deleting an enrolment or reversing a balance loses the contractual basis, consumed services and audit trail for the refund.</w:t>
      </w:r>
    </w:p>
    <w:p>
      <w:pPr>
        <w:pStyle w:val="Heading2"/>
      </w:pPr>
      <w:r>
        <w:t>C29 Multi-institution group</w:t>
      </w:r>
    </w:p>
    <w:p>
      <w:r>
        <w:t>Scenario: A learner transfers between centres that have different fee-collecting entities, and a sponsor funds only one programme.</w:t>
      </w:r>
    </w:p>
    <w:p>
      <w:r>
        <w:t>Model elements: Operating/contracting entity; commercial agreements; invoice issuer; payer allocation; enrolment transfer; financial adjustments.</w:t>
      </w:r>
    </w:p>
    <w:p>
      <w:r>
        <w:t>Required behaviour: Financial obligations and payment allocation remain attached to the correct issuer, agreement and payer scope.</w:t>
      </w:r>
    </w:p>
    <w:p>
      <w:r>
        <w:t>Failure to prevent: One group-wide wallet or student balance merges obligations that the institutions intend to keep separate.</w:t>
      </w:r>
    </w:p>
    <w:p>
      <w:pPr>
        <w:pStyle w:val="Heading2"/>
      </w:pPr>
      <w:r>
        <w:t>C30 Residential school and college</w:t>
      </w:r>
    </w:p>
    <w:p>
      <w:r>
        <w:t>Scenario: A learner uses a hostel, changes beds midterm and takes hostel leave while continuing academic enrolment.</w:t>
      </w:r>
    </w:p>
    <w:p>
      <w:r>
        <w:t>Model elements: Residential service enrolment; hostel/room/bed resources; effective-dated allocation; residential attendance/leave; service charges.</w:t>
      </w:r>
    </w:p>
    <w:p>
      <w:r>
        <w:t>Required behaviour: Residence allocation and presence have their own lifecycle and do not redefine academic enrolment or classroom attendance.</w:t>
      </w:r>
    </w:p>
    <w:p>
      <w:r>
        <w:t>Failure to prevent: Treating hostel as a class attribute cannot preserve bed history, capacity or separate residential and academic presence.</w:t>
      </w:r>
    </w:p>
    <w:p>
      <w:pPr>
        <w:pStyle w:val="Heading2"/>
      </w:pPr>
      <w:r>
        <w:t>C31 School and college</w:t>
      </w:r>
    </w:p>
    <w:p>
      <w:r>
        <w:t>Scenario: A learner uses different morning and afternoon transport routes and suspends transport while continuing classes.</w:t>
      </w:r>
    </w:p>
    <w:p>
      <w:r>
        <w:t>Model elements: Transport service entitlement; route; trip; stop; effective-dated trip roster; boarding events; authorised pickup; service billing.</w:t>
      </w:r>
    </w:p>
    <w:p>
      <w:r>
        <w:t>Required behaviour: Transport eligibility and observed trip events remain distinct from classroom attendance and academic enrolment.</w:t>
      </w:r>
    </w:p>
    <w:p>
      <w:r>
        <w:t>Failure to prevent: One bus field cannot represent direction, trip dates or changing service use; a boarding event is mistaken for classroom presence.</w:t>
      </w:r>
    </w:p>
    <w:p>
      <w:pPr>
        <w:pStyle w:val="Heading2"/>
      </w:pPr>
      <w:r>
        <w:t>C32 All institute types</w:t>
      </w:r>
    </w:p>
    <w:p>
      <w:r>
        <w:t>Scenario: A scheduled class is cancelled, replaced by a substitute-led session and followed by a makeup session.</w:t>
      </w:r>
    </w:p>
    <w:p>
      <w:r>
        <w:t>Model elements: Session identity/status; rescheduling links; staff assignments; resource bookings; attendance evidence; charge/consumption rules.</w:t>
      </w:r>
    </w:p>
    <w:p>
      <w:r>
        <w:t>Required behaviour: A cancellation, replacement and makeup have explicit relationships; only applicable delivered sessions count toward attendance or consumption.</w:t>
      </w:r>
    </w:p>
    <w:p>
      <w:r>
        <w:t>Failure to prevent: Editing a timetable cell destroys the original event and may count both cancelled and replacement sessions or charge twice.</w:t>
      </w:r>
    </w:p>
    <w:p>
      <w:pPr>
        <w:pStyle w:val="Heading2"/>
      </w:pPr>
      <w:r>
        <w:t>C33 All institute types</w:t>
      </w:r>
    </w:p>
    <w:p>
      <w:r>
        <w:t>Scenario: One programme uses numerical marks, another uses pass/fail outcomes and a coaching test produces ranks and percentiles.</w:t>
      </w:r>
    </w:p>
    <w:p>
      <w:r>
        <w:t>Model elements: Typed assessment scheme; assessment attempts; raw observations; outcome calculation policy; result versions; publication scope.</w:t>
      </w:r>
    </w:p>
    <w:p>
      <w:r>
        <w:t>Required behaviour: Store results in their actual scheme and calculate derived outcomes from a versioned policy and defined comparison population.</w:t>
      </w:r>
    </w:p>
    <w:p>
      <w:r>
        <w:t>Failure to prevent: One marks-out-of-100 field misrepresents qualitative outcomes, while arbitrary form fields cannot safely calculate progression or ranking.</w:t>
      </w:r>
    </w:p>
    <w:p>
      <w:pPr>
        <w:pStyle w:val="Heading2"/>
      </w:pPr>
      <w:r>
        <w:t>C34 Coaching and college</w:t>
      </w:r>
    </w:p>
    <w:p>
      <w:r>
        <w:t>Scenario: A hybrid course mixes live classroom sessions, recorded lessons and practice tests, with different completion expectations.</w:t>
      </w:r>
    </w:p>
    <w:p>
      <w:r>
        <w:t>Model elements: Course offering; learning components; live sessions; content entitlements; activity evidence; component completion rules.</w:t>
      </w:r>
    </w:p>
    <w:p>
      <w:r>
        <w:t>Required behaviour: Physical attendance, recording consumption and assessment completion are distinct evidence types combined only by an explicit rule.</w:t>
      </w:r>
    </w:p>
    <w:p>
      <w:r>
        <w:t>Failure to prevent: A universal attendance checkbox treats video access as classroom presence and cannot explain whether the learner completed required work.</w:t>
      </w:r>
    </w:p>
    <w:p>
      <w:pPr>
        <w:pStyle w:val="Heading2"/>
      </w:pPr>
      <w:r>
        <w:t>C35 All institute types</w:t>
      </w:r>
    </w:p>
    <w:p>
      <w:r>
        <w:t>Scenario: An administrator changes a grading rule or refund policy after some results or transactions have already been finalised.</w:t>
      </w:r>
    </w:p>
    <w:p>
      <w:r>
        <w:t>Model elements: Versioned configuration; effective dates; decision snapshots; approval workflows; immutable historical records; explicit correction/migration actions.</w:t>
      </w:r>
    </w:p>
    <w:p>
      <w:r>
        <w:t>Required behaviour: New configuration affects its intended effective scope; historical decisions change only through a recorded authorised process.</w:t>
      </w:r>
    </w:p>
    <w:p>
      <w:r>
        <w:t>Failure to prevent: A generic live settings table silently recalculates past results or money outcomes, leaving staff unable to explain earlier decisions.</w:t>
      </w:r>
    </w:p>
    <w:p>
      <w:pPr>
        <w:pStyle w:val="Heading1"/>
      </w:pPr>
      <w:r>
        <w:t>Appendix C Source notes</w:t>
      </w:r>
    </w:p>
    <w:p>
      <w:r>
        <w:t>Sources below support specific precedents and technical concepts. The proposed eight-family model, governance records, templates, UX, commands, constraints and workflows are design choices. New governance sources were checked on 7 October 2026; institutional adoption must retain applicable amendments and source versions. No source establishes that this complete framework is already standard or proves universal institutional coverage.</w:t>
      </w:r>
    </w:p>
    <w:p>
      <w:pPr>
        <w:keepNext/>
      </w:pPr>
      <w:r>
        <w:rPr>
          <w:b/>
        </w:rPr>
        <w:t>[1] 1EdTech OneRoster 1.2 Rostering Information Model and standard overview</w:t>
      </w:r>
    </w:p>
    <w:p>
      <w:r>
        <w:t xml:space="preserve">Sections 6.1.2, 6.1.5, 6.1.8, 6.1.14 and 6.1.18 distinguish periods, classes, courses, enrolments and organisations. Final information model. Its K-12 interoperability scope does not define all internal school/college business processes. </w:t>
      </w:r>
      <w:hyperlink r:id="rId12">
        <w:r>
          <w:rPr>
            <w:color w:val="164A75"/>
            <w:u w:val="single"/>
          </w:rPr>
          <w:t>Open official source</w:t>
        </w:r>
      </w:hyperlink>
    </w:p>
    <w:p>
      <w:pPr>
        <w:keepNext/>
      </w:pPr>
      <w:r>
        <w:rPr>
          <w:b/>
        </w:rPr>
        <w:t>[2] 1EdTech Edu-API v1.0 public specification document</w:t>
      </w:r>
    </w:p>
    <w:p>
      <w:r>
        <w:t xml:space="preserve">Sections 1.3, 3.3 and the CourseTemplate/CourseOffering, Affiliation and Enrollment definitions support catalogue, delivery and participation distinctions, including unscheduled delivery. Inspected document is Candidate Final. </w:t>
      </w:r>
      <w:hyperlink r:id="rId13">
        <w:r>
          <w:rPr>
            <w:color w:val="164A75"/>
            <w:u w:val="single"/>
          </w:rPr>
          <w:t>Open official source</w:t>
        </w:r>
      </w:hyperlink>
    </w:p>
    <w:p>
      <w:pPr>
        <w:keepNext/>
      </w:pPr>
      <w:r>
        <w:rPr>
          <w:b/>
        </w:rPr>
        <w:t>[3] 1EdTech current Edu-API standards portal</w:t>
      </w:r>
    </w:p>
    <w:p>
      <w:r>
        <w:t xml:space="preserve">On 6 October 2026 the official portal labels the v1.0 specification Candidate Final and the gradebook service Public Candidate Final. This is a status check, not a recommendation to require that integration at launch. </w:t>
      </w:r>
      <w:hyperlink r:id="rId14">
        <w:r>
          <w:rPr>
            <w:color w:val="164A75"/>
            <w:u w:val="single"/>
          </w:rPr>
          <w:t>Open official source</w:t>
        </w:r>
      </w:hyperlink>
    </w:p>
    <w:p>
      <w:pPr>
        <w:keepNext/>
      </w:pPr>
      <w:r>
        <w:rPr>
          <w:b/>
        </w:rPr>
        <w:t>[4] NIST SP 800-162</w:t>
      </w:r>
    </w:p>
    <w:p>
      <w:r>
        <w:t xml:space="preserve">Defines ABAC using subject, object, operation and environmental attributes with policies/rules/relationships. Published January 2014, updated through August 2019. Does not prescribe educational role defaults. </w:t>
      </w:r>
      <w:hyperlink r:id="rId15">
        <w:r>
          <w:rPr>
            <w:color w:val="164A75"/>
            <w:u w:val="single"/>
          </w:rPr>
          <w:t>Open official source</w:t>
        </w:r>
      </w:hyperlink>
    </w:p>
    <w:p>
      <w:pPr>
        <w:keepNext/>
      </w:pPr>
      <w:r>
        <w:rPr>
          <w:b/>
        </w:rPr>
        <w:t>[5] JSON Schema validation vocabulary for Draft 2020-12</w:t>
      </w:r>
    </w:p>
    <w:p>
      <w:r>
        <w:t xml:space="preserve">Describes structural validation assertions. Structural schema checks do not establish institutional referential integrity, approval authority or domain correctness. The cited document is an Internet-Draft, not an IETF-final RFC. </w:t>
      </w:r>
      <w:hyperlink r:id="rId16">
        <w:r>
          <w:rPr>
            <w:color w:val="164A75"/>
            <w:u w:val="single"/>
          </w:rPr>
          <w:t>Open official source</w:t>
        </w:r>
      </w:hyperlink>
    </w:p>
    <w:p>
      <w:pPr>
        <w:keepNext/>
      </w:pPr>
      <w:r>
        <w:rPr>
          <w:b/>
        </w:rPr>
        <w:t>[6] CBSE Affiliation Bye Laws governance provisions</w:t>
      </w:r>
    </w:p>
    <w:p>
      <w:r>
        <w:t xml:space="preserve">Clauses 8.4 and 8.5 and 9.1 to 9.3 support the separation of management, SMC and principal. Apply current amendments and relevant government rules. This source is not used for unrelated staffing or training requirements. </w:t>
      </w:r>
      <w:hyperlink r:id="rId17">
        <w:r>
          <w:rPr>
            <w:color w:val="164A75"/>
            <w:u w:val="single"/>
          </w:rPr>
          <w:t>Open official source</w:t>
        </w:r>
      </w:hyperlink>
    </w:p>
    <w:p>
      <w:pPr>
        <w:keepNext/>
      </w:pPr>
      <w:r>
        <w:rPr>
          <w:b/>
        </w:rPr>
        <w:t>[7] Ministry of Education clarification on SMC Guidelines 2026</w:t>
      </w:r>
    </w:p>
    <w:p>
      <w:r>
        <w:t xml:space="preserve">21 May 2026. Specifies the unaided-school applicability exclusion; it does not replace a separate board or state obligation. </w:t>
      </w:r>
      <w:hyperlink r:id="rId18">
        <w:r>
          <w:rPr>
            <w:color w:val="164A75"/>
            <w:u w:val="single"/>
          </w:rPr>
          <w:t>Open official source</w:t>
        </w:r>
      </w:hyperlink>
    </w:p>
    <w:p>
      <w:pPr>
        <w:keepNext/>
      </w:pPr>
      <w:r>
        <w:rPr>
          <w:b/>
        </w:rPr>
        <w:t>[8] UGC autonomous college regulations 2023</w:t>
      </w:r>
    </w:p>
    <w:p>
      <w:r>
        <w:t xml:space="preserve">Clauses 12.1 to 12.6 distinguish the bodies and their roles in the covered autonomous colleges. The source does not establish a universal electronic-meeting procedure. </w:t>
      </w:r>
      <w:hyperlink r:id="rId19">
        <w:r>
          <w:rPr>
            <w:color w:val="164A75"/>
            <w:u w:val="single"/>
          </w:rPr>
          <w:t>Open official source</w:t>
        </w:r>
      </w:hyperlink>
    </w:p>
    <w:p>
      <w:pPr>
        <w:keepNext/>
      </w:pPr>
      <w:r>
        <w:rPr>
          <w:b/>
        </w:rPr>
        <w:t>[9] Central Universities Act 2009</w:t>
      </w:r>
    </w:p>
    <w:p>
      <w:r>
        <w:t xml:space="preserve">Sections 19 to 29 and the applicable statutes provide an example of legally constituted university authorities. Do not apply this Act’s body names or procedures to every university. </w:t>
      </w:r>
      <w:hyperlink r:id="rId20">
        <w:r>
          <w:rPr>
            <w:color w:val="164A75"/>
            <w:u w:val="single"/>
          </w:rPr>
          <w:t>Open official source</w:t>
        </w:r>
      </w:hyperlink>
    </w:p>
    <w:p>
      <w:pPr>
        <w:keepNext/>
      </w:pPr>
      <w:r>
        <w:rPr>
          <w:b/>
        </w:rPr>
        <w:t>[10] Ministry of Education reply on private coaching oversight</w:t>
      </w:r>
    </w:p>
    <w:p>
      <w:r>
        <w:t xml:space="preserve">12 August 2026. Confirms that 2024 central guidance was sent for State/UT legal frameworks and that differing state instruments followed. Individual state requirements need their own applicable sources. </w:t>
      </w:r>
      <w:hyperlink r:id="rId21">
        <w:r>
          <w:rPr>
            <w:color w:val="164A75"/>
            <w:u w:val="single"/>
          </w:rPr>
          <w:t>Open official source</w:t>
        </w:r>
      </w:hyperlink>
    </w:p>
    <w:p>
      <w:pPr>
        <w:keepNext/>
      </w:pPr>
      <w:r>
        <w:rPr>
          <w:b/>
        </w:rPr>
        <w:t>[11] Controller of Certifying Authorities eSign service</w:t>
      </w:r>
    </w:p>
    <w:p>
      <w:r>
        <w:t xml:space="preserve">Describes electronic signing through its prescribed framework. Signature evidence, institutional authority and a valid decision procedure remain distinct questions. </w:t>
      </w:r>
      <w:hyperlink r:id="rId22">
        <w:r>
          <w:rPr>
            <w:color w:val="164A75"/>
            <w:u w:val="single"/>
          </w:rPr>
          <w:t>Open official source</w:t>
        </w:r>
      </w:hyperlink>
    </w:p>
    <w:p>
      <w:pPr>
        <w:keepNext/>
      </w:pPr>
      <w:r>
        <w:rPr>
          <w:b/>
        </w:rPr>
        <w:t>[12] Ministry of Education reply on education fees</w:t>
      </w:r>
    </w:p>
    <w:p>
      <w:r>
        <w:t xml:space="preserve">12 August 2026. Describes state jurisdiction and the CBSE SMC or prescribed government process for fee revisions. The product must bind the actual applicable route. </w:t>
      </w:r>
      <w:hyperlink r:id="rId23">
        <w:r>
          <w:rPr>
            <w:color w:val="164A75"/>
            <w:u w:val="single"/>
          </w:rPr>
          <w:t>Open official source</w:t>
        </w:r>
      </w:hyperlink>
    </w:p>
    <w:p>
      <w:pPr>
        <w:pStyle w:val="Heading1"/>
      </w:pPr>
      <w:r>
        <w:t>Appendix D Governance coverage cases</w:t>
      </w:r>
    </w:p>
    <w:p>
      <w:r>
        <w:t>These 24 cases extend the original 35 cases. Each is a proposed acceptance condition for the model and future implementation. They have not been executed against a working application. Use the relevant institution’s adopted procedure when turning them into fixtures.</w:t>
      </w:r>
    </w:p>
    <w:p>
      <w:pPr>
        <w:pStyle w:val="Heading2"/>
      </w:pPr>
      <w:r>
        <w:t>G01 Technical administrator seeks a voting seat</w:t>
      </w:r>
    </w:p>
    <w:p>
      <w:r>
        <w:t>Scenario: A user with agenda-management access adds themselves to a body.</w:t>
      </w:r>
    </w:p>
    <w:p>
      <w:r>
        <w:t>Required result: The draft requires appointment authority; technical access creates no seat, vote or governance power.</w:t>
      </w:r>
    </w:p>
    <w:p>
      <w:pPr>
        <w:pStyle w:val="Heading2"/>
      </w:pPr>
      <w:r>
        <w:t>G02 A reserved fee policy reaches a principal</w:t>
      </w:r>
    </w:p>
    <w:p>
      <w:r>
        <w:t>Scenario: The principal can decide individual concessions but submits a new annual fee schedule.</w:t>
      </w:r>
    </w:p>
    <w:p>
      <w:r>
        <w:t>Required result: Resolve the applicable reserved and external fee process. The concession delegation cannot authorise policy adoption.</w:t>
      </w:r>
    </w:p>
    <w:p>
      <w:pPr>
        <w:pStyle w:val="Heading2"/>
      </w:pPr>
      <w:r>
        <w:t>G03 One member holds two positions</w:t>
      </w:r>
    </w:p>
    <w:p>
      <w:r>
        <w:t>Scenario: A person participates as both an employee representative and officeholder.</w:t>
      </w:r>
    </w:p>
    <w:p>
      <w:r>
        <w:t>Required result: Apply the adopted voting and representation rule using verified identity; do not multiply votes through app roles.</w:t>
      </w:r>
    </w:p>
    <w:p>
      <w:pPr>
        <w:pStyle w:val="Heading2"/>
      </w:pPr>
      <w:r>
        <w:t>G04 Quorum changes during an agenda</w:t>
      </w:r>
    </w:p>
    <w:p>
      <w:r>
        <w:t>Scenario: A member leaves or recuses before a particular motion.</w:t>
      </w:r>
    </w:p>
    <w:p>
      <w:r>
        <w:t>Required result: Re-evaluate the required eligible participation and threshold for that item; preserve the reason and evidence.</w:t>
      </w:r>
    </w:p>
    <w:p>
      <w:pPr>
        <w:pStyle w:val="Heading2"/>
      </w:pPr>
      <w:r>
        <w:t>G05 Abstention and recusal differ</w:t>
      </w:r>
    </w:p>
    <w:p>
      <w:r>
        <w:t>Scenario: A member abstains; another is excluded for a disclosed conflict.</w:t>
      </w:r>
    </w:p>
    <w:p>
      <w:r>
        <w:t>Required result: Maintain distinct states and use the procedure’s explicit denominator rules instead of treating both as yes or missing.</w:t>
      </w:r>
    </w:p>
    <w:p>
      <w:pPr>
        <w:pStyle w:val="Heading2"/>
      </w:pPr>
      <w:r>
        <w:t>G06 A required seat is vacant</w:t>
      </w:r>
    </w:p>
    <w:p>
      <w:r>
        <w:t>Scenario: The attendance count looks sufficient but a mandatory category is absent.</w:t>
      </w:r>
    </w:p>
    <w:p>
      <w:r>
        <w:t>Required result: Apply the actual composition and quorum rules and record any allowed vacancy treatment; do not count invitations.</w:t>
      </w:r>
    </w:p>
    <w:p>
      <w:pPr>
        <w:pStyle w:val="Heading2"/>
      </w:pPr>
      <w:r>
        <w:t>G07 A term ends during circulation</w:t>
      </w:r>
    </w:p>
    <w:p>
      <w:r>
        <w:t>Scenario: A member’s appointment expires after opening but before closure.</w:t>
      </w:r>
    </w:p>
    <w:p>
      <w:r>
        <w:t>Required result: Apply the declared continuation, replacement or restart rule without silently rewriting the electorate or past response.</w:t>
      </w:r>
    </w:p>
    <w:p>
      <w:pPr>
        <w:pStyle w:val="Heading2"/>
      </w:pPr>
      <w:r>
        <w:t>G08 A former member seeks a new vote</w:t>
      </w:r>
    </w:p>
    <w:p>
      <w:r>
        <w:t>Scenario: A saved task or old mobile session names a former governor.</w:t>
      </w:r>
    </w:p>
    <w:p>
      <w:r>
        <w:t>Required result: Current eligibility governs the new action even though the historical task remains visible where authorised.</w:t>
      </w:r>
    </w:p>
    <w:p>
      <w:pPr>
        <w:pStyle w:val="Heading2"/>
      </w:pPr>
      <w:r>
        <w:t>G09 The approved amount changes</w:t>
      </w:r>
    </w:p>
    <w:p>
      <w:r>
        <w:t>Scenario: A secretary increases the amount after recommendations or votes.</w:t>
      </w:r>
    </w:p>
    <w:p>
      <w:r>
        <w:t>Required result: Create a new material proposal version and renew affected decisions; prior approval cannot be repurposed.</w:t>
      </w:r>
    </w:p>
    <w:p>
      <w:pPr>
        <w:pStyle w:val="Heading2"/>
      </w:pPr>
      <w:r>
        <w:t>G10 Two independent powers are required</w:t>
      </w:r>
    </w:p>
    <w:p>
      <w:r>
        <w:t>Scenario: Academic approval exists for a new programme but a required financial decision is pending.</w:t>
      </w:r>
    </w:p>
    <w:p>
      <w:r>
        <w:t>Required result: Keep activation pending until the complete required authority set and external conditions are satisfied.</w:t>
      </w:r>
    </w:p>
    <w:p>
      <w:pPr>
        <w:pStyle w:val="Heading2"/>
      </w:pPr>
      <w:r>
        <w:t>G11 A valid decision outlives its members</w:t>
      </w:r>
    </w:p>
    <w:p>
      <w:r>
        <w:t>Scenario: All members who adopted a resolution later leave.</w:t>
      </w:r>
    </w:p>
    <w:p>
      <w:r>
        <w:t>Required result: Retain the historical resolution and its explicit current status; membership turnover alone does not erase it.</w:t>
      </w:r>
    </w:p>
    <w:p>
      <w:pPr>
        <w:pStyle w:val="Heading2"/>
      </w:pPr>
      <w:r>
        <w:t>G12 An old executor receives a task</w:t>
      </w:r>
    </w:p>
    <w:p>
      <w:r>
        <w:t>Scenario: An accountant loses execution permission after the resolution is adopted.</w:t>
      </w:r>
    </w:p>
    <w:p>
      <w:r>
        <w:t>Required result: Preserve the resolution, deny the former executor’s new action and route to a currently authorised person.</w:t>
      </w:r>
    </w:p>
    <w:p>
      <w:pPr>
        <w:pStyle w:val="Heading2"/>
      </w:pPr>
      <w:r>
        <w:t>G13 Retries attempt duplicate use</w:t>
      </w:r>
    </w:p>
    <w:p>
      <w:r>
        <w:t>Scenario: An executor retries a one-time approved refund after an uncertain response.</w:t>
      </w:r>
    </w:p>
    <w:p>
      <w:r>
        <w:t>Required result: Deduplicate the business effect and reconcile provider state; internal approval is not proof of settlement.</w:t>
      </w:r>
    </w:p>
    <w:p>
      <w:pPr>
        <w:pStyle w:val="Heading2"/>
      </w:pPr>
      <w:r>
        <w:t>G14 Split purchases cross a delegated limit</w:t>
      </w:r>
    </w:p>
    <w:p>
      <w:r>
        <w:t>Scenario: Related purchases are submitted separately against a period-limited mandate.</w:t>
      </w:r>
    </w:p>
    <w:p>
      <w:r>
        <w:t>Required result: Apply the adopted aggregation and usage policy atomically; an approval ceiling is not reset by a new request ID.</w:t>
      </w:r>
    </w:p>
    <w:p>
      <w:pPr>
        <w:pStyle w:val="Heading2"/>
      </w:pPr>
      <w:r>
        <w:t>G15 A governance draft approves itself</w:t>
      </w:r>
    </w:p>
    <w:p>
      <w:r>
        <w:t>Scenario: An administrator lowers quorum and tries to adopt the change under that quorum.</w:t>
      </w:r>
    </w:p>
    <w:p>
      <w:r>
        <w:t>Required result: Use the currently effective amendment authority or a separately verified external instrument.</w:t>
      </w:r>
    </w:p>
    <w:p>
      <w:pPr>
        <w:pStyle w:val="Heading2"/>
      </w:pPr>
      <w:r>
        <w:t>G16 A physical meeting is entered later</w:t>
      </w:r>
    </w:p>
    <w:p>
      <w:r>
        <w:t>Scenario: The secretary records an authorised decision from signed minutes.</w:t>
      </w:r>
    </w:p>
    <w:p>
      <w:r>
        <w:t>Required result: Retain source, real decision date, capture time and verification; do not invent individual app ballots.</w:t>
      </w:r>
    </w:p>
    <w:p>
      <w:pPr>
        <w:pStyle w:val="Heading2"/>
      </w:pPr>
      <w:r>
        <w:t>G17 A signature exists without decision power</w:t>
      </w:r>
    </w:p>
    <w:p>
      <w:r>
        <w:t>Scenario: A member signs a proposal but the required body has not decided it.</w:t>
      </w:r>
    </w:p>
    <w:p>
      <w:r>
        <w:t>Required result: A signature proves only the evidence supported by its process; the missing collective authority remains unresolved.</w:t>
      </w:r>
    </w:p>
    <w:p>
      <w:pPr>
        <w:pStyle w:val="Heading2"/>
      </w:pPr>
      <w:r>
        <w:t>G18 An offline vote reaches a closed case</w:t>
      </w:r>
    </w:p>
    <w:p>
      <w:r>
        <w:t>Scenario: A phone submits a queued response after closure or a material version change.</w:t>
      </w:r>
    </w:p>
    <w:p>
      <w:r>
        <w:t>Required result: The server checks time, version and eligibility; an unaccepted offline draft is not shown as a recorded vote.</w:t>
      </w:r>
    </w:p>
    <w:p>
      <w:pPr>
        <w:pStyle w:val="Heading2"/>
      </w:pPr>
      <w:r>
        <w:t>G19 A principal is the subject of a complaint</w:t>
      </w:r>
    </w:p>
    <w:p>
      <w:r>
        <w:t>Scenario: The default reporting line would return the case to the person complained about.</w:t>
      </w:r>
    </w:p>
    <w:p>
      <w:r>
        <w:t>Required result: Use the applicable independent or alternative case route and its confidentiality rules.</w:t>
      </w:r>
    </w:p>
    <w:p>
      <w:pPr>
        <w:pStyle w:val="Heading2"/>
      </w:pPr>
      <w:r>
        <w:t>G20 A governor requests private case records</w:t>
      </w:r>
    </w:p>
    <w:p>
      <w:r>
        <w:t>Scenario: An oversight user opens a personnel or counselling attachment unrelated to their authorised matter.</w:t>
      </w:r>
    </w:p>
    <w:p>
      <w:r>
        <w:t>Required result: Apply record and field projections; committee membership does not imply unrestricted access.</w:t>
      </w:r>
    </w:p>
    <w:p>
      <w:pPr>
        <w:pStyle w:val="Heading2"/>
      </w:pPr>
      <w:r>
        <w:t>G21 An emergency route is invoked</w:t>
      </w:r>
    </w:p>
    <w:p>
      <w:r>
        <w:t>Scenario: An urgent action claims exemption from the ordinary process.</w:t>
      </w:r>
    </w:p>
    <w:p>
      <w:r>
        <w:t>Required result: Require the defined emergency power, limits, evidence and subsequent review; never fabricate prior approval.</w:t>
      </w:r>
    </w:p>
    <w:p>
      <w:pPr>
        <w:pStyle w:val="Heading2"/>
      </w:pPr>
      <w:r>
        <w:t>G22 The only authority is unavailable</w:t>
      </w:r>
    </w:p>
    <w:p>
      <w:r>
        <w:t>Scenario: A small institute has no active acting appointment or succession instrument.</w:t>
      </w:r>
    </w:p>
    <w:p>
      <w:r>
        <w:t>Required result: Keep affected decisions pending through the authorised continuity process; technical account recovery cannot appoint a successor.</w:t>
      </w:r>
    </w:p>
    <w:p>
      <w:pPr>
        <w:pStyle w:val="Heading2"/>
      </w:pPr>
      <w:r>
        <w:t>G23 Internal approval needs an external condition</w:t>
      </w:r>
    </w:p>
    <w:p>
      <w:r>
        <w:t>Scenario: The institute approves an action awaiting an external order or acceptance.</w:t>
      </w:r>
    </w:p>
    <w:p>
      <w:r>
        <w:t>Required result: Keep the condition pending until valid scoped evidence is verified; submission and acceptance remain distinct.</w:t>
      </w:r>
    </w:p>
    <w:p>
      <w:pPr>
        <w:pStyle w:val="Heading2"/>
      </w:pPr>
      <w:r>
        <w:t>G24 An action is marked complete without evidence</w:t>
      </w:r>
    </w:p>
    <w:p>
      <w:r>
        <w:t>Scenario: An implementation owner ticks complete on an inspection finding.</w:t>
      </w:r>
    </w:p>
    <w:p>
      <w:r>
        <w:t>Required result: Record submission, require the configured evidence and verification, and preserve overdue or unresolved status when closure is not justified.</w:t>
      </w:r>
    </w:p>
    <w:sectPr w:rsidR="00FC693F" w:rsidRPr="0006063C" w:rsidSect="00034616">
      <w:headerReference w:type="default" r:id="rId9"/>
      <w:footerReference w:type="default" r:id="rId10"/>
      <w:pgSz w:w="11909" w:h="16834"/>
      <w:pgMar w:top="1008" w:right="1037" w:bottom="936" w:left="1037" w:header="432" w:footer="432"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Framework revision" w:initials="FR" w:date="2026-10-07T05:30:30Z">
    <w:p>
      <w:pPr>
        <w:pStyle w:val="CommentText"/>
      </w:pPr>
      <w:r>
        <w:rPr>
          <w:rStyle w:val="CommentReference"/>
        </w:rPr>
        <w:annotationRef/>
      </w:r>
      <w:r>
        <w:t>Added in version 2. This section makes authority and governance proceedings explicit while retaining the original two experiences. Related changes are integrated into setup, permissions, workflows, runtime checks and the record inventory.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000000"/>
        <w:sz w:val="16"/>
      </w:rPr>
      <w:t xml:space="preserve">Framework specification v2.1  |  7 October 2026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INSTITUTE CONFIGURATION AND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yperlink" Target="https://www.imsglobal.org/spec/oneroster/v1p2/rostering/info" TargetMode="External"/><Relationship Id="rId13" Type="http://schemas.openxmlformats.org/officeDocument/2006/relationships/hyperlink" Target="https://www.imsglobal.org/node/205881" TargetMode="External"/><Relationship Id="rId14" Type="http://schemas.openxmlformats.org/officeDocument/2006/relationships/hyperlink" Target="https://standards.1edtech.org/edu-api/" TargetMode="External"/><Relationship Id="rId15" Type="http://schemas.openxmlformats.org/officeDocument/2006/relationships/hyperlink" Target="https://csrc.nist.gov/pubs/sp/800/162/upd2/final" TargetMode="External"/><Relationship Id="rId16" Type="http://schemas.openxmlformats.org/officeDocument/2006/relationships/hyperlink" Target="https://json-schema.org/draft/2020-12/draft-bhutton-json-schema-validation-01" TargetMode="External"/><Relationship Id="rId17" Type="http://schemas.openxmlformats.org/officeDocument/2006/relationships/hyperlink" Target="https://www.cbse.gov.in/cbsenew/aff-bye-laws.html" TargetMode="External"/><Relationship Id="rId18" Type="http://schemas.openxmlformats.org/officeDocument/2006/relationships/hyperlink" Target="https://www.pib.gov.in/PressReleasePage.aspx?PRID=2263719&amp;lang=1&amp;reg=20" TargetMode="External"/><Relationship Id="rId19" Type="http://schemas.openxmlformats.org/officeDocument/2006/relationships/hyperlink" Target="https://www.ugc.gov.in/pdfnews/0367475_UGC-(Conferment-of-Autonomous-Status-upon-Colleges-and-Measures-for-Maintenance-of-Standards-in-Autonomous-Colleges)-Regulations,-2023.pdf" TargetMode="External"/><Relationship Id="rId20" Type="http://schemas.openxmlformats.org/officeDocument/2006/relationships/hyperlink" Target="https://www.indiacode.nic.in/indiacode/bitstream/123456789/2080/7/a2009-25.pdf" TargetMode="External"/><Relationship Id="rId21" Type="http://schemas.openxmlformats.org/officeDocument/2006/relationships/hyperlink" Target="https://www.pib.gov.in/PressReleasePage.aspx?PRID=2298513&amp;lang=1&amp;reg=48" TargetMode="External"/><Relationship Id="rId22" Type="http://schemas.openxmlformats.org/officeDocument/2006/relationships/hyperlink" Target="https://cca.gov.in/eSign.html" TargetMode="External"/><Relationship Id="rId23" Type="http://schemas.openxmlformats.org/officeDocument/2006/relationships/hyperlink" Target="https://www.pib.gov.in/PressReleasePage.aspx?PRID=2298339&amp;lang=1&amp;reg=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Institute Configuration and Operations Framework - Version 2.1</dc:title>
  <dc:subject>Governance, authority, minimum-input setup and mobile daily work</dc:subject>
  <dc:creator>OpenAI</dc:creator>
  <cp:keywords>institute framework, governance, configuration, operations, decision authority, mobile</cp:keywords>
  <dc:description>Reviewed and adopted for OmniSchool on 7 October 2026.</dc:description>
  <cp:lastModifiedBy/>
  <cp:revision>1</cp:revision>
  <dcterms:created xsi:type="dcterms:W3CDTF">2013-12-23T23:15:00Z</dcterms:created>
  <dcterms:modified xsi:type="dcterms:W3CDTF">2013-12-23T23:15:00Z</dcterms:modified>
  <cp:category/>
</cp:coreProperties>
</file>