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C5F8A"/>
          <w:sz w:val="30"/>
          <w:szCs w:val="30"/>
        </w:rPr>
        <w:t xml:space="preserve">BÁO CÁO THỰC HÀNH</w:t>
      </w:r>
    </w:p>
    <w:p>
      <w:pPr>
        <w:spacing w:after="60" w:before="0"/>
        <w:jc w:val="center"/>
      </w:pPr>
      <w:r>
        <w:rPr>
          <w:rFonts w:ascii="Arial" w:cs="Arial" w:eastAsia="Arial" w:hAnsi="Arial"/>
          <w:b/>
          <w:bCs/>
          <w:color w:val="1A3A5C"/>
          <w:sz w:val="24"/>
          <w:szCs w:val="24"/>
        </w:rPr>
        <w:t xml:space="preserve">Kỹ Thuật Viết Prompt Hiệu Quả Trong Các Tác Vụ Học Tập</w:t>
      </w:r>
    </w:p>
    <w:p>
      <w:pPr>
        <w:pBdr>
          <w:bottom w:val="single" w:color="2C5F8A" w:sz="8" w:space="4"/>
        </w:pBdr>
        <w:spacing w:after="200" w:before="0"/>
        <w:jc w:val="center"/>
      </w:pPr>
      <w:r>
        <w:rPr>
          <w:rFonts w:ascii="Arial" w:cs="Arial" w:eastAsia="Arial" w:hAnsi="Arial"/>
          <w:i/>
          <w:iCs/>
          <w:color w:val="555555"/>
          <w:sz w:val="18"/>
          <w:szCs w:val="18"/>
        </w:rPr>
        <w:t xml:space="preserve">Môn học: VNU1001  |  Năm học: 2024 – 2025</w:t>
      </w:r>
    </w:p>
    <w:p>
      <w:pPr>
        <w:pStyle w:val="Heading1"/>
        <w:pBdr>
          <w:bottom w:val="single" w:color="2C5F8A" w:sz="6" w:space="1"/>
        </w:pBdr>
        <w:spacing w:after="100" w:before="200"/>
      </w:pPr>
      <w:r>
        <w:rPr>
          <w:rFonts w:ascii="Arial" w:cs="Arial" w:eastAsia="Arial" w:hAnsi="Arial"/>
          <w:b/>
          <w:bCs/>
          <w:color w:val="2C5F8A"/>
          <w:sz w:val="26"/>
          <w:szCs w:val="26"/>
        </w:rPr>
        <w:t xml:space="preserve">I. GIỚI THIỆU</w:t>
      </w:r>
    </w:p>
    <w:p>
      <w:pPr>
        <w:spacing w:after="60" w:before="60" w:line="276"/>
      </w:pPr>
      <w:r>
        <w:rPr>
          <w:rFonts w:ascii="Arial" w:cs="Arial" w:eastAsia="Arial" w:hAnsi="Arial"/>
          <w:sz w:val="20"/>
          <w:szCs w:val="20"/>
        </w:rPr>
        <w:t xml:space="preserve">Prompt Engineering là quá trình thiết kế các câu lệnh chất lượng cao nhằm hướng dẫn mô hình ngôn ngữ lớn (LLM) tạo ra kết quả chính xác và hữu ích. Vì AI hoạt động theo cơ chế dự đoán xác suất, một prompt mơ hồ sẽ dẫn đến phản hồi chung chung; trong khi prompt được thiết kế kỹ sẽ thu hẹp không gian xác suất và ép buộc mô hình đi đúng hướng.</w:t>
      </w:r>
    </w:p>
    <w:p>
      <w:pPr>
        <w:spacing w:after="60" w:before="60" w:line="276"/>
      </w:pPr>
      <w:r>
        <w:rPr>
          <w:rFonts w:ascii="Arial" w:cs="Arial" w:eastAsia="Arial" w:hAnsi="Arial"/>
          <w:sz w:val="20"/>
          <w:szCs w:val="20"/>
        </w:rPr>
        <w:t xml:space="preserve">Báo cáo trình bày ba tác vụ học tập phổ biến, mỗi tác vụ có 3 phiên bản prompt (Cơ bản → Cải tiến → Nâng cao), kết quả thử nghiệm trực tiếp trên ChatGPT, phân tích nguyên nhân hiệu quả, và tổng hợp các nguyên tắc cốt lõi.</w:t>
      </w:r>
    </w:p>
    <w:p>
      <w:pPr>
        <w:pStyle w:val="Heading1"/>
        <w:pBdr>
          <w:bottom w:val="single" w:color="2C5F8A" w:sz="6" w:space="1"/>
        </w:pBdr>
        <w:spacing w:after="100" w:before="200"/>
      </w:pPr>
      <w:r>
        <w:rPr>
          <w:rFonts w:ascii="Arial" w:cs="Arial" w:eastAsia="Arial" w:hAnsi="Arial"/>
          <w:b/>
          <w:bCs/>
          <w:color w:val="2C5F8A"/>
          <w:sz w:val="26"/>
          <w:szCs w:val="26"/>
        </w:rPr>
        <w:t xml:space="preserve">II. XÂY DỰNG VÀ THỬ NGHIỆM CÁC PHIÊN BẢN PROMPT</w:t>
      </w:r>
    </w:p>
    <w:p>
      <w:pPr>
        <w:pStyle w:val="Heading2"/>
        <w:spacing w:after="80" w:before="160"/>
      </w:pPr>
      <w:r>
        <w:rPr>
          <w:rFonts w:ascii="Arial" w:cs="Arial" w:eastAsia="Arial" w:hAnsi="Arial"/>
          <w:b/>
          <w:bCs/>
          <w:color w:val="1A3A5C"/>
          <w:sz w:val="22"/>
          <w:szCs w:val="22"/>
        </w:rPr>
        <w:t xml:space="preserve">Tác vụ 1: Tóm tắt tài liệu học thuật</w:t>
      </w:r>
    </w:p>
    <w:p>
      <w:pPr>
        <w:spacing w:after="60" w:before="60" w:line="276"/>
      </w:pPr>
      <w:r>
        <w:rPr>
          <w:rFonts w:ascii="Arial" w:cs="Arial" w:eastAsia="Arial" w:hAnsi="Arial"/>
          <w:i/>
          <w:iCs/>
          <w:sz w:val="20"/>
          <w:szCs w:val="20"/>
        </w:rPr>
        <w:t xml:space="preserve">Ngữ cảnh: Tóm tắt bài báo khoa học 15 trang về "Tác động của biến đổi khí hậu đến đa dạng sinh học hệ sinh thái rạn san hô".</w:t>
      </w:r>
    </w:p>
    <w:p>
      <w:pPr>
        <w:spacing w:after="100" w:before="8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706"/>
      </w:tblGrid>
      <w:tr>
        <w:trPr>
          <w:tblHeader/>
        </w:trPr>
        <w:tc>
          <w:tcPr>
            <w:tcW w:type="dxa" w:w="12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Cấp độ</w:t>
            </w:r>
          </w:p>
        </w:tc>
        <w:tc>
          <w:tcPr>
            <w:tcW w:type="dxa" w:w="44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Phiên bản Prompt</w:t>
            </w:r>
          </w:p>
        </w:tc>
        <w:tc>
          <w:tcPr>
            <w:tcW w:type="dxa" w:w="4706"/>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Kết quả / Nhận xét</w:t>
            </w:r>
          </w:p>
        </w:tc>
      </w:tr>
      <w:tr>
        <w:tc>
          <w:tcPr>
            <w:tcW w:type="dxa" w:w="12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Cơ bản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Tóm tắt cho tôi tài liệu sau: [Văn bản bài báo]</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AI trả về ~300 từ lấy ngẫu nhiên từ phần mở đầu và kết luận. Thiếu hệ thống, không nêu được luận điểm cốt lõi.</w:t>
            </w:r>
          </w:p>
        </w:tc>
      </w:tr>
      <w:tr>
        <w:tc>
          <w:tcPr>
            <w:tcW w:type="dxa" w:w="1200"/>
            <w:tcBorders>
              <w:top w:val="single" w:color="AAAAAA" w:sz="1"/>
              <w:left w:val="single" w:color="AAAAAA" w:sz="1"/>
              <w:bottom w:val="single" w:color="AAAAAA" w:sz="1"/>
              <w:right w:val="single" w:color="AAAAAA" w:sz="1"/>
            </w:tcBorders>
            <w:shd w:fill="D5EBD5"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Cải tiến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Hãy đọc kỹ tài liệu và viết bản tóm tắt súc tích, bao gồm: (1) Mục tiêu nghiên cứu, (2) Các phát hiện quan trọng, (3) Kết luận chính. [Văn bản bài báo]</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AI trả về 3 gạch đầu dòng rõ ràng. Nội dung sát trọng tâm hơn nhưng văn phong còn máy móc.</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Nâng cao</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Đóng vai nghiên cứu sinh chuyên ngành sinh học biển. Tóm tắt bài báo cho sinh viên năm nhất theo 3 bước: (1) Xác định vấn đề chính, (2) Liệt kê 3 nguyên nhân – hệ quả, (3) Viết tóm tắt ≤150 từ, tránh biệt ngữ sâu. Trình bày theo cấu trúc Cornell: cột "Từ khóa" | cột "Ghi chú chi tiết". [Văn bản]</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Kết quả vượt trội: Cấu trúc Cornell giúp ôn tập nhanh. Tóm tắt 150 từ sư phạm, dễ tiếp thu. AI tái cấu trúc kiến thức thay vì chỉ cắt dán.</w:t>
            </w:r>
          </w:p>
        </w:tc>
      </w:tr>
    </w:tbl>
    <w:p>
      <w:pPr>
        <w:spacing w:after="0" w:before="160"/>
      </w:pPr>
    </w:p>
    <w:p>
      <w:pPr>
        <w:pStyle w:val="Heading2"/>
        <w:spacing w:after="80" w:before="160"/>
      </w:pPr>
      <w:r>
        <w:rPr>
          <w:rFonts w:ascii="Arial" w:cs="Arial" w:eastAsia="Arial" w:hAnsi="Arial"/>
          <w:b/>
          <w:bCs/>
          <w:color w:val="1A3A5C"/>
          <w:sz w:val="22"/>
          <w:szCs w:val="22"/>
        </w:rPr>
        <w:t xml:space="preserve">Tác vụ 2: Giải thích khái niệm phức tạp</w:t>
      </w:r>
    </w:p>
    <w:p>
      <w:pPr>
        <w:spacing w:after="60" w:before="60" w:line="276"/>
      </w:pPr>
      <w:r>
        <w:rPr>
          <w:rFonts w:ascii="Arial" w:cs="Arial" w:eastAsia="Arial" w:hAnsi="Arial"/>
          <w:i/>
          <w:iCs/>
          <w:sz w:val="20"/>
          <w:szCs w:val="20"/>
        </w:rPr>
        <w:t xml:space="preserve">Ngữ cảnh: Giải thích sự khác biệt giữa "Học Máy" (Machine Learning) và "Học Sâu" (Deep Learning).</w:t>
      </w:r>
    </w:p>
    <w:p>
      <w:pPr>
        <w:spacing w:after="100" w:before="8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706"/>
      </w:tblGrid>
      <w:tr>
        <w:trPr>
          <w:tblHeader/>
        </w:trPr>
        <w:tc>
          <w:tcPr>
            <w:tcW w:type="dxa" w:w="12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Cấp độ</w:t>
            </w:r>
          </w:p>
        </w:tc>
        <w:tc>
          <w:tcPr>
            <w:tcW w:type="dxa" w:w="44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Phiên bản Prompt</w:t>
            </w:r>
          </w:p>
        </w:tc>
        <w:tc>
          <w:tcPr>
            <w:tcW w:type="dxa" w:w="4706"/>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Kết quả / Nhận xét</w:t>
            </w:r>
          </w:p>
        </w:tc>
      </w:tr>
      <w:tr>
        <w:tc>
          <w:tcPr>
            <w:tcW w:type="dxa" w:w="12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Cơ bản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Giải thích khái niệm 'học máy' và 'học sâu' một cách dễ hiểu.</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AI trả về định nghĩa học thuật chuẩn nhưng trừu tượng. Người không có nền tảng toán học vẫn khó nắm bắt sự khác biệt.</w:t>
            </w:r>
          </w:p>
        </w:tc>
      </w:tr>
      <w:tr>
        <w:tc>
          <w:tcPr>
            <w:tcW w:type="dxa" w:w="1200"/>
            <w:tcBorders>
              <w:top w:val="single" w:color="AAAAAA" w:sz="1"/>
              <w:left w:val="single" w:color="AAAAAA" w:sz="1"/>
              <w:bottom w:val="single" w:color="AAAAAA" w:sz="1"/>
              <w:right w:val="single" w:color="AAAAAA" w:sz="1"/>
            </w:tcBorders>
            <w:shd w:fill="D5EBD5"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Cải tiến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Giải thích 'học máy' và 'học sâu' bằng ngôn ngữ đơn giản, kèm ví dụ thực tế và bảng so sánh ngắn gọn sự khác biệt giữa hai công nghệ.</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Kết quả rõ hơn rõ rệt: có ví dụ (Netflix), bảng so sánh các tiêu chí. Tuy nhiên vẫn còn mang tính mô tả kỹ thuật.</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Nâng cao</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Bạn là giáo viên theo triết lý Feynman. Giải thích sự khác biệt ML vs DL cho học sinh lớp 7: (1) Dùng phép so sánh liên quan đến nấu ăn hoặc nhận đồ vật, (2) Tuyệt đối không dùng "mạng nơ-ron", "thuật toán", "tập dữ liệu" trong giải thích ban đầu, (3) Minh họa qua tình huống phân loại ảnh chó/mèo, (4) Tạo "ghi chú giảng dạy" tóm tắt bài học.</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AI tạo câu chuyện xuất sắc: ML giống dạy trẻ nhận quả bằng cách chỉ đặc điểm; DL là để trẻ tự quan sát hàng nghìn quả rồi tự rút quy luật. Trực quan hoàn toàn, không cần công thức.</w:t>
            </w:r>
          </w:p>
        </w:tc>
      </w:tr>
    </w:tbl>
    <w:p>
      <w:pPr>
        <w:spacing w:after="0" w:before="160"/>
      </w:pPr>
    </w:p>
    <w:p>
      <w:pPr>
        <w:pStyle w:val="Heading2"/>
        <w:spacing w:after="80" w:before="160"/>
      </w:pPr>
      <w:r>
        <w:rPr>
          <w:rFonts w:ascii="Arial" w:cs="Arial" w:eastAsia="Arial" w:hAnsi="Arial"/>
          <w:b/>
          <w:bCs/>
          <w:color w:val="1A3A5C"/>
          <w:sz w:val="22"/>
          <w:szCs w:val="22"/>
        </w:rPr>
        <w:t xml:space="preserve">Tác vụ 3: Tạo bộ câu hỏi ôn tập</w:t>
      </w:r>
    </w:p>
    <w:p>
      <w:pPr>
        <w:spacing w:after="60" w:before="60" w:line="276"/>
      </w:pPr>
      <w:r>
        <w:rPr>
          <w:rFonts w:ascii="Arial" w:cs="Arial" w:eastAsia="Arial" w:hAnsi="Arial"/>
          <w:i/>
          <w:iCs/>
          <w:sz w:val="20"/>
          <w:szCs w:val="20"/>
        </w:rPr>
        <w:t xml:space="preserve">Ngữ cảnh: Tạo bộ đề kiểm tra kiến thức về chủ đề "Cách mạng Công nghiệp 4.0".</w:t>
      </w:r>
    </w:p>
    <w:p>
      <w:pPr>
        <w:spacing w:after="100" w:before="8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706"/>
      </w:tblGrid>
      <w:tr>
        <w:trPr>
          <w:tblHeader/>
        </w:trPr>
        <w:tc>
          <w:tcPr>
            <w:tcW w:type="dxa" w:w="12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Cấp độ</w:t>
            </w:r>
          </w:p>
        </w:tc>
        <w:tc>
          <w:tcPr>
            <w:tcW w:type="dxa" w:w="44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Phiên bản Prompt</w:t>
            </w:r>
          </w:p>
        </w:tc>
        <w:tc>
          <w:tcPr>
            <w:tcW w:type="dxa" w:w="4706"/>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Kết quả / Nhận xét</w:t>
            </w:r>
          </w:p>
        </w:tc>
      </w:tr>
      <w:tr>
        <w:tc>
          <w:tcPr>
            <w:tcW w:type="dxa" w:w="12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Cơ bản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Tạo 10 câu hỏi ôn tập về chủ đề Cách mạng Công nghiệp 4.0.</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AI tạo 10 câu hỏi liệt kê/định nghĩa (Tầng Ghi nhớ – Bloom). Chỉ kiểm tra trí nhớ ngắn hạn. VD: "Kể tên 3 công nghệ cốt lõi".</w:t>
            </w:r>
          </w:p>
        </w:tc>
      </w:tr>
      <w:tr>
        <w:tc>
          <w:tcPr>
            <w:tcW w:type="dxa" w:w="1200"/>
            <w:tcBorders>
              <w:top w:val="single" w:color="AAAAAA" w:sz="1"/>
              <w:left w:val="single" w:color="AAAAAA" w:sz="1"/>
              <w:bottom w:val="single" w:color="AAAAAA" w:sz="1"/>
              <w:right w:val="single" w:color="AAAAAA" w:sz="1"/>
            </w:tcBorders>
            <w:shd w:fill="D5EBD5"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Cải tiến</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Tạo 10 câu gồm: 4 câu trắc nghiệm (4 đáp án A/B/C/D), 4 câu tự luận ngắn, 2 câu vận dụng thực tế. Kèm đáp án cho tất cả.</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Bộ câu hỏi đa dạng hơn. Câu vận dụng đã đẩy mức nhận thức cao hơn. Tuy nhiên đáp án sai (distractors) chưa đủ gây nhiễu logic.</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vAlign w:val="top"/>
          </w:tcPr>
          <w:p>
            <w:pPr>
              <w:spacing w:after="40" w:before="40" w:line="252"/>
              <w:jc w:val="center"/>
            </w:pPr>
            <w:r>
              <w:rPr>
                <w:rFonts w:ascii="Arial" w:cs="Arial" w:eastAsia="Arial" w:hAnsi="Arial"/>
                <w:b/>
                <w:bCs/>
                <w:color w:val="1A3A5C"/>
                <w:sz w:val="18"/>
                <w:szCs w:val="18"/>
              </w:rPr>
              <w:t xml:space="preserve">Nâng cao</w:t>
            </w:r>
          </w:p>
        </w:tc>
        <w:tc>
          <w:tcPr>
            <w:tcW w:type="dxa" w:w="4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Đóng vai chuyên gia khảo thí. Biên soạn bộ đề đánh giá tư duy bậc cao dựa trên Thang Bloom: (1) Phân tích 3 xu hướng cốt lõi, (2) 4 câu TN với đáp án sai là lầm tưởng phổ biến, (3) 2 câu tự luận mức "Đánh giá" và "Sáng tạo" yêu cầu tư duy hệ thống. Trình bày bảng 4 cột: Cấp độ Bloom – Loại câu – Nội dung câu – Đáp án &amp; Giải thích.</w:t>
            </w:r>
          </w:p>
        </w:tc>
        <w:tc>
          <w:tcPr>
            <w:tcW w:type="dxa" w:w="4706"/>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Bài kiểm tra đạt chuẩn học thuật: câu TN buộc phân biệt sắc thái công nghệ; câu tự luận đòi tư duy hệ thống đa góc nhìn. Bảng 4 cột dễ tích hợp vào hệ thống LMS.</w:t>
            </w:r>
          </w:p>
        </w:tc>
      </w:tr>
    </w:tbl>
    <w:p>
      <w:pPr>
        <w:pageBreakBefore/>
        <w:spacing w:after="0" w:before="160"/>
      </w:pPr>
    </w:p>
    <w:p>
      <w:pPr>
        <w:pStyle w:val="Heading1"/>
        <w:pBdr>
          <w:bottom w:val="single" w:color="2C5F8A" w:sz="6" w:space="1"/>
        </w:pBdr>
        <w:spacing w:after="100" w:before="200"/>
      </w:pPr>
      <w:r>
        <w:rPr>
          <w:rFonts w:ascii="Arial" w:cs="Arial" w:eastAsia="Arial" w:hAnsi="Arial"/>
          <w:b/>
          <w:bCs/>
          <w:color w:val="2C5F8A"/>
          <w:sz w:val="26"/>
          <w:szCs w:val="26"/>
        </w:rPr>
        <w:t xml:space="preserve">III. PHÂN TÍCH: TẠI SAO PROMPT NÂNG CAO HIỆU QUẢ HƠN?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00"/>
        <w:gridCol w:w="4153"/>
        <w:gridCol w:w="4153"/>
      </w:tblGrid>
      <w:tr>
        <w:trPr>
          <w:tblHeader/>
        </w:trPr>
        <w:tc>
          <w:tcPr>
            <w:tcW w:type="dxa" w:w="20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Yếu tố</w:t>
            </w:r>
          </w:p>
        </w:tc>
        <w:tc>
          <w:tcPr>
            <w:tcW w:type="dxa" w:w="4153"/>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Prompt Cơ bản / Cải tiến</w:t>
            </w:r>
          </w:p>
        </w:tc>
        <w:tc>
          <w:tcPr>
            <w:tcW w:type="dxa" w:w="4153"/>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Prompt Nâng cao</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vAlign w:val="top"/>
          </w:tcPr>
          <w:p>
            <w:pPr>
              <w:spacing w:after="40" w:before="40" w:line="252"/>
              <w:jc w:val="left"/>
            </w:pPr>
            <w:r>
              <w:rPr>
                <w:rFonts w:ascii="Arial" w:cs="Arial" w:eastAsia="Arial" w:hAnsi="Arial"/>
                <w:b/>
                <w:bCs/>
                <w:color w:val="1A3A5C"/>
                <w:sz w:val="18"/>
                <w:szCs w:val="18"/>
              </w:rPr>
              <w:t xml:space="preserve">Tính cụ thể
(Specificity)</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Yêu cầu mơ hồ → AI tự đoán → kết quả chung chung, trung bình hóa</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color w:val="1A5C2C"/>
                <w:sz w:val="18"/>
                <w:szCs w:val="18"/>
              </w:rPr>
              <w:t xml:space="preserve">Ràng buộc rõ (số từ, cấu trúc, từ khóa cấm) → thu hẹp không gian xác suất → đầu ra sắc bén</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vAlign w:val="top"/>
          </w:tcPr>
          <w:p>
            <w:pPr>
              <w:spacing w:after="40" w:before="40" w:line="252"/>
              <w:jc w:val="left"/>
            </w:pPr>
            <w:r>
              <w:rPr>
                <w:rFonts w:ascii="Arial" w:cs="Arial" w:eastAsia="Arial" w:hAnsi="Arial"/>
                <w:b/>
                <w:bCs/>
                <w:color w:val="1A3A5C"/>
                <w:sz w:val="18"/>
                <w:szCs w:val="18"/>
              </w:rPr>
              <w:t xml:space="preserve">Vai trò
(Role Prompting)</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Không có persona → AI dùng giọng bách khoa mặc định</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color w:val="1A5C2C"/>
                <w:sz w:val="18"/>
                <w:szCs w:val="18"/>
              </w:rPr>
              <w:t xml:space="preserve">Persona cụ thể (nghiên cứu sinh, giáo viên Feynman) → kích hoạt bộ từ vựng &amp; phong cách phù hợp</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vAlign w:val="top"/>
          </w:tcPr>
          <w:p>
            <w:pPr>
              <w:spacing w:after="40" w:before="40" w:line="252"/>
              <w:jc w:val="left"/>
            </w:pPr>
            <w:r>
              <w:rPr>
                <w:rFonts w:ascii="Arial" w:cs="Arial" w:eastAsia="Arial" w:hAnsi="Arial"/>
                <w:b/>
                <w:bCs/>
                <w:color w:val="1A3A5C"/>
                <w:sz w:val="18"/>
                <w:szCs w:val="18"/>
              </w:rPr>
              <w:t xml:space="preserve">Chuỗi tư duy
(Chain-of-Thought)</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Yêu cầu kết quả cuối trực tiếp → logic nội tại không rõ ràng</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color w:val="1A5C2C"/>
                <w:sz w:val="18"/>
                <w:szCs w:val="18"/>
              </w:rPr>
              <w:t xml:space="preserve">Phân rã bước 1 → 2 → 3 → AI xử lý tuần tự, minh bạch, dễ phát hiện lỗi suy luận</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vAlign w:val="top"/>
          </w:tcPr>
          <w:p>
            <w:pPr>
              <w:spacing w:after="40" w:before="40" w:line="252"/>
              <w:jc w:val="left"/>
            </w:pPr>
            <w:r>
              <w:rPr>
                <w:rFonts w:ascii="Arial" w:cs="Arial" w:eastAsia="Arial" w:hAnsi="Arial"/>
                <w:b/>
                <w:bCs/>
                <w:color w:val="1A3A5C"/>
                <w:sz w:val="18"/>
                <w:szCs w:val="18"/>
              </w:rPr>
              <w:t xml:space="preserve">Định dạng đầu ra
(Output Format)</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Không chỉ định → AI tự chọn → khó sử dụng lại</w:t>
            </w:r>
          </w:p>
        </w:tc>
        <w:tc>
          <w:tcPr>
            <w:tcW w:type="dxa" w:w="4153"/>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40" w:before="40" w:line="252"/>
              <w:jc w:val="left"/>
            </w:pPr>
            <w:r>
              <w:rPr>
                <w:rFonts w:ascii="Arial" w:cs="Arial" w:eastAsia="Arial" w:hAnsi="Arial"/>
                <w:color w:val="1A5C2C"/>
                <w:sz w:val="18"/>
                <w:szCs w:val="18"/>
              </w:rPr>
              <w:t xml:space="preserve">Bảng Cornell, bảng 4 cột → thông tin kết tinh có hệ thống, tối ưu cho não bộ tiếp thu</w:t>
            </w:r>
          </w:p>
        </w:tc>
      </w:tr>
    </w:tbl>
    <w:p>
      <w:pPr>
        <w:spacing w:after="0" w:before="160"/>
      </w:pPr>
    </w:p>
    <w:p>
      <w:pPr>
        <w:pStyle w:val="Heading1"/>
        <w:pBdr>
          <w:bottom w:val="single" w:color="2C5F8A" w:sz="6" w:space="1"/>
        </w:pBdr>
        <w:spacing w:after="100" w:before="200"/>
      </w:pPr>
      <w:r>
        <w:rPr>
          <w:rFonts w:ascii="Arial" w:cs="Arial" w:eastAsia="Arial" w:hAnsi="Arial"/>
          <w:b/>
          <w:bCs/>
          <w:color w:val="2C5F8A"/>
          <w:sz w:val="26"/>
          <w:szCs w:val="26"/>
        </w:rPr>
        <w:t xml:space="preserve">IV. TỔNG HỢP NGUYÊN TẮC – MÔ HÌNH 9C</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7906"/>
      </w:tblGrid>
      <w:tr>
        <w:trPr>
          <w:tblHeader/>
        </w:trPr>
        <w:tc>
          <w:tcPr>
            <w:tcW w:type="dxa" w:w="3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100"/>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Nguyên tắc</w:t>
            </w:r>
          </w:p>
        </w:tc>
        <w:tc>
          <w:tcPr>
            <w:tcW w:type="dxa" w:w="7906"/>
            <w:tcBorders>
              <w:top w:val="single" w:color="AAAAAA" w:sz="1"/>
              <w:left w:val="single" w:color="AAAAAA" w:sz="1"/>
              <w:bottom w:val="single" w:color="AAAAAA" w:sz="1"/>
              <w:right w:val="single" w:color="AAAAAA" w:sz="1"/>
            </w:tcBorders>
            <w:shd w:fill="2C5F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Nội dung cốt lõi</w:t>
            </w:r>
          </w:p>
        </w:tc>
      </w:tr>
      <w:tr>
        <w:tc>
          <w:tcPr>
            <w:tcW w:type="dxa" w:w="3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1</w:t>
            </w:r>
          </w:p>
        </w:tc>
        <w:tc>
          <w:tcPr>
            <w:tcW w:type="dxa" w:w="21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Specificity – Cụ thể</w:t>
            </w:r>
          </w:p>
        </w:tc>
        <w:tc>
          <w:tcPr>
            <w:tcW w:type="dxa" w:w="7906"/>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Xác định rõ đối tượng, mục tiêu, số lượng. AI không bao giờ đoán đúng ý định ngầm.</w:t>
            </w:r>
          </w:p>
        </w:tc>
      </w:tr>
      <w:tr>
        <w:tc>
          <w:tcPr>
            <w:tcW w:type="dxa" w:w="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Role-playing – Nhập vai</w:t>
            </w:r>
          </w:p>
        </w:tc>
        <w:tc>
          <w:tcPr>
            <w:tcW w:type="dxa" w:w="79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Luôn gán persona cụ thể để kích hoạt bộ lọc từ vựng và phong cách tư duy chuyên ngành.</w:t>
            </w:r>
          </w:p>
        </w:tc>
      </w:tr>
      <w:tr>
        <w:tc>
          <w:tcPr>
            <w:tcW w:type="dxa" w:w="3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3</w:t>
            </w:r>
          </w:p>
        </w:tc>
        <w:tc>
          <w:tcPr>
            <w:tcW w:type="dxa" w:w="21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Contextualization – Bối cảnh</w:t>
            </w:r>
          </w:p>
        </w:tc>
        <w:tc>
          <w:tcPr>
            <w:tcW w:type="dxa" w:w="7906"/>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Cung cấp đối tượng khán giả, tình huống, khoảng thời gian → cá nhân hóa và sát thực tế.</w:t>
            </w:r>
          </w:p>
        </w:tc>
      </w:tr>
      <w:tr>
        <w:tc>
          <w:tcPr>
            <w:tcW w:type="dxa" w:w="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Tone of Voice – Giọng văn</w:t>
            </w:r>
          </w:p>
        </w:tc>
        <w:tc>
          <w:tcPr>
            <w:tcW w:type="dxa" w:w="79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Chỉ định rõ: học thuật / thân thiện / truyền cảm hứng. Cùng nội dung, giọng văn quyết định sự tiếp nhận.</w:t>
            </w:r>
          </w:p>
        </w:tc>
      </w:tr>
      <w:tr>
        <w:tc>
          <w:tcPr>
            <w:tcW w:type="dxa" w:w="3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5</w:t>
            </w:r>
          </w:p>
        </w:tc>
        <w:tc>
          <w:tcPr>
            <w:tcW w:type="dxa" w:w="21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Constraints – Giới hạn</w:t>
            </w:r>
          </w:p>
        </w:tc>
        <w:tc>
          <w:tcPr>
            <w:tcW w:type="dxa" w:w="7906"/>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Đặt ràng buộc phủ định ("không dùng biệt ngữ", "tối đa 500 từ") để loại trừ luồng dữ liệu không mong muốn.</w:t>
            </w:r>
          </w:p>
        </w:tc>
      </w:tr>
      <w:tr>
        <w:tc>
          <w:tcPr>
            <w:tcW w:type="dxa" w:w="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Structuring – Cấu trúc hóa</w:t>
            </w:r>
          </w:p>
        </w:tc>
        <w:tc>
          <w:tcPr>
            <w:tcW w:type="dxa" w:w="79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Yêu cầu bảng biểu, danh sách có đánh số, sơ đồ → biến khối chữ thành thông tin có tổ chức.</w:t>
            </w:r>
          </w:p>
        </w:tc>
      </w:tr>
      <w:tr>
        <w:tc>
          <w:tcPr>
            <w:tcW w:type="dxa" w:w="3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7</w:t>
            </w:r>
          </w:p>
        </w:tc>
        <w:tc>
          <w:tcPr>
            <w:tcW w:type="dxa" w:w="21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Iteration – Lặp &amp; tinh chỉnh</w:t>
            </w:r>
          </w:p>
        </w:tc>
        <w:tc>
          <w:tcPr>
            <w:tcW w:type="dxa" w:w="7906"/>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Kết quả đầu tiên chỉ là bản nháp. Đánh giá → phản biện → tinh chỉnh qua nhiều vòng lặp.</w:t>
            </w:r>
          </w:p>
        </w:tc>
      </w:tr>
      <w:tr>
        <w:tc>
          <w:tcPr>
            <w:tcW w:type="dxa" w:w="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Open-ended Inquiry – Câu hỏi mở</w:t>
            </w:r>
          </w:p>
        </w:tc>
        <w:tc>
          <w:tcPr>
            <w:tcW w:type="dxa" w:w="79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Dùng "Phân tích", "Đánh giá", "Khám phá" thay vì câu hỏi Có/Không để kích hoạt suy luận đa chiều.</w:t>
            </w:r>
          </w:p>
        </w:tc>
      </w:tr>
      <w:tr>
        <w:tc>
          <w:tcPr>
            <w:tcW w:type="dxa" w:w="3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center"/>
            </w:pPr>
            <w:r>
              <w:rPr>
                <w:rFonts w:ascii="Arial" w:cs="Arial" w:eastAsia="Arial" w:hAnsi="Arial"/>
                <w:b/>
                <w:bCs/>
                <w:color w:val="2C5F8A"/>
                <w:sz w:val="18"/>
                <w:szCs w:val="18"/>
              </w:rPr>
              <w:t xml:space="preserve">9</w:t>
            </w:r>
          </w:p>
        </w:tc>
        <w:tc>
          <w:tcPr>
            <w:tcW w:type="dxa" w:w="2100"/>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b/>
                <w:bCs/>
                <w:sz w:val="18"/>
                <w:szCs w:val="18"/>
              </w:rPr>
              <w:t xml:space="preserve">Decomposition – Phân rã tác vụ</w:t>
            </w:r>
          </w:p>
        </w:tc>
        <w:tc>
          <w:tcPr>
            <w:tcW w:type="dxa" w:w="7906"/>
            <w:tcBorders>
              <w:top w:val="single" w:color="AAAAAA" w:sz="1"/>
              <w:left w:val="single" w:color="AAAAAA" w:sz="1"/>
              <w:bottom w:val="single" w:color="AAAAAA" w:sz="1"/>
              <w:right w:val="single" w:color="AAAAAA" w:sz="1"/>
            </w:tcBorders>
            <w:shd w:fill="EDF2F8" w:val="clear"/>
            <w:tcMar>
              <w:top w:type="dxa" w:w="60"/>
              <w:left w:type="dxa" w:w="100"/>
              <w:bottom w:type="dxa" w:w="60"/>
              <w:right w:type="dxa" w:w="100"/>
            </w:tcMar>
            <w:vAlign w:val="top"/>
          </w:tcPr>
          <w:p>
            <w:pPr>
              <w:spacing w:after="40" w:before="40" w:line="252"/>
              <w:jc w:val="left"/>
            </w:pPr>
            <w:r>
              <w:rPr>
                <w:rFonts w:ascii="Arial" w:cs="Arial" w:eastAsia="Arial" w:hAnsi="Arial"/>
                <w:sz w:val="18"/>
                <w:szCs w:val="18"/>
              </w:rPr>
              <w:t xml:space="preserve">Bẻ dự án lớn thành chuỗi tác vụ nhỏ tuyến tính (Prompt Chaining) → đảm bảo tính mạch lạc và giảm sai sót.</w:t>
            </w:r>
          </w:p>
        </w:tc>
      </w:tr>
    </w:tbl>
    <w:p>
      <w:pPr>
        <w:spacing w:after="0" w:before="160"/>
      </w:pPr>
    </w:p>
    <w:p>
      <w:pPr>
        <w:pStyle w:val="Heading1"/>
        <w:pBdr>
          <w:bottom w:val="single" w:color="2C5F8A" w:sz="6" w:space="1"/>
        </w:pBdr>
        <w:spacing w:after="100" w:before="200"/>
      </w:pPr>
      <w:r>
        <w:rPr>
          <w:rFonts w:ascii="Arial" w:cs="Arial" w:eastAsia="Arial" w:hAnsi="Arial"/>
          <w:b/>
          <w:bCs/>
          <w:color w:val="2C5F8A"/>
          <w:sz w:val="26"/>
          <w:szCs w:val="26"/>
        </w:rPr>
        <w:t xml:space="preserve">V. KẾT LUẬN</w:t>
      </w:r>
    </w:p>
    <w:p>
      <w:pPr>
        <w:spacing w:after="60" w:before="60" w:line="276"/>
      </w:pPr>
      <w:r>
        <w:rPr>
          <w:rFonts w:ascii="Arial" w:cs="Arial" w:eastAsia="Arial" w:hAnsi="Arial"/>
          <w:sz w:val="20"/>
          <w:szCs w:val="20"/>
        </w:rPr>
        <w:t xml:space="preserve">Thực nghiệm trên ba tác vụ học tập đã chứng minh: sự tiến hóa từ prompt cơ bản lên nâng cao tạo ra sự khác biệt về bản chất, không chỉ về hình thức. Bằng cách tích hợp Role Prompting, Chain-of-Thought, Constraints và Output Formatting, người học có thể chuyển đổi LLM từ "công cụ tìm kiếm" thụ động thành "gia sư Socratic" thông tuệ.</w:t>
      </w:r>
    </w:p>
    <w:p>
      <w:pPr>
        <w:spacing w:after="60" w:before="60" w:line="276"/>
      </w:pPr>
      <w:r>
        <w:rPr>
          <w:rFonts w:ascii="Arial" w:cs="Arial" w:eastAsia="Arial" w:hAnsi="Arial"/>
          <w:sz w:val="20"/>
          <w:szCs w:val="20"/>
        </w:rPr>
        <w:t xml:space="preserve">Mô hình 9C cung cấp bộ kim chỉ nam hệ thống để kiểm soát AI tạo sinh. Giá trị học thuật trong kỷ nguyên AI không còn nằm ở khả năng ghi nhớ, mà ở kỹ năng đặt câu hỏi kiến trúc – biết đóng gói tư duy thành chỉ thị thuật toán và dùng phán đoán con người để đánh giá kết quả cuối cùng.</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2C5F8A"/>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2026-04-19T15:10:48.318Z</dcterms:created>
  <dcterms:modified xsi:type="dcterms:W3CDTF">2026-04-19T15:10:48.319Z</dcterms:modified>
</cp:coreProperties>
</file>

<file path=docProps/custom.xml><?xml version="1.0" encoding="utf-8"?>
<Properties xmlns="http://schemas.openxmlformats.org/officeDocument/2006/custom-properties" xmlns:vt="http://schemas.openxmlformats.org/officeDocument/2006/docPropsVTypes"/>
</file>