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D7E5D"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D7E5D"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D7E5D"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D7E5D"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D7E5D"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 xml:space="preserve">.1.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proofErr w:type="spellStart"/>
      <w:r w:rsidR="00904645">
        <w:rPr>
          <w:lang w:val="en-US" w:eastAsia="en-US"/>
        </w:rPr>
        <w:t>Kotlin</w:t>
      </w:r>
      <w:proofErr w:type="spellEnd"/>
      <w:r w:rsidR="00904645" w:rsidRPr="00DD7004">
        <w:rPr>
          <w:lang w:val="en-US" w:eastAsia="en-US"/>
        </w:rPr>
        <w:t xml:space="preserve">, </w:t>
      </w:r>
      <w:r w:rsidR="00904645">
        <w:rPr>
          <w:lang w:val="en-US" w:eastAsia="en-US"/>
        </w:rPr>
        <w:t>Ceylon</w:t>
      </w:r>
      <w:r w:rsidR="00904645" w:rsidRPr="00DD7004">
        <w:rPr>
          <w:lang w:val="en-US" w:eastAsia="en-US"/>
        </w:rPr>
        <w:t xml:space="preserve">, </w:t>
      </w:r>
      <w:proofErr w:type="spellStart"/>
      <w:r w:rsidR="00904645">
        <w:rPr>
          <w:lang w:val="en-US" w:eastAsia="en-US"/>
        </w:rPr>
        <w:t>Xtend</w:t>
      </w:r>
      <w:proofErr w:type="spellEnd"/>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proofErr w:type="spellStart"/>
      <w:r w:rsidR="007152CA">
        <w:rPr>
          <w:lang w:val="en-US" w:eastAsia="en-US"/>
        </w:rPr>
        <w:t>eylon</w:t>
      </w:r>
      <w:proofErr w:type="spellEnd"/>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7D78DA" w:rsidP="007D78DA">
      <w:pPr>
        <w:ind w:firstLine="431"/>
        <w:rPr>
          <w:shd w:val="clear" w:color="auto" w:fill="FFFFFF"/>
          <w:lang w:val="ru-RU"/>
        </w:rPr>
      </w:pPr>
      <w:hyperlink r:id="rId11" w:history="1">
        <w:r w:rsidRPr="007D78DA">
          <w:t>Groovy</w:t>
        </w:r>
      </w:hyperlink>
      <w:r w:rsidRPr="007D78DA">
        <w:t> </w:t>
      </w:r>
      <w:r>
        <w:rPr>
          <w:shd w:val="clear" w:color="auto" w:fill="FFFFFF"/>
        </w:rPr>
        <w:t xml:space="preserve">is a dynamically typed object-oriented language. Groovy’s dynamic nature lets you manipulate your code in powerful ways. For example, you can expand objects at runtime </w:t>
      </w:r>
      <w:r>
        <w:rPr>
          <w:rStyle w:val="FootnoteReference"/>
          <w:shd w:val="clear" w:color="auto" w:fill="FFFFFF"/>
        </w:rPr>
        <w:footnoteReference w:id="13"/>
      </w:r>
      <w:r>
        <w:rPr>
          <w:shd w:val="clear" w:color="auto" w:fill="FFFFFF"/>
        </w:rPr>
        <w:t xml:space="preserve"> - </w:t>
      </w:r>
      <w:r>
        <w:rPr>
          <w:shd w:val="clear" w:color="auto" w:fill="FFFFFF"/>
        </w:rPr>
        <w:t>by adding fields or methods</w:t>
      </w:r>
      <w:r>
        <w:rPr>
          <w:shd w:val="clear" w:color="auto" w:fill="FFFFFF"/>
        </w:rPr>
        <w:t>. С</w:t>
      </w:r>
      <w:r>
        <w:rPr>
          <w:shd w:val="clear" w:color="auto" w:fill="FFFFFF"/>
          <w:lang w:val="ru-RU"/>
        </w:rPr>
        <w:t xml:space="preserve"> моей точки зрения </w:t>
      </w:r>
      <w:r>
        <w:rPr>
          <w:shd w:val="clear" w:color="auto" w:fill="FFFFFF"/>
          <w:lang w:val="en-US"/>
        </w:rPr>
        <w:t>Groovy</w:t>
      </w:r>
      <w:r w:rsidRPr="007D78DA">
        <w:rPr>
          <w:shd w:val="clear" w:color="auto" w:fill="FFFFFF"/>
          <w:lang w:val="ru-RU"/>
        </w:rPr>
        <w:t xml:space="preserve"> </w:t>
      </w:r>
      <w:r>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Pr>
          <w:shd w:val="clear" w:color="auto" w:fill="FFFFFF"/>
          <w:lang w:val="en-US"/>
        </w:rPr>
        <w:t>Groovy</w:t>
      </w:r>
      <w:r w:rsidRPr="007D78DA">
        <w:rPr>
          <w:shd w:val="clear" w:color="auto" w:fill="FFFFFF"/>
          <w:lang w:val="ru-RU"/>
        </w:rPr>
        <w:t xml:space="preserve"> </w:t>
      </w:r>
      <w:r>
        <w:rPr>
          <w:shd w:val="clear" w:color="auto" w:fill="FFFFFF"/>
          <w:lang w:val="ru-RU"/>
        </w:rPr>
        <w:t xml:space="preserve">очень удобно покрывать тестами код. Тесты получаются лаконичнее. Имеет все возможности </w:t>
      </w:r>
      <w:r>
        <w:rPr>
          <w:shd w:val="clear" w:color="auto" w:fill="FFFFFF"/>
          <w:lang w:val="en-US"/>
        </w:rPr>
        <w:t>Java</w:t>
      </w:r>
      <w:r w:rsidRPr="007D78DA">
        <w:rPr>
          <w:shd w:val="clear" w:color="auto" w:fill="FFFFFF"/>
          <w:lang w:val="ru-RU"/>
        </w:rPr>
        <w:t xml:space="preserve">, </w:t>
      </w:r>
      <w:r>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7D78DA" w:rsidP="00DD7004">
      <w:pPr>
        <w:ind w:firstLine="432"/>
        <w:rPr>
          <w:shd w:val="clear" w:color="auto" w:fill="FFFFFF"/>
          <w:lang w:val="ru-RU"/>
        </w:rPr>
      </w:pPr>
      <w:hyperlink r:id="rId12" w:history="1">
        <w:r w:rsidRPr="007D78DA">
          <w:t>Clojure</w:t>
        </w:r>
      </w:hyperlink>
      <w:r>
        <w:rPr>
          <w:rStyle w:val="apple-converted-space"/>
          <w:rFonts w:ascii="Arial" w:hAnsi="Arial" w:cs="Arial"/>
          <w:color w:val="000000"/>
          <w:sz w:val="18"/>
          <w:szCs w:val="18"/>
          <w:shd w:val="clear" w:color="auto" w:fill="FFFFFF"/>
        </w:rPr>
        <w:t> </w:t>
      </w:r>
      <w:r>
        <w:rPr>
          <w:shd w:val="clear" w:color="auto" w:fill="FFFFFF"/>
        </w:rPr>
        <w:t>is a dynamically typed programming language that can be seen as a modern take on Lisp</w:t>
      </w:r>
      <w:r>
        <w:rPr>
          <w:rStyle w:val="FootnoteReference"/>
          <w:shd w:val="clear" w:color="auto" w:fill="FFFFFF"/>
        </w:rPr>
        <w:footnoteReference w:id="14"/>
      </w:r>
      <w:r>
        <w:rPr>
          <w:shd w:val="clear" w:color="auto" w:fill="FFFFFF"/>
        </w:rPr>
        <w:t>. It is radically different from what object-oriented programmers might be used to. In fact, Clojure is a fully functional programming language, and as a result, it is centered on immutable data structures, recursion, and functions.</w:t>
      </w:r>
      <w:r>
        <w:rPr>
          <w:shd w:val="clear" w:color="auto" w:fill="FFFFFF"/>
        </w:rPr>
        <w:t xml:space="preserve"> </w:t>
      </w:r>
      <w:r>
        <w:rPr>
          <w:shd w:val="clear" w:color="auto" w:fill="FFFFFF"/>
          <w:lang w:val="ru-RU"/>
        </w:rPr>
        <w:t xml:space="preserve">Я считаю, что </w:t>
      </w:r>
      <w:r>
        <w:rPr>
          <w:shd w:val="clear" w:color="auto" w:fill="FFFFFF"/>
          <w:lang w:val="en-US"/>
        </w:rPr>
        <w:t>Clojure</w:t>
      </w:r>
      <w:r w:rsidRPr="007D78DA">
        <w:rPr>
          <w:shd w:val="clear" w:color="auto" w:fill="FFFFFF"/>
          <w:lang w:val="ru-RU"/>
        </w:rPr>
        <w:t xml:space="preserve"> </w:t>
      </w:r>
      <w:r>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Pr="007D78DA">
        <w:rPr>
          <w:shd w:val="clear" w:color="auto" w:fill="FFFFFF"/>
          <w:lang w:val="ru-RU"/>
        </w:rPr>
        <w:t xml:space="preserve"> </w:t>
      </w:r>
      <w:r>
        <w:rPr>
          <w:shd w:val="clear" w:color="auto" w:fill="FFFFFF"/>
          <w:lang w:val="ru-RU"/>
        </w:rPr>
        <w:t xml:space="preserve">Имеет доступ к </w:t>
      </w:r>
      <w:r>
        <w:rPr>
          <w:shd w:val="clear" w:color="auto" w:fill="FFFFFF"/>
          <w:lang w:val="en-US"/>
        </w:rPr>
        <w:t>Java</w:t>
      </w:r>
      <w:r w:rsidRPr="007D78DA">
        <w:rPr>
          <w:shd w:val="clear" w:color="auto" w:fill="FFFFFF"/>
          <w:lang w:val="ru-RU"/>
        </w:rPr>
        <w:t xml:space="preserve"> </w:t>
      </w:r>
      <w:r>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proofErr w:type="spellStart"/>
      <w:r>
        <w:rPr>
          <w:lang w:val="en-US"/>
        </w:rPr>
        <w:t>Kotlin</w:t>
      </w:r>
      <w:proofErr w:type="spellEnd"/>
    </w:p>
    <w:p w:rsidR="000331D4" w:rsidRDefault="000331D4" w:rsidP="00DD7004">
      <w:pPr>
        <w:ind w:firstLine="432"/>
        <w:rPr>
          <w:shd w:val="clear" w:color="auto" w:fill="FFFFFF"/>
          <w:lang w:val="ru-RU"/>
        </w:rPr>
      </w:pPr>
      <w:hyperlink r:id="rId13" w:history="1">
        <w:r w:rsidRPr="000331D4">
          <w:t>Kotlin</w:t>
        </w:r>
      </w:hyperlink>
      <w:r>
        <w:rPr>
          <w:rStyle w:val="apple-converted-space"/>
          <w:rFonts w:ascii="Arial" w:hAnsi="Arial" w:cs="Arial"/>
          <w:color w:val="000000"/>
          <w:sz w:val="18"/>
          <w:szCs w:val="18"/>
          <w:shd w:val="clear" w:color="auto" w:fill="FFFFFF"/>
        </w:rPr>
        <w:t> </w:t>
      </w:r>
      <w:r>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Pr="000331D4">
        <w:rPr>
          <w:shd w:val="clear" w:color="auto" w:fill="FFFFFF"/>
          <w:lang w:val="en-US"/>
        </w:rPr>
        <w:t xml:space="preserve"> </w:t>
      </w:r>
      <w:r>
        <w:rPr>
          <w:shd w:val="clear" w:color="auto" w:fill="FFFFFF"/>
          <w:lang w:val="ru-RU"/>
        </w:rPr>
        <w:t>По</w:t>
      </w:r>
      <w:r w:rsidRPr="000331D4">
        <w:rPr>
          <w:shd w:val="clear" w:color="auto" w:fill="FFFFFF"/>
          <w:lang w:val="ru-RU"/>
        </w:rPr>
        <w:t xml:space="preserve"> </w:t>
      </w:r>
      <w:r>
        <w:rPr>
          <w:shd w:val="clear" w:color="auto" w:fill="FFFFFF"/>
          <w:lang w:val="ru-RU"/>
        </w:rPr>
        <w:t>моему</w:t>
      </w:r>
      <w:r w:rsidRPr="000331D4">
        <w:rPr>
          <w:shd w:val="clear" w:color="auto" w:fill="FFFFFF"/>
          <w:lang w:val="ru-RU"/>
        </w:rPr>
        <w:t xml:space="preserve"> </w:t>
      </w:r>
      <w:r>
        <w:rPr>
          <w:shd w:val="clear" w:color="auto" w:fill="FFFFFF"/>
          <w:lang w:val="ru-RU"/>
        </w:rPr>
        <w:t>мнению</w:t>
      </w:r>
      <w:r w:rsidRPr="000331D4">
        <w:rPr>
          <w:shd w:val="clear" w:color="auto" w:fill="FFFFFF"/>
          <w:lang w:val="ru-RU"/>
        </w:rPr>
        <w:t xml:space="preserve"> </w:t>
      </w:r>
      <w:proofErr w:type="spellStart"/>
      <w:r>
        <w:rPr>
          <w:shd w:val="clear" w:color="auto" w:fill="FFFFFF"/>
          <w:lang w:val="en-US"/>
        </w:rPr>
        <w:t>Kotlin</w:t>
      </w:r>
      <w:proofErr w:type="spellEnd"/>
      <w:r w:rsidRPr="000331D4">
        <w:rPr>
          <w:shd w:val="clear" w:color="auto" w:fill="FFFFFF"/>
          <w:lang w:val="ru-RU"/>
        </w:rPr>
        <w:t xml:space="preserve"> </w:t>
      </w:r>
      <w:r>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proofErr w:type="spellStart"/>
      <w:r>
        <w:rPr>
          <w:shd w:val="clear" w:color="auto" w:fill="FFFFFF"/>
          <w:lang w:val="en-US"/>
        </w:rPr>
        <w:t>Kotlin</w:t>
      </w:r>
      <w:proofErr w:type="spellEnd"/>
      <w:r w:rsidRPr="000331D4">
        <w:rPr>
          <w:shd w:val="clear" w:color="auto" w:fill="FFFFFF"/>
          <w:lang w:val="ru-RU"/>
        </w:rPr>
        <w:t xml:space="preserve"> </w:t>
      </w:r>
      <w:r>
        <w:rPr>
          <w:shd w:val="clear" w:color="auto" w:fill="FFFFFF"/>
          <w:lang w:val="ru-RU"/>
        </w:rPr>
        <w:t>является компания</w:t>
      </w:r>
      <w:r w:rsidRPr="000331D4">
        <w:rPr>
          <w:shd w:val="clear" w:color="auto" w:fill="FFFFFF"/>
          <w:lang w:val="ru-RU"/>
        </w:rPr>
        <w:t xml:space="preserve"> – </w:t>
      </w:r>
      <w:proofErr w:type="spellStart"/>
      <w:r>
        <w:rPr>
          <w:shd w:val="clear" w:color="auto" w:fill="FFFFFF"/>
          <w:lang w:val="en-US"/>
        </w:rPr>
        <w:t>Jetbrains</w:t>
      </w:r>
      <w:proofErr w:type="spellEnd"/>
      <w:r w:rsidRPr="000331D4">
        <w:rPr>
          <w:shd w:val="clear" w:color="auto" w:fill="FFFFFF"/>
          <w:lang w:val="ru-RU"/>
        </w:rPr>
        <w:t>,</w:t>
      </w:r>
      <w:r>
        <w:rPr>
          <w:shd w:val="clear" w:color="auto" w:fill="FFFFFF"/>
          <w:lang w:val="ru-RU"/>
        </w:rPr>
        <w:t xml:space="preserve"> которая разработала ряд </w:t>
      </w:r>
      <w:r>
        <w:rPr>
          <w:shd w:val="clear" w:color="auto" w:fill="FFFFFF"/>
          <w:lang w:val="en-US"/>
        </w:rPr>
        <w:t>IDE</w:t>
      </w:r>
      <w:r>
        <w:rPr>
          <w:rStyle w:val="FootnoteReference"/>
          <w:lang w:val="en-US" w:eastAsia="en-US"/>
        </w:rPr>
        <w:footnoteReference w:id="15"/>
      </w:r>
      <w:r w:rsidRPr="000331D4">
        <w:rPr>
          <w:shd w:val="clear" w:color="auto" w:fill="FFFFFF"/>
          <w:lang w:val="ru-RU"/>
        </w:rPr>
        <w:t xml:space="preserve"> </w:t>
      </w:r>
      <w:r>
        <w:rPr>
          <w:shd w:val="clear" w:color="auto" w:fill="FFFFFF"/>
          <w:lang w:val="ru-RU"/>
        </w:rPr>
        <w:t xml:space="preserve"> для самых разных языков. </w:t>
      </w:r>
      <w:r>
        <w:rPr>
          <w:shd w:val="clear" w:color="auto" w:fill="FFFFFF"/>
          <w:lang w:val="en-US"/>
        </w:rPr>
        <w:t>IDE</w:t>
      </w:r>
      <w:r w:rsidRPr="000331D4">
        <w:rPr>
          <w:shd w:val="clear" w:color="auto" w:fill="FFFFFF"/>
          <w:lang w:val="ru-RU"/>
        </w:rPr>
        <w:t xml:space="preserve"> </w:t>
      </w:r>
      <w:r>
        <w:rPr>
          <w:shd w:val="clear" w:color="auto" w:fill="FFFFFF"/>
          <w:lang w:val="ru-RU"/>
        </w:rPr>
        <w:t xml:space="preserve">для </w:t>
      </w:r>
      <w:r>
        <w:rPr>
          <w:shd w:val="clear" w:color="auto" w:fill="FFFFFF"/>
          <w:lang w:val="en-US"/>
        </w:rPr>
        <w:t>Java</w:t>
      </w:r>
      <w:r w:rsidRPr="000331D4">
        <w:rPr>
          <w:shd w:val="clear" w:color="auto" w:fill="FFFFFF"/>
          <w:lang w:val="ru-RU"/>
        </w:rPr>
        <w:t xml:space="preserve"> </w:t>
      </w:r>
      <w:r>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proofErr w:type="spellStart"/>
      <w:r>
        <w:rPr>
          <w:lang w:val="en-US"/>
        </w:rPr>
        <w:t>Xtend</w:t>
      </w:r>
      <w:proofErr w:type="spellEnd"/>
    </w:p>
    <w:p w:rsidR="00DD7004" w:rsidRDefault="00DD7004" w:rsidP="00DD7004">
      <w:pPr>
        <w:ind w:firstLine="432"/>
        <w:rPr>
          <w:snapToGrid/>
          <w:lang w:val="en-US" w:eastAsia="en-US" w:bidi="ar-SA"/>
        </w:rPr>
      </w:pPr>
      <w:hyperlink r:id="rId14" w:history="1">
        <w:r w:rsidRPr="00DD7004">
          <w:t>Xtend</w:t>
        </w:r>
      </w:hyperlink>
      <w:r>
        <w:rPr>
          <w:rStyle w:val="apple-converted-space"/>
          <w:rFonts w:ascii="Arial" w:hAnsi="Arial" w:cs="Arial"/>
          <w:color w:val="000000"/>
          <w:sz w:val="18"/>
          <w:szCs w:val="18"/>
        </w:rPr>
        <w:t> </w:t>
      </w:r>
      <w:r>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Xtend supports two forms of method invocation: default Java dispatching and multiple dispatching. With multiple dispatching, an overloaded method is selected based on the runtime type of its arguments</w:t>
      </w:r>
      <w:r>
        <w:t>.</w:t>
      </w:r>
      <w:r>
        <w:t xml:space="preserve"> Xtend provides many other popular features available in other languages such as operator overloading and type inference.</w:t>
      </w:r>
      <w:r>
        <w:t xml:space="preserv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18156B" w:rsidP="0018156B">
      <w:pPr>
        <w:rPr>
          <w:lang w:val="ru-RU" w:eastAsia="en-US"/>
        </w:rPr>
      </w:pPr>
      <w:hyperlink r:id="rId15" w:history="1">
        <w:r w:rsidRPr="0018156B">
          <w:t>X10</w:t>
        </w:r>
      </w:hyperlink>
      <w:r>
        <w:rPr>
          <w:rStyle w:val="apple-converted-space"/>
          <w:rFonts w:ascii="Arial" w:hAnsi="Arial" w:cs="Arial"/>
          <w:color w:val="000000"/>
          <w:sz w:val="18"/>
          <w:szCs w:val="18"/>
          <w:shd w:val="clear" w:color="auto" w:fill="FFFFFF"/>
        </w:rPr>
        <w:t> </w:t>
      </w:r>
      <w:r>
        <w:rPr>
          <w:shd w:val="clear" w:color="auto" w:fill="FFFFFF"/>
        </w:rPr>
        <w:t>is an experimental object-oriented language that IBM developed. It supports feature</w:t>
      </w:r>
      <w:r>
        <w:rPr>
          <w:shd w:val="clear" w:color="auto" w:fill="FFFFFF"/>
        </w:rPr>
        <w:t>s such as first-class functions</w:t>
      </w:r>
      <w:r>
        <w:rPr>
          <w:rStyle w:val="FootnoteReference"/>
          <w:shd w:val="clear" w:color="auto" w:fill="FFFFFF"/>
        </w:rPr>
        <w:footnoteReference w:id="17"/>
      </w:r>
      <w:r>
        <w:rPr>
          <w:shd w:val="clear" w:color="auto" w:fill="FFFFFF"/>
        </w:rPr>
        <w:t xml:space="preserve"> </w:t>
      </w:r>
      <w:r>
        <w:rPr>
          <w:shd w:val="clear" w:color="auto" w:fill="FFFFFF"/>
        </w:rPr>
        <w:t>and is designed to facilitate efficient programming for high-performance parallel computing.</w:t>
      </w:r>
      <w:r w:rsidRPr="0018156B">
        <w:rPr>
          <w:shd w:val="clear" w:color="auto" w:fill="FFFFFF"/>
        </w:rPr>
        <w:t xml:space="preserve"> </w:t>
      </w:r>
      <w:r>
        <w:rPr>
          <w:shd w:val="clear" w:color="auto" w:fill="FFFFFF"/>
        </w:rPr>
        <w:t>To this end, the language is based on a programming model called the</w:t>
      </w:r>
      <w:r>
        <w:rPr>
          <w:rStyle w:val="apple-converted-space"/>
          <w:rFonts w:ascii="Arial" w:hAnsi="Arial" w:cs="Arial"/>
          <w:color w:val="000000"/>
          <w:sz w:val="18"/>
          <w:szCs w:val="18"/>
          <w:shd w:val="clear" w:color="auto" w:fill="FFFFFF"/>
        </w:rPr>
        <w:t> </w:t>
      </w:r>
      <w:r>
        <w:rPr>
          <w:rStyle w:val="apple-converted-space"/>
          <w:rFonts w:ascii="Arial" w:hAnsi="Arial" w:cs="Arial"/>
          <w:color w:val="000000"/>
          <w:sz w:val="18"/>
          <w:szCs w:val="18"/>
          <w:shd w:val="clear" w:color="auto" w:fill="FFFFFF"/>
        </w:rPr>
        <w:t>“</w:t>
      </w:r>
      <w:r w:rsidRPr="0018156B">
        <w:t>partitioned global address space</w:t>
      </w:r>
      <w:r>
        <w:t>”</w:t>
      </w:r>
      <w:r>
        <w:rPr>
          <w:shd w:val="clear" w:color="auto" w:fill="FFFFFF"/>
        </w:rPr>
        <w:t>. In this model, each process shares a global address space, and slices of this space are allocated as private memory for local data and access. To work with this model, X10 offers specialized built-in language constructs to work with concurrency and distributed execution</w:t>
      </w:r>
      <w:r>
        <w:rPr>
          <w:shd w:val="clear" w:color="auto" w:fill="FFFFFF"/>
        </w:rPr>
        <w:t xml:space="preserve">. </w:t>
      </w:r>
      <w:r>
        <w:rPr>
          <w:shd w:val="clear" w:color="auto" w:fill="FFFFFF"/>
          <w:lang w:val="ru-RU"/>
        </w:rPr>
        <w:t xml:space="preserve">По скольку </w:t>
      </w:r>
      <w:r>
        <w:rPr>
          <w:shd w:val="clear" w:color="auto" w:fill="FFFFFF"/>
          <w:lang w:val="en-US"/>
        </w:rPr>
        <w:t>IBM</w:t>
      </w:r>
      <w:r w:rsidRPr="0018156B">
        <w:rPr>
          <w:shd w:val="clear" w:color="auto" w:fill="FFFFFF"/>
          <w:lang w:val="ru-RU"/>
        </w:rPr>
        <w:t xml:space="preserve"> </w:t>
      </w:r>
      <w:r>
        <w:rPr>
          <w:shd w:val="clear" w:color="auto" w:fill="FFFFFF"/>
          <w:lang w:val="ru-RU"/>
        </w:rPr>
        <w:t>сами называют этот язык эксперементальн</w:t>
      </w:r>
      <w:bookmarkStart w:id="2" w:name="_GoBack"/>
      <w:bookmarkEnd w:id="2"/>
      <w:r>
        <w:rPr>
          <w:shd w:val="clear" w:color="auto" w:fill="FFFFFF"/>
          <w:lang w:val="ru-RU"/>
        </w:rPr>
        <w:t xml:space="preserve">ым, использовать его в корпоративных проектах – глупо. Я считаю, что этот язык будут использовать сами </w:t>
      </w:r>
      <w:r>
        <w:rPr>
          <w:shd w:val="clear" w:color="auto" w:fill="FFFFFF"/>
          <w:lang w:val="en-US"/>
        </w:rPr>
        <w:t>IBM</w:t>
      </w:r>
      <w:r w:rsidRPr="0018156B">
        <w:rPr>
          <w:shd w:val="clear" w:color="auto" w:fill="FFFFFF"/>
          <w:lang w:val="ru-RU"/>
        </w:rPr>
        <w:t xml:space="preserve"> </w:t>
      </w:r>
      <w:r>
        <w:rPr>
          <w:shd w:val="clear" w:color="auto" w:fill="FFFFFF"/>
          <w:lang w:val="ru-RU"/>
        </w:rPr>
        <w:t xml:space="preserve">для создания какой-нибудь очень сложной системы на подобии </w:t>
      </w:r>
      <w:r>
        <w:rPr>
          <w:shd w:val="clear" w:color="auto" w:fill="FFFFFF"/>
          <w:lang w:val="en-US"/>
        </w:rPr>
        <w:t>IBM</w:t>
      </w:r>
      <w:r w:rsidRPr="0018156B">
        <w:rPr>
          <w:shd w:val="clear" w:color="auto" w:fill="FFFFFF"/>
          <w:lang w:val="ru-RU"/>
        </w:rPr>
        <w:t xml:space="preserve"> </w:t>
      </w:r>
      <w:r>
        <w:rPr>
          <w:shd w:val="clear" w:color="auto" w:fill="FFFFFF"/>
          <w:lang w:val="en-US"/>
        </w:rPr>
        <w:t>Watson</w:t>
      </w:r>
      <w:r>
        <w:rPr>
          <w:rStyle w:val="FootnoteReference"/>
          <w:shd w:val="clear" w:color="auto" w:fill="FFFFFF"/>
          <w:lang w:val="ru-RU"/>
        </w:rPr>
        <w:footnoteReference w:id="18"/>
      </w:r>
      <w:r>
        <w:rPr>
          <w:shd w:val="clear" w:color="auto" w:fill="FFFFFF"/>
          <w:lang w:val="ru-RU"/>
        </w:rPr>
        <w:t>.</w:t>
      </w:r>
    </w:p>
    <w:p w:rsidR="000331D4" w:rsidRPr="0018156B" w:rsidRDefault="000331D4" w:rsidP="000331D4">
      <w:pPr>
        <w:rPr>
          <w:lang w:val="ru-RU" w:eastAsia="en-US"/>
        </w:rPr>
      </w:pPr>
    </w:p>
    <w:p w:rsidR="003D6733" w:rsidRPr="0018156B" w:rsidRDefault="003D6733" w:rsidP="003D6733">
      <w:pPr>
        <w:pStyle w:val="NormalarTab"/>
        <w:ind w:firstLine="0"/>
        <w:rPr>
          <w:lang w:val="ru-RU" w:eastAsia="en-US"/>
        </w:rPr>
      </w:pPr>
    </w:p>
    <w:p w:rsidR="00423A73" w:rsidRDefault="00423A73" w:rsidP="00423A73">
      <w:pPr>
        <w:pStyle w:val="Heading1"/>
      </w:pPr>
      <w:bookmarkStart w:id="3" w:name="_Toc444598144"/>
      <w:r>
        <w:lastRenderedPageBreak/>
        <w:t>TEKSTA NOFORMĒŠANA</w:t>
      </w:r>
      <w:bookmarkEnd w:id="3"/>
    </w:p>
    <w:p w:rsidR="00423A73" w:rsidRDefault="00423A73" w:rsidP="00423A73">
      <w:pPr>
        <w:pStyle w:val="NormalarTab"/>
      </w:pPr>
      <w:r w:rsidRPr="00194A35">
        <w:t xml:space="preserve">Rakstot tekstu, jālieto fonts </w:t>
      </w:r>
      <w:r w:rsidRPr="008B7588">
        <w:rPr>
          <w:i/>
        </w:rPr>
        <w:t>Times New Roman</w:t>
      </w:r>
      <w:r w:rsidRPr="00194A35">
        <w:t>,– 12</w:t>
      </w:r>
      <w:r>
        <w:t>. lielums</w:t>
      </w:r>
      <w:r w:rsidRPr="00194A35">
        <w:t>, ar 1,5 intervālu starp rindām</w:t>
      </w:r>
      <w:r>
        <w:rPr>
          <w:rStyle w:val="FootnoteReference"/>
        </w:rPr>
        <w:footnoteReference w:id="19"/>
      </w:r>
      <w:r w:rsidRPr="00194A35">
        <w:t>. Rindkopas pirmo rindiņu sāk ar atkāpi. Rindkopas kārto bez atstarpēm.</w:t>
      </w:r>
      <w:r>
        <w:t xml:space="preserve"> Darba sadaļas sakārto šādā secībā: </w:t>
      </w:r>
    </w:p>
    <w:p w:rsidR="00423A73" w:rsidRDefault="00423A73" w:rsidP="00423A73">
      <w:pPr>
        <w:pStyle w:val="ListBullet-"/>
      </w:pPr>
      <w:r>
        <w:t xml:space="preserve">titullapa, </w:t>
      </w:r>
    </w:p>
    <w:p w:rsidR="00423A73" w:rsidRDefault="00423A73" w:rsidP="00423A73">
      <w:pPr>
        <w:pStyle w:val="ListBullet-"/>
      </w:pPr>
      <w:r>
        <w:t xml:space="preserve">darba uzdevums, </w:t>
      </w:r>
    </w:p>
    <w:p w:rsidR="00423A73" w:rsidRDefault="00423A73" w:rsidP="00423A73">
      <w:pPr>
        <w:pStyle w:val="ListBullet-"/>
      </w:pPr>
      <w:r>
        <w:t xml:space="preserve">anotācijas (latviešu un angļu valodā), </w:t>
      </w:r>
    </w:p>
    <w:p w:rsidR="00423A73" w:rsidRDefault="00423A73" w:rsidP="00423A73">
      <w:pPr>
        <w:pStyle w:val="ListBullet-"/>
      </w:pPr>
      <w:r>
        <w:t xml:space="preserve">saturs, </w:t>
      </w:r>
    </w:p>
    <w:p w:rsidR="00423A73" w:rsidRDefault="00423A73" w:rsidP="00423A73">
      <w:pPr>
        <w:pStyle w:val="ListBullet-"/>
      </w:pPr>
      <w:r>
        <w:t xml:space="preserve">ievads, </w:t>
      </w:r>
    </w:p>
    <w:p w:rsidR="00423A73" w:rsidRDefault="00423A73" w:rsidP="00423A73">
      <w:pPr>
        <w:pStyle w:val="ListBullet-"/>
      </w:pPr>
      <w:r>
        <w:t xml:space="preserve">darba pamatsadaļas, </w:t>
      </w:r>
    </w:p>
    <w:p w:rsidR="00423A73" w:rsidRDefault="00423A73" w:rsidP="00423A73">
      <w:pPr>
        <w:pStyle w:val="ListBullet-"/>
      </w:pPr>
      <w:r>
        <w:t>rezultāti un secinājumi,</w:t>
      </w:r>
    </w:p>
    <w:p w:rsidR="00423A73" w:rsidRDefault="00423A73" w:rsidP="00423A73">
      <w:pPr>
        <w:pStyle w:val="ListBullet-"/>
      </w:pPr>
      <w:r>
        <w:t xml:space="preserve">izmantotās literatūras saraksts, </w:t>
      </w:r>
    </w:p>
    <w:p w:rsidR="00423A73" w:rsidRDefault="00423A73" w:rsidP="00423A73">
      <w:pPr>
        <w:pStyle w:val="ListBullet-"/>
      </w:pPr>
      <w:r>
        <w:t xml:space="preserve">pielikums(i), </w:t>
      </w:r>
    </w:p>
    <w:p w:rsidR="00423A73" w:rsidRDefault="00423A73" w:rsidP="00423A73">
      <w:pPr>
        <w:pStyle w:val="ListBullet-"/>
      </w:pPr>
      <w:r>
        <w:t>darba novērtējuma lapa.</w:t>
      </w:r>
    </w:p>
    <w:p w:rsidR="00423A73" w:rsidRPr="00B50A3E" w:rsidRDefault="00423A73" w:rsidP="00423A73">
      <w:pPr>
        <w:pStyle w:val="NormalarTab"/>
      </w:pPr>
      <w:r w:rsidRPr="0085533E">
        <w:t xml:space="preserve">Darba vāku, titullapu un satura rādītāju noformē atbilstoši ITI noslēguma darbu noformēšanas norādījumos dotajiem paraugiem, vai skatoties šī dokumenta </w:t>
      </w:r>
      <w:r w:rsidRPr="0085533E">
        <w:rPr>
          <w:rFonts w:cs="Times New Roman"/>
        </w:rPr>
        <w:t>–</w:t>
      </w:r>
      <w:r w:rsidRPr="0085533E">
        <w:t xml:space="preserve"> veidnes </w:t>
      </w:r>
      <w:r w:rsidRPr="0085533E">
        <w:rPr>
          <w:rFonts w:cs="Times New Roman"/>
        </w:rPr>
        <w:t>–</w:t>
      </w:r>
      <w:r w:rsidRPr="0085533E">
        <w:t xml:space="preserve"> attiecīgas daļas.</w:t>
      </w:r>
    </w:p>
    <w:p w:rsidR="00423A73" w:rsidRDefault="00423A73" w:rsidP="00423A73">
      <w:pPr>
        <w:pStyle w:val="Heading2"/>
      </w:pPr>
      <w:bookmarkStart w:id="4" w:name="_Toc444598145"/>
      <w:r>
        <w:t>Sadaļu numerācija</w:t>
      </w:r>
      <w:bookmarkEnd w:id="4"/>
    </w:p>
    <w:p w:rsidR="00423A73" w:rsidRDefault="00423A73" w:rsidP="00423A73">
      <w:pPr>
        <w:pStyle w:val="NormalarTab"/>
      </w:pPr>
      <w:bookmarkStart w:id="5" w:name="_Toc121243847"/>
      <w:r>
        <w:t xml:space="preserve">Darba galvenās sadaļas numurē un piešķirtos numurus raksta pirms sadaļas virsraksta. Nodaļas numurē ar arābu cipariem, piemēram: 1., 2. utt. Apakšnodaļas numurē attiecīgās nodaļas ietvaros ar diviem arābu cipariem, piemēram: 1.2., 2.3. utt. Apakšnodaļas virsraksts un teksts seko uzreiz pēc iepriekšēja teksta tajā pašā lappusē. Ja apakšnodaļa sastāv no vairākiem punktiem, tad tos numurē attiecīgās apakšnodaļas ietvaros ar trim arābu cipariem, piemēram: trešās nodaļas otrās apakšnodaļas punkti tiks numurēti 3.2.1., 3.2.2. utt. </w:t>
      </w:r>
    </w:p>
    <w:p w:rsidR="00423A73" w:rsidRDefault="00423A73" w:rsidP="00423A73">
      <w:pPr>
        <w:pStyle w:val="NormalarTab"/>
      </w:pPr>
      <w:r>
        <w:t xml:space="preserve">Anotācijām, </w:t>
      </w:r>
      <w:r w:rsidRPr="009B317A">
        <w:t xml:space="preserve">saturam, </w:t>
      </w:r>
      <w:r>
        <w:t xml:space="preserve">ievadam, secinājumiem un priekšlikumiem, literatūras sarakstam </w:t>
      </w:r>
      <w:r w:rsidRPr="009B317A">
        <w:t xml:space="preserve">kārtas </w:t>
      </w:r>
      <w:r w:rsidRPr="00C26AFD">
        <w:rPr>
          <w:b/>
        </w:rPr>
        <w:t>numurus nepiešķir</w:t>
      </w:r>
      <w:r w:rsidRPr="00F67E22">
        <w:t>.</w:t>
      </w:r>
    </w:p>
    <w:p w:rsidR="00423A73" w:rsidRPr="00371174" w:rsidRDefault="00423A73" w:rsidP="00423A73">
      <w:pPr>
        <w:pStyle w:val="ListBullet1"/>
      </w:pPr>
      <w:r>
        <w:t>Ja darba teksta sadaļās paredzēts veidot sarakstus, to apzīmējumam lieto aizzīmi (</w:t>
      </w:r>
      <w:r w:rsidRPr="00933299">
        <w:rPr>
          <w:i/>
        </w:rPr>
        <w:t>bullets</w:t>
      </w:r>
      <w:r>
        <w:t xml:space="preserve">) </w:t>
      </w:r>
      <w:r>
        <w:rPr>
          <w:rFonts w:cs="Times New Roman"/>
        </w:rPr>
        <w:t>•</w:t>
      </w:r>
      <w:r>
        <w:t xml:space="preserve"> </w:t>
      </w:r>
      <w:r>
        <w:rPr>
          <w:rFonts w:cs="Times New Roman"/>
        </w:rPr>
        <w:t>vai ciparus (</w:t>
      </w:r>
      <w:r w:rsidRPr="00933299">
        <w:rPr>
          <w:rFonts w:cs="Times New Roman"/>
          <w:i/>
        </w:rPr>
        <w:t>numbering</w:t>
      </w:r>
      <w:r>
        <w:rPr>
          <w:rFonts w:cs="Times New Roman"/>
        </w:rPr>
        <w:t xml:space="preserve">). </w:t>
      </w:r>
    </w:p>
    <w:p w:rsidR="00423A73" w:rsidRDefault="00423A73" w:rsidP="00423A73">
      <w:pPr>
        <w:pStyle w:val="ListBullet1"/>
      </w:pPr>
      <w:r>
        <w:rPr>
          <w:rFonts w:cs="Times New Roman"/>
        </w:rPr>
        <w:t xml:space="preserve">Saraksta </w:t>
      </w:r>
      <w:r>
        <w:t xml:space="preserve">punktu numerācijai var izmantot vai nu arābu ciparus ar punktu vai iekavu, </w:t>
      </w:r>
      <w:r>
        <w:lastRenderedPageBreak/>
        <w:t xml:space="preserve">piemēram: 1., 2. vai 1), 2) utt., vai arī lielos latīņu burtus ar punktu vai mazos burtus ar iekavu, piemēram: A., B. vai a), b) utt. </w:t>
      </w:r>
    </w:p>
    <w:p w:rsidR="00423A73" w:rsidRDefault="00423A73" w:rsidP="00423A73">
      <w:pPr>
        <w:pStyle w:val="ListBullet1"/>
      </w:pPr>
      <w:r>
        <w:t xml:space="preserve">Tekstu aiz punkta sāk ar lielo burtu, bet aiz iekavas </w:t>
      </w:r>
      <w:r>
        <w:rPr>
          <w:rFonts w:cs="Times New Roman"/>
        </w:rPr>
        <w:t>–</w:t>
      </w:r>
      <w:r>
        <w:t xml:space="preserve"> ar mazo burtu.</w:t>
      </w:r>
    </w:p>
    <w:p w:rsidR="00423A73" w:rsidRPr="0053492B" w:rsidRDefault="00423A73" w:rsidP="00423A73">
      <w:pPr>
        <w:pStyle w:val="Heading2"/>
      </w:pPr>
      <w:bookmarkStart w:id="6" w:name="_Toc444598146"/>
      <w:bookmarkEnd w:id="5"/>
      <w:r>
        <w:t>Sadaļu virsraksti</w:t>
      </w:r>
      <w:bookmarkEnd w:id="6"/>
    </w:p>
    <w:p w:rsidR="00423A73" w:rsidRDefault="00423A73" w:rsidP="00423A73">
      <w:pPr>
        <w:pStyle w:val="NormalarTab"/>
      </w:pPr>
      <w:r>
        <w:t>Darbā var būt izdalītas šādas sadaļas: 1. līmenis – nodaļa, 2. līmenis – apakšnodaļa, 3. līmenis – punkts.</w:t>
      </w:r>
    </w:p>
    <w:p w:rsidR="00423A73" w:rsidRDefault="00423A73" w:rsidP="00423A73">
      <w:pPr>
        <w:pStyle w:val="NormalarTab"/>
      </w:pPr>
      <w:r>
        <w:t xml:space="preserve">Virsraksta attālums no iepriekšēja un turpmākā teksta ir 12 mm. Virsrakstos vārdus pārnest nav atļauts. Virsrakstus nepasvītro, tā beigās punktu neliek. Virsrakstu rakstīšanai ir ieteicams lietot MS Word stilus </w:t>
      </w:r>
      <w:r>
        <w:rPr>
          <w:i/>
        </w:rPr>
        <w:t>Heading 1</w:t>
      </w:r>
      <w:r>
        <w:t xml:space="preserve"> (nodaļām), </w:t>
      </w:r>
      <w:r>
        <w:rPr>
          <w:i/>
        </w:rPr>
        <w:t>Heading 2</w:t>
      </w:r>
      <w:r>
        <w:t xml:space="preserve"> (apakšnodaļām) utt. Tas nodrošina automātisku satura radītāja izveidošanu.</w:t>
      </w:r>
    </w:p>
    <w:p w:rsidR="00423A73" w:rsidRDefault="00423A73" w:rsidP="00423A73">
      <w:pPr>
        <w:pStyle w:val="Heading3"/>
        <w:widowControl/>
        <w:tabs>
          <w:tab w:val="clear" w:pos="1174"/>
        </w:tabs>
      </w:pPr>
      <w:bookmarkStart w:id="7" w:name="_Toc99253362"/>
      <w:bookmarkStart w:id="8" w:name="_Toc444598147"/>
      <w:r>
        <w:t>Nodaļas virsraksts</w:t>
      </w:r>
      <w:bookmarkEnd w:id="7"/>
      <w:bookmarkEnd w:id="8"/>
    </w:p>
    <w:p w:rsidR="00423A73" w:rsidRPr="002E0E79" w:rsidRDefault="00423A73" w:rsidP="00423A73">
      <w:pPr>
        <w:pStyle w:val="NormalarTab"/>
      </w:pPr>
      <w:r w:rsidRPr="002E0E79">
        <w:t>Nodaļu (pirmā līmeņa) virsrakstus raksta ar izceltiem</w:t>
      </w:r>
      <w:r>
        <w:t xml:space="preserve"> </w:t>
      </w:r>
      <w:r w:rsidRPr="002E0E79">
        <w:rPr>
          <w:b/>
          <w:sz w:val="28"/>
          <w:szCs w:val="28"/>
        </w:rPr>
        <w:t>1. LIELAJIEM BURTIEM</w:t>
      </w:r>
      <w:r>
        <w:rPr>
          <w:b/>
          <w:sz w:val="28"/>
        </w:rPr>
        <w:t xml:space="preserve"> </w:t>
      </w:r>
      <w:r w:rsidRPr="002E0E79">
        <w:t>(</w:t>
      </w:r>
      <w:r w:rsidRPr="008B7588">
        <w:rPr>
          <w:b/>
        </w:rPr>
        <w:t>Bold</w:t>
      </w:r>
      <w:r w:rsidRPr="002E0E79">
        <w:t>, 14</w:t>
      </w:r>
      <w:r>
        <w:t>. </w:t>
      </w:r>
      <w:r w:rsidRPr="004E7B5B">
        <w:t>lielum</w:t>
      </w:r>
      <w:r>
        <w:t>s</w:t>
      </w:r>
      <w:r w:rsidRPr="002E0E79">
        <w:t xml:space="preserve">, novietojums </w:t>
      </w:r>
      <w:r>
        <w:t>–</w:t>
      </w:r>
      <w:r w:rsidRPr="002E0E79">
        <w:t xml:space="preserve"> lapas vidū). Katru nodaļu sāk ar jaunu lappusi. </w:t>
      </w:r>
    </w:p>
    <w:p w:rsidR="00423A73" w:rsidRDefault="00423A73" w:rsidP="00423A73">
      <w:pPr>
        <w:pStyle w:val="Heading3"/>
        <w:widowControl/>
        <w:tabs>
          <w:tab w:val="clear" w:pos="1174"/>
        </w:tabs>
      </w:pPr>
      <w:bookmarkStart w:id="9" w:name="_Toc99253363"/>
      <w:bookmarkStart w:id="10" w:name="_Toc444598148"/>
      <w:r>
        <w:t>Apakšnodaļas virsraksts</w:t>
      </w:r>
      <w:bookmarkEnd w:id="9"/>
      <w:bookmarkEnd w:id="10"/>
    </w:p>
    <w:p w:rsidR="00423A73" w:rsidRDefault="00423A73" w:rsidP="00423A73">
      <w:pPr>
        <w:pStyle w:val="NormalarTab"/>
      </w:pPr>
      <w:r>
        <w:t xml:space="preserve">Apakšnodaļu (otrā līmeņa) virsrakstus raksta ar izceltiem </w:t>
      </w:r>
      <w:r w:rsidRPr="009B5C2C">
        <w:rPr>
          <w:b/>
          <w:sz w:val="28"/>
          <w:szCs w:val="28"/>
        </w:rPr>
        <w:t xml:space="preserve">1.2. </w:t>
      </w:r>
      <w:r>
        <w:rPr>
          <w:b/>
          <w:sz w:val="28"/>
        </w:rPr>
        <w:t>Mazajiem burtiem</w:t>
      </w:r>
      <w:r>
        <w:t xml:space="preserve"> un lielo sākuma burtu (</w:t>
      </w:r>
      <w:r w:rsidRPr="008B7588">
        <w:rPr>
          <w:b/>
        </w:rPr>
        <w:t>Bold</w:t>
      </w:r>
      <w:r>
        <w:t>, 14</w:t>
      </w:r>
      <w:bookmarkStart w:id="11" w:name="OLE_LINK5"/>
      <w:bookmarkStart w:id="12" w:name="OLE_LINK6"/>
      <w:r>
        <w:t>. </w:t>
      </w:r>
      <w:r w:rsidRPr="004E7B5B">
        <w:t>lielum</w:t>
      </w:r>
      <w:r>
        <w:t>s</w:t>
      </w:r>
      <w:bookmarkEnd w:id="11"/>
      <w:bookmarkEnd w:id="12"/>
      <w:r>
        <w:t xml:space="preserve">, novietojums – lapas vidū). </w:t>
      </w:r>
    </w:p>
    <w:p w:rsidR="00423A73" w:rsidRPr="00483368" w:rsidRDefault="00423A73" w:rsidP="00423A73">
      <w:pPr>
        <w:pStyle w:val="Heading3"/>
        <w:widowControl/>
        <w:tabs>
          <w:tab w:val="clear" w:pos="1174"/>
        </w:tabs>
      </w:pPr>
      <w:bookmarkStart w:id="13" w:name="_Toc99253364"/>
      <w:bookmarkStart w:id="14" w:name="_Toc444598149"/>
      <w:r>
        <w:t>Punktu virsraksts</w:t>
      </w:r>
      <w:bookmarkEnd w:id="13"/>
      <w:bookmarkEnd w:id="14"/>
    </w:p>
    <w:p w:rsidR="00423A73" w:rsidRDefault="00423A73" w:rsidP="00423A73">
      <w:pPr>
        <w:pStyle w:val="NormalarTab"/>
      </w:pPr>
      <w:r>
        <w:t xml:space="preserve">Punktu (trešā līmeņa) virsrakstus raksta ar izceltiem </w:t>
      </w:r>
      <w:r w:rsidRPr="009B5C2C">
        <w:rPr>
          <w:b/>
          <w:i/>
        </w:rPr>
        <w:t xml:space="preserve">1.2.1. </w:t>
      </w:r>
      <w:r>
        <w:rPr>
          <w:b/>
          <w:i/>
          <w:sz w:val="26"/>
        </w:rPr>
        <w:t>Mazajiem burtiem</w:t>
      </w:r>
      <w:r>
        <w:t xml:space="preserve"> un lielo sākuma burtu (</w:t>
      </w:r>
      <w:r w:rsidRPr="008B7588">
        <w:rPr>
          <w:b/>
        </w:rPr>
        <w:t>Bold</w:t>
      </w:r>
      <w:r>
        <w:t xml:space="preserve">, </w:t>
      </w:r>
      <w:r w:rsidRPr="008B7588">
        <w:rPr>
          <w:i/>
        </w:rPr>
        <w:t>Italic</w:t>
      </w:r>
      <w:r>
        <w:t>, 13. </w:t>
      </w:r>
      <w:r w:rsidRPr="004E7B5B">
        <w:t>lielum</w:t>
      </w:r>
      <w:r>
        <w:t xml:space="preserve">s, novietojums – lapas kreisajā malā). </w:t>
      </w:r>
    </w:p>
    <w:p w:rsidR="00423A73" w:rsidRDefault="00423A73" w:rsidP="00423A73">
      <w:pPr>
        <w:pStyle w:val="Heading3"/>
      </w:pPr>
      <w:bookmarkStart w:id="15" w:name="_Toc444598150"/>
      <w:r>
        <w:t>Apakšpunktu virsraksts</w:t>
      </w:r>
      <w:bookmarkEnd w:id="15"/>
    </w:p>
    <w:p w:rsidR="00423A73" w:rsidRDefault="00423A73" w:rsidP="00423A73">
      <w:pPr>
        <w:pStyle w:val="NormalarTab"/>
      </w:pPr>
      <w:r>
        <w:t>Ja nepieciešams, teksta strukturizēšanai iespējams izmantot arī 4. līmeņa sadalījumu – apakšpunktus ar nosaukumiem, bet tos nekļauj satura rādītājā.</w:t>
      </w:r>
    </w:p>
    <w:p w:rsidR="00423A73" w:rsidRDefault="00423A73" w:rsidP="00423A73">
      <w:pPr>
        <w:pStyle w:val="NormalarTab"/>
        <w:rPr>
          <w:lang w:eastAsia="en-US"/>
        </w:rPr>
      </w:pPr>
      <w:r>
        <w:t xml:space="preserve">Apakšpunktu (ceturtā līmeņa) virsrakstus raksta ar izceltiem </w:t>
      </w:r>
      <w:r>
        <w:rPr>
          <w:b/>
          <w:i/>
          <w:sz w:val="26"/>
        </w:rPr>
        <w:t xml:space="preserve">1.2.1.1. </w:t>
      </w:r>
      <w:r w:rsidRPr="009B5C2C">
        <w:rPr>
          <w:b/>
          <w:i/>
        </w:rPr>
        <w:t>Ma</w:t>
      </w:r>
      <w:r>
        <w:rPr>
          <w:b/>
          <w:i/>
        </w:rPr>
        <w:t>zajiem burtiem</w:t>
      </w:r>
      <w:r>
        <w:t xml:space="preserve"> un lielo sākuma burtu (</w:t>
      </w:r>
      <w:r w:rsidRPr="008B7588">
        <w:rPr>
          <w:b/>
        </w:rPr>
        <w:t>Bold</w:t>
      </w:r>
      <w:r>
        <w:t xml:space="preserve">, </w:t>
      </w:r>
      <w:r w:rsidRPr="008B7588">
        <w:rPr>
          <w:i/>
        </w:rPr>
        <w:t>Italic</w:t>
      </w:r>
      <w:r>
        <w:t>, 12. </w:t>
      </w:r>
      <w:r w:rsidRPr="004E7B5B">
        <w:t>lielum</w:t>
      </w:r>
      <w:r>
        <w:t>s, novietojums – lapas kreisajā malā).</w:t>
      </w:r>
    </w:p>
    <w:p w:rsidR="00423A73" w:rsidRDefault="00423A73" w:rsidP="00423A73">
      <w:pPr>
        <w:pStyle w:val="Heading1"/>
      </w:pPr>
      <w:bookmarkStart w:id="16" w:name="_Toc444598151"/>
      <w:r>
        <w:lastRenderedPageBreak/>
        <w:t>OBJEKTU IEKļAUšANA TEKSTĀ</w:t>
      </w:r>
      <w:bookmarkEnd w:id="16"/>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17" w:name="_Toc444598152"/>
      <w:r>
        <w:t>Attēli</w:t>
      </w:r>
      <w:bookmarkEnd w:id="1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US" w:eastAsia="en-US"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6"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18" w:name="_Ref125393819"/>
    <w:bookmarkStart w:id="1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18"/>
      <w:r>
        <w:t xml:space="preserve">. att. </w:t>
      </w:r>
      <w:bookmarkEnd w:id="1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Pr>
          <w:b/>
          <w:bCs/>
          <w:lang w:val="en-US"/>
        </w:rPr>
        <w:t>Error! 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20" w:name="_Toc121243850"/>
      <w:bookmarkStart w:id="21" w:name="_Toc444598153"/>
      <w:bookmarkStart w:id="22" w:name="_Toc121243849"/>
      <w:r>
        <w:t>Tabulas</w:t>
      </w:r>
      <w:bookmarkEnd w:id="20"/>
      <w:bookmarkEnd w:id="2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23" w:name="_Ref125394002"/>
    <w:bookmarkStart w:id="2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3"/>
      <w:r>
        <w:rPr>
          <w:lang w:eastAsia="en-US"/>
        </w:rPr>
        <w:t>. tabula</w:t>
      </w:r>
      <w:bookmarkEnd w:id="2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25" w:name="_Toc444598154"/>
      <w:r>
        <w:t>Formulas</w:t>
      </w:r>
      <w:bookmarkEnd w:id="22"/>
      <w:bookmarkEnd w:id="2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8.8pt" o:ole="" fillcolor="window">
                  <v:imagedata r:id="rId17" o:title=""/>
                </v:shape>
                <o:OLEObject Type="Embed" ProgID="Equation.DSMT4" ShapeID="_x0000_i1025" DrawAspect="Content" ObjectID="_1555527620" r:id="rId18"/>
              </w:object>
            </w:r>
            <w:r>
              <w:t>,</w:t>
            </w:r>
          </w:p>
        </w:tc>
        <w:tc>
          <w:tcPr>
            <w:tcW w:w="1392" w:type="dxa"/>
            <w:vAlign w:val="center"/>
          </w:tcPr>
          <w:p w:rsidR="00423A73" w:rsidRDefault="00423A73" w:rsidP="00DC6EFF">
            <w:pPr>
              <w:pStyle w:val="Caption"/>
            </w:pPr>
            <w:bookmarkStart w:id="2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2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15pt;height:18.8pt" o:ole="" fillcolor="window">
                  <v:imagedata r:id="rId19" o:title=""/>
                </v:shape>
                <o:OLEObject Type="Embed" ProgID="Equation.3" ShapeID="_x0000_i1026" DrawAspect="Content" ObjectID="_1555527621" r:id="rId20"/>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5pt;height:12.5pt" o:ole="" fillcolor="window">
                  <v:imagedata r:id="rId21" o:title=""/>
                </v:shape>
                <o:OLEObject Type="Embed" ProgID="Equation.3" ShapeID="_x0000_i1027" DrawAspect="Content" ObjectID="_1555527622" r:id="rId22"/>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3.8pt;height:19.4pt" o:ole="" fillcolor="window">
                  <v:imagedata r:id="rId23" o:title=""/>
                </v:shape>
                <o:OLEObject Type="Embed" ProgID="Equation.3" ShapeID="_x0000_i1028" DrawAspect="Content" ObjectID="_1555527623" r:id="rId24"/>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Pr>
          <w:i/>
          <w:lang w:val="en-GB"/>
        </w:rPr>
        <w:t xml:space="preserve">Microsoft Equation </w:t>
      </w:r>
      <w:r w:rsidRPr="00443BF3">
        <w:t>vai</w:t>
      </w:r>
      <w:r>
        <w:rPr>
          <w:i/>
          <w:lang w:val="en-GB"/>
        </w:rPr>
        <w:t xml:space="preserve"> Math Type Equation</w:t>
      </w:r>
      <w:r>
        <w:rPr>
          <w:lang w:val="en-GB"/>
        </w:rPr>
        <w:t>.</w:t>
      </w:r>
    </w:p>
    <w:p w:rsidR="00423A73" w:rsidRDefault="00423A73" w:rsidP="00423A73">
      <w:pPr>
        <w:pStyle w:val="NormalarTab"/>
      </w:pPr>
    </w:p>
    <w:p w:rsidR="00423A73" w:rsidRDefault="00423A73" w:rsidP="00423A73">
      <w:pPr>
        <w:pStyle w:val="Heading1"/>
        <w:rPr>
          <w:lang w:eastAsia="en-US"/>
        </w:rPr>
      </w:pPr>
      <w:bookmarkStart w:id="27" w:name="_Toc444598155"/>
      <w:r>
        <w:rPr>
          <w:lang w:eastAsia="en-US"/>
        </w:rPr>
        <w:lastRenderedPageBreak/>
        <w:t>izmantotās literatūras SARAKSTA sakārtoŠANA un atsauces</w:t>
      </w:r>
      <w:bookmarkEnd w:id="2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proofErr w:type="spellStart"/>
      <w:r>
        <w:rPr>
          <w:rFonts w:cs="Times New Roman"/>
          <w:snapToGrid/>
          <w:color w:val="000000"/>
          <w:shd w:val="clear" w:color="auto" w:fill="FFFFFF"/>
          <w:lang w:val="en-US" w:eastAsia="en-US" w:bidi="ar-SA"/>
        </w:rPr>
        <w:t>Diakopoulos</w:t>
      </w:r>
      <w:proofErr w:type="spellEnd"/>
      <w:r>
        <w:rPr>
          <w:rFonts w:cs="Times New Roman"/>
          <w:snapToGrid/>
          <w:color w:val="000000"/>
          <w:shd w:val="clear" w:color="auto" w:fill="FFFFFF"/>
          <w:lang w:val="en-US" w:eastAsia="en-US" w:bidi="ar-SA"/>
        </w:rPr>
        <w:t xml:space="preserve">, N., </w:t>
      </w:r>
      <w:proofErr w:type="spellStart"/>
      <w:r>
        <w:rPr>
          <w:rFonts w:cs="Times New Roman"/>
          <w:snapToGrid/>
          <w:color w:val="000000"/>
          <w:shd w:val="clear" w:color="auto" w:fill="FFFFFF"/>
          <w:lang w:val="en-US" w:eastAsia="en-US" w:bidi="ar-SA"/>
        </w:rPr>
        <w:t>Cass,S</w:t>
      </w:r>
      <w:proofErr w:type="spellEnd"/>
      <w:r>
        <w:rPr>
          <w:rFonts w:cs="Times New Roman"/>
          <w:snapToGrid/>
          <w:color w:val="000000"/>
          <w:shd w:val="clear" w:color="auto" w:fill="FFFFFF"/>
          <w:lang w:val="en-US" w:eastAsia="en-US" w:bidi="ar-SA"/>
        </w:rPr>
        <w:t xml:space="preserve">.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w:t>
      </w:r>
      <w:r>
        <w:t xml:space="preserve">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28" w:name="_Toc444598156"/>
      <w:r>
        <w:rPr>
          <w:lang w:eastAsia="en-US"/>
        </w:rPr>
        <w:lastRenderedPageBreak/>
        <w:t>PIELIKUMI</w:t>
      </w:r>
      <w:bookmarkEnd w:id="2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29" w:name="_Toc444598157"/>
      <w:r>
        <w:lastRenderedPageBreak/>
        <w:t>rezultāti un SECINĀJUMI</w:t>
      </w:r>
      <w:bookmarkEnd w:id="2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30" w:name="_Toc444598158"/>
      <w:r w:rsidRPr="00011202">
        <w:rPr>
          <w:bCs w:val="0"/>
          <w:iCs/>
        </w:rPr>
        <w:lastRenderedPageBreak/>
        <w:t>Izmantotās literatūras saraksts</w:t>
      </w:r>
      <w:bookmarkEnd w:id="30"/>
    </w:p>
    <w:p w:rsidR="00423A73" w:rsidRDefault="00423A73" w:rsidP="00423A73">
      <w:pPr>
        <w:numPr>
          <w:ilvl w:val="0"/>
          <w:numId w:val="2"/>
        </w:numPr>
        <w:tabs>
          <w:tab w:val="clear" w:pos="720"/>
          <w:tab w:val="num" w:pos="567"/>
        </w:tabs>
        <w:ind w:left="567" w:hanging="567"/>
        <w:rPr>
          <w:lang w:eastAsia="en-US"/>
        </w:rPr>
      </w:pPr>
      <w:bookmarkStart w:id="31" w:name="_Ref128159988"/>
      <w:r>
        <w:rPr>
          <w:lang w:eastAsia="en-US"/>
        </w:rPr>
        <w:t>Literatūras avots A</w:t>
      </w:r>
      <w:bookmarkEnd w:id="3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32" w:name="_Ref125394208"/>
      <w:bookmarkStart w:id="33" w:name="_Ref128160037"/>
      <w:r>
        <w:rPr>
          <w:lang w:eastAsia="en-US"/>
        </w:rPr>
        <w:t>Žurnāls</w:t>
      </w:r>
      <w:bookmarkEnd w:id="32"/>
      <w:r>
        <w:rPr>
          <w:lang w:eastAsia="en-US"/>
        </w:rPr>
        <w:t xml:space="preserve"> C</w:t>
      </w:r>
      <w:bookmarkEnd w:id="3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25"/>
          <w:footerReference w:type="first" r:id="rId26"/>
          <w:pgSz w:w="11907" w:h="16840" w:code="9"/>
          <w:pgMar w:top="1440" w:right="1797" w:bottom="1440" w:left="1797" w:header="720" w:footer="720" w:gutter="0"/>
          <w:cols w:space="720"/>
          <w:docGrid w:linePitch="326"/>
        </w:sectPr>
      </w:pPr>
    </w:p>
    <w:p w:rsidR="00423A73" w:rsidRDefault="00423A73" w:rsidP="00423A73">
      <w:pPr>
        <w:pStyle w:val="Pielikumi"/>
      </w:pPr>
      <w:bookmarkStart w:id="34" w:name="_Toc444598159"/>
      <w:r>
        <w:lastRenderedPageBreak/>
        <w:t>pielikumi</w:t>
      </w:r>
      <w:bookmarkEnd w:id="3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17518"/>
      <w:bookmarkStart w:id="36" w:name="_Toc444598160"/>
      <w:r w:rsidR="00C44EC4">
        <w:rPr>
          <w:noProof/>
        </w:rPr>
        <w:t>1</w:t>
      </w:r>
      <w:bookmarkEnd w:id="3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3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7" w:name="_Ref442908353"/>
      <w:bookmarkStart w:id="38" w:name="_Toc444598161"/>
      <w:r w:rsidR="00C44EC4">
        <w:rPr>
          <w:noProof/>
        </w:rPr>
        <w:t>2</w:t>
      </w:r>
      <w:bookmarkEnd w:id="3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3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39" w:name="OLE_LINK3"/>
      <w:bookmarkStart w:id="40" w:name="OLE_LINK4"/>
      <w:r>
        <w:rPr>
          <w:lang w:eastAsia="en-US"/>
        </w:rPr>
        <w:t xml:space="preserve">objekta </w:t>
      </w:r>
      <w:bookmarkEnd w:id="39"/>
      <w:bookmarkEnd w:id="4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27"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41" w:name="_Ref128550102"/>
      <w:bookmarkStart w:id="4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41"/>
      <w:r>
        <w:t xml:space="preserve">. att. </w:t>
      </w:r>
      <w:r w:rsidRPr="002E3A6A">
        <w:rPr>
          <w:rStyle w:val="CaptionattlamChar"/>
        </w:rPr>
        <w:t>Attēla nosaukums</w:t>
      </w:r>
      <w:bookmarkEnd w:id="4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43" w:name="_Ref128005340"/>
      <w:bookmarkStart w:id="4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43"/>
      <w:r>
        <w:rPr>
          <w:lang w:eastAsia="en-US"/>
        </w:rPr>
        <w:t>. tabula</w:t>
      </w:r>
      <w:bookmarkEnd w:id="4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45" w:name="_Ref443932957"/>
      <w:bookmarkStart w:id="46" w:name="_Toc444598162"/>
      <w:r w:rsidR="00C44EC4">
        <w:rPr>
          <w:noProof/>
        </w:rPr>
        <w:t>3</w:t>
      </w:r>
      <w:bookmarkEnd w:id="4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4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w:t>
      </w:r>
      <w:proofErr w:type="spellStart"/>
      <w:r w:rsidRPr="00BB46DC">
        <w:rPr>
          <w:i/>
          <w:lang w:val="en-GB"/>
        </w:rPr>
        <w:t>th</w:t>
      </w:r>
      <w:proofErr w:type="spellEnd"/>
      <w:r w:rsidRPr="00BB46DC">
        <w:rPr>
          <w:i/>
          <w:lang w:val="en-GB"/>
        </w:rPr>
        <w:t xml:space="preserve"> International Baltic Conference</w:t>
      </w:r>
      <w:r w:rsidRPr="00BB46DC">
        <w:rPr>
          <w:lang w:val="en-GB"/>
        </w:rPr>
        <w:t xml:space="preserve">, </w:t>
      </w:r>
      <w:r w:rsidRPr="00BB46DC">
        <w:rPr>
          <w:i/>
          <w:lang w:val="en-GB"/>
        </w:rPr>
        <w:t xml:space="preserve">Latvia, </w:t>
      </w:r>
      <w:proofErr w:type="spellStart"/>
      <w:r w:rsidRPr="00BB46DC">
        <w:rPr>
          <w:i/>
          <w:lang w:val="en-GB"/>
        </w:rPr>
        <w:t>Jurmala</w:t>
      </w:r>
      <w:proofErr w:type="spellEnd"/>
      <w:r w:rsidRPr="00BB46DC">
        <w:rPr>
          <w:i/>
          <w:lang w:val="en-GB"/>
        </w:rPr>
        <w:t>,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w:t>
      </w:r>
      <w:proofErr w:type="spellStart"/>
      <w:r w:rsidRPr="00BB46DC">
        <w:rPr>
          <w:lang w:val="en-GB"/>
        </w:rPr>
        <w:t>doi</w:t>
      </w:r>
      <w:proofErr w:type="spellEnd"/>
      <w:r w:rsidRPr="00BB46DC">
        <w:rPr>
          <w:lang w:val="en-GB"/>
        </w:rPr>
        <w:t>:</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w:t>
      </w:r>
      <w:proofErr w:type="spellStart"/>
      <w:r w:rsidRPr="00BB46DC">
        <w:rPr>
          <w:rFonts w:eastAsia="Calibri"/>
          <w:lang w:val="en-GB"/>
        </w:rPr>
        <w:t>doi</w:t>
      </w:r>
      <w:proofErr w:type="spellEnd"/>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proofErr w:type="spellStart"/>
      <w:r w:rsidRPr="00D35218">
        <w:rPr>
          <w:rFonts w:eastAsia="Calibri"/>
          <w:lang w:val="en-GB"/>
        </w:rPr>
        <w:t>Kirshners</w:t>
      </w:r>
      <w:proofErr w:type="spellEnd"/>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w:t>
      </w:r>
      <w:proofErr w:type="spellStart"/>
      <w:r w:rsidRPr="00D35218">
        <w:rPr>
          <w:rFonts w:eastAsia="Calibri"/>
          <w:lang w:val="en-GB"/>
        </w:rPr>
        <w:t>Polaka</w:t>
      </w:r>
      <w:proofErr w:type="spellEnd"/>
      <w:r w:rsidRPr="00D35218">
        <w:rPr>
          <w:rFonts w:eastAsia="Calibri"/>
          <w:lang w:val="en-GB"/>
        </w:rPr>
        <w:t xml:space="preserve">, I., </w:t>
      </w:r>
      <w:proofErr w:type="spellStart"/>
      <w:r w:rsidRPr="00D35218">
        <w:rPr>
          <w:rFonts w:eastAsia="Calibri"/>
          <w:lang w:val="en-GB"/>
        </w:rPr>
        <w:t>Aleksejeva</w:t>
      </w:r>
      <w:proofErr w:type="spellEnd"/>
      <w:r w:rsidRPr="00D35218">
        <w:rPr>
          <w:rFonts w:eastAsia="Calibri"/>
          <w:lang w:val="en-GB"/>
        </w:rPr>
        <w:t xml:space="preserve">,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proofErr w:type="spellStart"/>
      <w:r w:rsidRPr="00E269A3">
        <w:rPr>
          <w:rFonts w:eastAsia="Calibri"/>
          <w:lang w:val="en-US"/>
        </w:rPr>
        <w:t>Iesniegšanas</w:t>
      </w:r>
      <w:proofErr w:type="spellEnd"/>
      <w:r w:rsidRPr="00E269A3">
        <w:rPr>
          <w:rFonts w:eastAsia="Calibri"/>
          <w:lang w:val="en-US"/>
        </w:rPr>
        <w:t xml:space="preserve"> </w:t>
      </w:r>
      <w:proofErr w:type="spellStart"/>
      <w:r w:rsidRPr="00E269A3">
        <w:rPr>
          <w:rFonts w:eastAsia="Calibri"/>
          <w:lang w:val="en-US"/>
        </w:rPr>
        <w:t>datējums</w:t>
      </w:r>
      <w:proofErr w:type="spellEnd"/>
      <w:r w:rsidRPr="00E269A3">
        <w:rPr>
          <w:rFonts w:eastAsia="Calibri"/>
          <w:lang w:val="en-US"/>
        </w:rPr>
        <w:t xml:space="preserve"> 2012-06-01. </w:t>
      </w:r>
      <w:proofErr w:type="spellStart"/>
      <w:r w:rsidRPr="00E269A3">
        <w:rPr>
          <w:rFonts w:eastAsia="Calibri"/>
          <w:lang w:val="en-US"/>
        </w:rPr>
        <w:t>Patenti</w:t>
      </w:r>
      <w:proofErr w:type="spellEnd"/>
      <w:r w:rsidRPr="00E269A3">
        <w:rPr>
          <w:rFonts w:eastAsia="Calibri"/>
          <w:lang w:val="en-US"/>
        </w:rPr>
        <w:t xml:space="preserve"> un </w:t>
      </w:r>
      <w:proofErr w:type="spellStart"/>
      <w:r w:rsidRPr="00E269A3">
        <w:rPr>
          <w:rFonts w:eastAsia="Calibri"/>
          <w:lang w:val="en-US"/>
        </w:rPr>
        <w:t>Preču</w:t>
      </w:r>
      <w:proofErr w:type="spellEnd"/>
      <w:r w:rsidRPr="00E269A3">
        <w:rPr>
          <w:rFonts w:eastAsia="Calibri"/>
          <w:lang w:val="en-US"/>
        </w:rPr>
        <w:t xml:space="preserve"> </w:t>
      </w:r>
      <w:proofErr w:type="spellStart"/>
      <w:r w:rsidRPr="00E269A3">
        <w:rPr>
          <w:rFonts w:eastAsia="Calibri"/>
          <w:lang w:val="en-US"/>
        </w:rPr>
        <w:t>Zīmes</w:t>
      </w:r>
      <w:proofErr w:type="spellEnd"/>
      <w:r w:rsidRPr="00E269A3">
        <w:rPr>
          <w:rFonts w:eastAsia="Calibri"/>
          <w:lang w:val="en-US"/>
        </w:rPr>
        <w:t>.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47" w:name="_Ref93472154"/>
      <w:bookmarkStart w:id="48" w:name="_Toc95713120"/>
      <w:bookmarkStart w:id="49" w:name="_Ref304204554"/>
      <w:bookmarkStart w:id="50" w:name="_Toc304216253"/>
      <w:r w:rsidRPr="00F20318">
        <w:lastRenderedPageBreak/>
        <w:t>Darba izpildes un novērtējuma lapa</w:t>
      </w:r>
      <w:bookmarkEnd w:id="47"/>
      <w:bookmarkEnd w:id="48"/>
      <w:bookmarkEnd w:id="49"/>
      <w:bookmarkEnd w:id="5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28"/>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6C4" w:rsidRDefault="00CE66C4" w:rsidP="00423A73">
      <w:pPr>
        <w:spacing w:line="240" w:lineRule="auto"/>
      </w:pPr>
      <w:r>
        <w:separator/>
      </w:r>
    </w:p>
  </w:endnote>
  <w:endnote w:type="continuationSeparator" w:id="0">
    <w:p w:rsidR="00CE66C4" w:rsidRDefault="00CE66C4"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E5D" w:rsidRDefault="00BD7E5D"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7E5D" w:rsidRDefault="00BD7E5D"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BD7E5D" w:rsidRDefault="00BD7E5D"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BD7E5D" w:rsidRDefault="00BD7E5D" w:rsidP="00DC6EFF">
        <w:pPr>
          <w:pStyle w:val="Footer"/>
          <w:jc w:val="center"/>
        </w:pPr>
        <w:r>
          <w:fldChar w:fldCharType="begin"/>
        </w:r>
        <w:r>
          <w:instrText xml:space="preserve"> PAGE   \* MERGEFORMAT </w:instrText>
        </w:r>
        <w:r>
          <w:fldChar w:fldCharType="separate"/>
        </w:r>
        <w:r w:rsidR="009017AB">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E5D" w:rsidRDefault="00BD7E5D">
    <w:pPr>
      <w:pStyle w:val="Footer"/>
      <w:jc w:val="center"/>
    </w:pPr>
  </w:p>
  <w:p w:rsidR="00BD7E5D" w:rsidRDefault="00BD7E5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BD7E5D" w:rsidRDefault="00BD7E5D" w:rsidP="00DC6EFF">
        <w:pPr>
          <w:pStyle w:val="Footer"/>
          <w:jc w:val="center"/>
        </w:pPr>
        <w:r>
          <w:fldChar w:fldCharType="begin"/>
        </w:r>
        <w:r>
          <w:instrText xml:space="preserve"> PAGE   \* MERGEFORMAT </w:instrText>
        </w:r>
        <w:r>
          <w:fldChar w:fldCharType="separate"/>
        </w:r>
        <w:r w:rsidR="0018156B">
          <w:rPr>
            <w:noProof/>
          </w:rPr>
          <w:t>35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6C4" w:rsidRDefault="00CE66C4" w:rsidP="00423A73">
      <w:pPr>
        <w:spacing w:line="240" w:lineRule="auto"/>
      </w:pPr>
      <w:r>
        <w:separator/>
      </w:r>
    </w:p>
  </w:footnote>
  <w:footnote w:type="continuationSeparator" w:id="0">
    <w:p w:rsidR="00CE66C4" w:rsidRDefault="00CE66C4" w:rsidP="00423A73">
      <w:pPr>
        <w:spacing w:line="240" w:lineRule="auto"/>
      </w:pPr>
      <w:r>
        <w:continuationSeparator/>
      </w:r>
    </w:p>
  </w:footnote>
  <w:footnote w:id="1">
    <w:p w:rsidR="00BD7E5D" w:rsidRPr="00C57A07" w:rsidRDefault="00BD7E5D">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BD7E5D" w:rsidRPr="002C06ED" w:rsidRDefault="00BD7E5D">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BD7E5D" w:rsidRPr="00D0452C" w:rsidRDefault="00BD7E5D">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BD7E5D" w:rsidRPr="00145A50" w:rsidRDefault="00BD7E5D"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BD7E5D" w:rsidRPr="00A24717" w:rsidRDefault="00BD7E5D">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BD7E5D" w:rsidRPr="00A24717" w:rsidRDefault="00BD7E5D">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BD7E5D" w:rsidRPr="00F4519C" w:rsidRDefault="00BD7E5D">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7152CA" w:rsidRPr="007152CA" w:rsidRDefault="007152CA">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6D6063" w:rsidRPr="006D6063" w:rsidRDefault="006D6063">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6D6063" w:rsidRPr="007475E0" w:rsidRDefault="006D6063">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sidR="007475E0">
        <w:rPr>
          <w:lang w:val="ru-RU"/>
        </w:rPr>
        <w:t>.</w:t>
      </w:r>
    </w:p>
  </w:footnote>
  <w:footnote w:id="11">
    <w:p w:rsidR="006D6063" w:rsidRPr="007475E0" w:rsidRDefault="006D6063">
      <w:pPr>
        <w:pStyle w:val="FootnoteText"/>
        <w:rPr>
          <w:lang w:val="en-US"/>
        </w:rPr>
      </w:pPr>
      <w:r>
        <w:rPr>
          <w:rStyle w:val="FootnoteReference"/>
        </w:rPr>
        <w:footnoteRef/>
      </w:r>
      <w:r>
        <w:t xml:space="preserve"> </w:t>
      </w:r>
      <w:r>
        <w:t xml:space="preserve">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007475E0" w:rsidRPr="007475E0">
        <w:rPr>
          <w:lang w:val="en-US"/>
        </w:rPr>
        <w:t>.</w:t>
      </w:r>
    </w:p>
  </w:footnote>
  <w:footnote w:id="12">
    <w:p w:rsidR="006D6063" w:rsidRPr="007475E0" w:rsidRDefault="006D6063">
      <w:pPr>
        <w:pStyle w:val="FootnoteText"/>
        <w:rPr>
          <w:lang w:val="en-US"/>
        </w:rPr>
      </w:pPr>
      <w:r>
        <w:rPr>
          <w:rStyle w:val="FootnoteReference"/>
        </w:rPr>
        <w:footnoteRef/>
      </w:r>
      <w:r>
        <w:t xml:space="preserve"> </w:t>
      </w:r>
      <w:r>
        <w:t xml:space="preserve">Tuple – </w:t>
      </w:r>
      <w:r w:rsidR="007475E0" w:rsidRPr="007475E0">
        <w:t>A tuple is a class that can contain a miscellaneous collection of elements</w:t>
      </w:r>
      <w:r w:rsidR="007475E0" w:rsidRPr="007475E0">
        <w:rPr>
          <w:lang w:val="en-US"/>
        </w:rPr>
        <w:t>.</w:t>
      </w:r>
    </w:p>
  </w:footnote>
  <w:footnote w:id="13">
    <w:p w:rsidR="007D78DA" w:rsidRPr="007D78DA" w:rsidRDefault="007D78DA">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7D78DA" w:rsidRPr="007D78DA" w:rsidRDefault="007D78DA">
      <w:pPr>
        <w:pStyle w:val="FootnoteText"/>
        <w:rPr>
          <w:lang w:val="ru-RU"/>
        </w:rPr>
      </w:pPr>
      <w:r>
        <w:rPr>
          <w:rStyle w:val="FootnoteReference"/>
        </w:rPr>
        <w:footnoteRef/>
      </w:r>
      <w:r>
        <w:t xml:space="preserve"> </w:t>
      </w:r>
      <w:r>
        <w:rPr>
          <w:lang w:val="en-US"/>
        </w:rPr>
        <w:t>Lisp</w:t>
      </w:r>
      <w:r w:rsidRPr="007D78DA">
        <w:rPr>
          <w:lang w:val="ru-RU"/>
        </w:rPr>
        <w:t xml:space="preserve"> </w:t>
      </w:r>
      <w:r w:rsidRPr="007D78DA">
        <w:rPr>
          <w:lang w:val="ru-RU"/>
        </w:rPr>
        <w:t xml:space="preserve">–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0331D4" w:rsidRPr="000331D4" w:rsidRDefault="000331D4">
      <w:pPr>
        <w:pStyle w:val="FootnoteText"/>
      </w:pPr>
      <w:r>
        <w:rPr>
          <w:rStyle w:val="FootnoteReference"/>
        </w:rPr>
        <w:footnoteRef/>
      </w:r>
      <w:r>
        <w:t xml:space="preserve"> </w:t>
      </w:r>
      <w:r>
        <w:t xml:space="preserve">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DD7004" w:rsidRPr="00DD7004" w:rsidRDefault="00DD7004">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18156B" w:rsidRPr="0018156B" w:rsidRDefault="0018156B">
      <w:pPr>
        <w:pStyle w:val="FootnoteText"/>
      </w:pPr>
      <w:r>
        <w:rPr>
          <w:rStyle w:val="FootnoteReference"/>
        </w:rPr>
        <w:footnoteRef/>
      </w:r>
      <w:r>
        <w:t xml:space="preserve"> </w:t>
      </w:r>
      <w:r>
        <w:t xml:space="preserve">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18156B" w:rsidRPr="0018156B" w:rsidRDefault="0018156B">
      <w:pPr>
        <w:pStyle w:val="FootnoteText"/>
        <w:rPr>
          <w:lang w:val="ru-RU"/>
        </w:rPr>
      </w:pPr>
      <w:r>
        <w:rPr>
          <w:rStyle w:val="FootnoteReference"/>
        </w:rPr>
        <w:footnoteRef/>
      </w:r>
      <w:r>
        <w:t xml:space="preserve"> </w:t>
      </w:r>
      <w:r>
        <w:t xml:space="preserve">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sidR="009017AB">
        <w:rPr>
          <w:lang w:val="ru-RU"/>
        </w:rPr>
        <w:t>понимать</w:t>
      </w:r>
      <w:r w:rsidRPr="009017AB">
        <w:rPr>
          <w:lang w:val="ru-RU"/>
        </w:rPr>
        <w:t xml:space="preserve"> </w:t>
      </w:r>
      <w:r>
        <w:rPr>
          <w:lang w:val="ru-RU"/>
        </w:rPr>
        <w:t xml:space="preserve">вопросы </w:t>
      </w:r>
      <w:r w:rsidR="009017AB">
        <w:rPr>
          <w:lang w:val="ru-RU"/>
        </w:rPr>
        <w:t>на людском языке, и находить на них ответы в базе данных.</w:t>
      </w:r>
    </w:p>
  </w:footnote>
  <w:footnote w:id="19">
    <w:p w:rsidR="00BD7E5D" w:rsidRDefault="00BD7E5D" w:rsidP="00423A73">
      <w:pPr>
        <w:pStyle w:val="FootnoteText"/>
        <w:ind w:left="284" w:hanging="284"/>
      </w:pPr>
      <w:r w:rsidRPr="00EA3423">
        <w:rPr>
          <w:rStyle w:val="FootnoteReference"/>
          <w:sz w:val="22"/>
        </w:rPr>
        <w:footnoteRef/>
      </w:r>
      <w:r>
        <w:t xml:space="preserve"> </w:t>
      </w:r>
      <w:r>
        <w:tab/>
      </w:r>
      <w:r>
        <w:t>Fonta „</w:t>
      </w:r>
      <w:r w:rsidRPr="00D95FD5">
        <w:rPr>
          <w:i/>
        </w:rPr>
        <w:t>Times New Roman</w:t>
      </w:r>
      <w:r>
        <w:t xml:space="preserve">” pielietošana attiecās ne tikai uz pašu tekstu, bet arī uz visiem elementiem </w:t>
      </w:r>
      <w:r>
        <w:rPr>
          <w:rFonts w:cs="Times New Roman"/>
        </w:rPr>
        <w:t>–</w:t>
      </w:r>
      <w:r>
        <w:t xml:space="preserve"> tabulām, attēliem un formulām.</w:t>
      </w:r>
    </w:p>
  </w:footnote>
  <w:footnote w:id="20">
    <w:p w:rsidR="00BD7E5D" w:rsidRPr="00D40E85" w:rsidRDefault="00BD7E5D"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BD7E5D" w:rsidRPr="00D40E85" w:rsidRDefault="00BD7E5D"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BD7E5D" w:rsidRDefault="00BD7E5D"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BD7E5D" w:rsidRDefault="00BD7E5D"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6"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7"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0"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1"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0"/>
  </w:num>
  <w:num w:numId="4">
    <w:abstractNumId w:val="1"/>
  </w:num>
  <w:num w:numId="5">
    <w:abstractNumId w:val="8"/>
  </w:num>
  <w:num w:numId="6">
    <w:abstractNumId w:val="3"/>
  </w:num>
  <w:num w:numId="7">
    <w:abstractNumId w:val="11"/>
  </w:num>
  <w:num w:numId="8">
    <w:abstractNumId w:val="2"/>
  </w:num>
  <w:num w:numId="9">
    <w:abstractNumId w:val="0"/>
  </w:num>
  <w:num w:numId="10">
    <w:abstractNumId w:val="9"/>
  </w:num>
  <w:num w:numId="11">
    <w:abstractNumId w:val="16"/>
  </w:num>
  <w:num w:numId="12">
    <w:abstractNumId w:val="12"/>
  </w:num>
  <w:num w:numId="13">
    <w:abstractNumId w:val="4"/>
  </w:num>
  <w:num w:numId="14">
    <w:abstractNumId w:val="7"/>
  </w:num>
  <w:num w:numId="15">
    <w:abstractNumId w:val="13"/>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586C"/>
    <w:rsid w:val="00131E7A"/>
    <w:rsid w:val="00145A50"/>
    <w:rsid w:val="0018156B"/>
    <w:rsid w:val="001D46B9"/>
    <w:rsid w:val="00251586"/>
    <w:rsid w:val="002A047B"/>
    <w:rsid w:val="002C06ED"/>
    <w:rsid w:val="002E3160"/>
    <w:rsid w:val="002E6ED8"/>
    <w:rsid w:val="00391E61"/>
    <w:rsid w:val="003D6733"/>
    <w:rsid w:val="00423A73"/>
    <w:rsid w:val="004971E4"/>
    <w:rsid w:val="005267D6"/>
    <w:rsid w:val="00557402"/>
    <w:rsid w:val="005A37F7"/>
    <w:rsid w:val="00634F38"/>
    <w:rsid w:val="006D6063"/>
    <w:rsid w:val="006E20B1"/>
    <w:rsid w:val="007152CA"/>
    <w:rsid w:val="007475E0"/>
    <w:rsid w:val="007D78DA"/>
    <w:rsid w:val="0080599A"/>
    <w:rsid w:val="008267FE"/>
    <w:rsid w:val="00847022"/>
    <w:rsid w:val="00863EE5"/>
    <w:rsid w:val="009017AB"/>
    <w:rsid w:val="00904645"/>
    <w:rsid w:val="0091681C"/>
    <w:rsid w:val="009F765C"/>
    <w:rsid w:val="00A24717"/>
    <w:rsid w:val="00AE0053"/>
    <w:rsid w:val="00B37193"/>
    <w:rsid w:val="00B755D8"/>
    <w:rsid w:val="00BD7E5D"/>
    <w:rsid w:val="00C06563"/>
    <w:rsid w:val="00C44EC4"/>
    <w:rsid w:val="00C57A07"/>
    <w:rsid w:val="00CC734E"/>
    <w:rsid w:val="00CE66C4"/>
    <w:rsid w:val="00D0452C"/>
    <w:rsid w:val="00D97089"/>
    <w:rsid w:val="00DC6EFF"/>
    <w:rsid w:val="00DD7004"/>
    <w:rsid w:val="00DF69C3"/>
    <w:rsid w:val="00E370EC"/>
    <w:rsid w:val="00E53FB9"/>
    <w:rsid w:val="00F36015"/>
    <w:rsid w:val="00F40920"/>
    <w:rsid w:val="00F44D46"/>
    <w:rsid w:val="00F4519C"/>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876A534"/>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wmf"/><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FDFF-F133-4E66-A76D-1E113BE6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35</Pages>
  <Words>6036</Words>
  <Characters>34407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11</cp:revision>
  <dcterms:created xsi:type="dcterms:W3CDTF">2017-05-03T17:23:00Z</dcterms:created>
  <dcterms:modified xsi:type="dcterms:W3CDTF">2017-05-05T19:14:00Z</dcterms:modified>
</cp:coreProperties>
</file>