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258AF">
      <w:pPr>
        <w:spacing w:after="200"/>
        <w:jc w:val="both"/>
      </w:pPr>
      <w:r>
        <w:rPr>
          <w:rFonts w:ascii="Times New Roman" w:hAnsi="Times New Roman" w:eastAsia="Times New Roman" w:cs="Times New Roman"/>
          <w:b/>
          <w:bCs/>
          <w:sz w:val="30"/>
          <w:szCs w:val="30"/>
        </w:rPr>
        <w:t>AML Transaction &amp; Fraud Analysis – Business Insight Report</w:t>
      </w:r>
    </w:p>
    <w:p w14:paraId="2788D303">
      <w:pPr>
        <w:keepNext/>
        <w:spacing w:before="80" w:after="40"/>
        <w:jc w:val="both"/>
      </w:pPr>
      <w:r>
        <w:drawing>
          <wp:inline distT="0" distB="0" distL="0" distR="0">
            <wp:extent cx="4953000" cy="3714750"/>
            <wp:effectExtent l="0" t="0" r="0" b="0"/>
            <wp:docPr id="1" name="Figure 1: Key visuals of the AML dashboard, rebuilt from the data in DATA_SET_5.pbix" descr="Figure 1: Key visuals of the AML dashboard, rebuilt from the data in DATA_SET_5.pbix" title="Figure 1: Key visuals of the AML dashboard, rebuilt from the data in DATA_SET_5.pb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Key visuals of the AML dashboard, rebuilt from the data in DATA_SET_5.pbix" descr="Figure 1: Key visuals of the AML dashboard, rebuilt from the data in DATA_SET_5.pbix" title="Figure 1: Key visuals of the AML dashboard, rebuilt from the data in DATA_SET_5.pbix"/>
                    <pic:cNvPicPr>
                      <a:picLocks noChangeAspect="1" noChangeArrowheads="1"/>
                    </pic:cNvPicPr>
                  </pic:nvPicPr>
                  <pic:blipFill>
                    <a:blip r:embed="rId5"/>
                    <a:srcRect/>
                    <a:stretch>
                      <a:fillRect/>
                    </a:stretch>
                  </pic:blipFill>
                  <pic:spPr>
                    <a:xfrm>
                      <a:off x="0" y="0"/>
                      <a:ext cx="4953000" cy="3714750"/>
                    </a:xfrm>
                    <a:prstGeom prst="rect">
                      <a:avLst/>
                    </a:prstGeom>
                  </pic:spPr>
                </pic:pic>
              </a:graphicData>
            </a:graphic>
          </wp:inline>
        </w:drawing>
      </w:r>
    </w:p>
    <w:p w14:paraId="23B4ECC8">
      <w:pPr>
        <w:spacing w:after="160"/>
        <w:jc w:val="both"/>
      </w:pPr>
      <w:r>
        <w:rPr>
          <w:rFonts w:ascii="Times New Roman" w:hAnsi="Times New Roman" w:eastAsia="Times New Roman" w:cs="Times New Roman"/>
          <w:i/>
          <w:iCs/>
          <w:sz w:val="20"/>
          <w:szCs w:val="20"/>
        </w:rPr>
        <w:t>Figure 1: Key visuals of the AML dashboard, rebuilt from the data in DATA_SET_5.pbix</w:t>
      </w:r>
    </w:p>
    <w:p w14:paraId="4478D0F6">
      <w:pPr>
        <w:pStyle w:val="2"/>
        <w:keepNext/>
        <w:spacing w:before="280" w:after="140"/>
        <w:jc w:val="both"/>
      </w:pPr>
      <w:r>
        <w:rPr>
          <w:rFonts w:ascii="Times New Roman" w:hAnsi="Times New Roman" w:eastAsia="Times New Roman" w:cs="Times New Roman"/>
          <w:b/>
          <w:bCs/>
          <w:sz w:val="28"/>
          <w:szCs w:val="28"/>
        </w:rPr>
        <w:t>1. Dashboard Overview</w:t>
      </w:r>
    </w:p>
    <w:p w14:paraId="5ED96F71">
      <w:pPr>
        <w:spacing w:after="140" w:line="300" w:lineRule="auto"/>
        <w:jc w:val="both"/>
      </w:pPr>
      <w:r>
        <w:rPr>
          <w:rFonts w:ascii="Times New Roman" w:hAnsi="Times New Roman" w:eastAsia="Times New Roman" w:cs="Times New Roman"/>
          <w:sz w:val="24"/>
          <w:szCs w:val="24"/>
        </w:rPr>
        <w:t>The Power BI file contains three report pages: KPI CARDS (six KPI cards and four charts), INTERACTIVE DASHBOARD (the same KPIs and charts plus two slicers, ALERT_TYPE and IS_FRAUD) and TOOL TIP (a hover page showing Total Transaction Amount, Total Transactions and Fraudulent Transactions). Together they give an overview of Anti-Money Laundering (AML) transactions, fraud status, transaction activity and alert types, and help users identify suspicious activity.</w:t>
      </w:r>
    </w:p>
    <w:p w14:paraId="198B8EE1">
      <w:pPr>
        <w:spacing w:after="140" w:line="300" w:lineRule="auto"/>
        <w:jc w:val="both"/>
      </w:pPr>
      <w:r>
        <w:rPr>
          <w:rFonts w:ascii="Times New Roman" w:hAnsi="Times New Roman" w:eastAsia="Times New Roman" w:cs="Times New Roman"/>
          <w:b/>
          <w:bCs/>
          <w:i/>
          <w:iCs/>
          <w:sz w:val="24"/>
          <w:szCs w:val="24"/>
        </w:rPr>
        <w:t xml:space="preserve">Note: </w:t>
      </w:r>
      <w:r>
        <w:rPr>
          <w:rFonts w:ascii="Times New Roman" w:hAnsi="Times New Roman" w:eastAsia="Times New Roman" w:cs="Times New Roman"/>
          <w:i/>
          <w:iCs/>
          <w:sz w:val="24"/>
          <w:szCs w:val="24"/>
        </w:rPr>
        <w:t>Every figure in this report was calculated directly from the three data tables inside the .pbix file using the dashboard’s own DAX measures, so the numbers match what the dashboard shows. Where the data suggests a measure may be misleading, this is called out.</w:t>
      </w:r>
    </w:p>
    <w:p w14:paraId="3C915D2F">
      <w:pPr>
        <w:pStyle w:val="2"/>
        <w:keepNext/>
        <w:spacing w:before="280" w:after="140"/>
        <w:jc w:val="both"/>
      </w:pPr>
      <w:r>
        <w:rPr>
          <w:rFonts w:ascii="Times New Roman" w:hAnsi="Times New Roman" w:eastAsia="Times New Roman" w:cs="Times New Roman"/>
          <w:b/>
          <w:bCs/>
          <w:sz w:val="28"/>
          <w:szCs w:val="28"/>
        </w:rPr>
        <w:t>2. Overview of the AML Dataset</w:t>
      </w:r>
    </w:p>
    <w:p w14:paraId="02D9851A">
      <w:pPr>
        <w:spacing w:after="140" w:line="300" w:lineRule="auto"/>
        <w:jc w:val="both"/>
      </w:pPr>
      <w:r>
        <w:rPr>
          <w:rFonts w:ascii="Times New Roman" w:hAnsi="Times New Roman" w:eastAsia="Times New Roman" w:cs="Times New Roman"/>
          <w:sz w:val="24"/>
          <w:szCs w:val="24"/>
        </w:rPr>
        <w:t>The data model contains three related tables used to analyse financial activity, identify potential fraud and monitor suspicious transaction patterns:</w:t>
      </w:r>
    </w:p>
    <w:tbl>
      <w:tblPr>
        <w:tblStyle w:val="9"/>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500"/>
        <w:gridCol w:w="6126"/>
      </w:tblGrid>
      <w:tr w14:paraId="76877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1F56C9A1">
            <w:pPr>
              <w:jc w:val="both"/>
            </w:pPr>
            <w:r>
              <w:rPr>
                <w:rFonts w:ascii="Times New Roman" w:hAnsi="Times New Roman" w:eastAsia="Times New Roman" w:cs="Times New Roman"/>
                <w:b/>
                <w:bCs/>
                <w:sz w:val="21"/>
                <w:szCs w:val="21"/>
              </w:rPr>
              <w:t>Table</w:t>
            </w:r>
          </w:p>
        </w:tc>
        <w:tc>
          <w:tcPr>
            <w:tcW w:w="1500"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113D2BFD">
            <w:pPr>
              <w:jc w:val="both"/>
            </w:pPr>
            <w:r>
              <w:rPr>
                <w:rFonts w:ascii="Times New Roman" w:hAnsi="Times New Roman" w:eastAsia="Times New Roman" w:cs="Times New Roman"/>
                <w:b/>
                <w:bCs/>
                <w:sz w:val="21"/>
                <w:szCs w:val="21"/>
              </w:rPr>
              <w:t>Rows</w:t>
            </w:r>
          </w:p>
        </w:tc>
        <w:tc>
          <w:tcPr>
            <w:tcW w:w="6126"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1F88AFFE">
            <w:pPr>
              <w:jc w:val="both"/>
            </w:pPr>
            <w:r>
              <w:rPr>
                <w:rFonts w:ascii="Times New Roman" w:hAnsi="Times New Roman" w:eastAsia="Times New Roman" w:cs="Times New Roman"/>
                <w:b/>
                <w:bCs/>
                <w:sz w:val="21"/>
                <w:szCs w:val="21"/>
              </w:rPr>
              <w:t>Key fields</w:t>
            </w:r>
          </w:p>
        </w:tc>
      </w:tr>
      <w:tr w14:paraId="2118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7FD5D3B">
            <w:pPr>
              <w:jc w:val="both"/>
            </w:pPr>
            <w:r>
              <w:rPr>
                <w:rFonts w:ascii="Times New Roman" w:hAnsi="Times New Roman" w:eastAsia="Times New Roman" w:cs="Times New Roman"/>
                <w:b w:val="0"/>
                <w:bCs w:val="0"/>
                <w:sz w:val="21"/>
                <w:szCs w:val="21"/>
              </w:rPr>
              <w:t>transactions</w:t>
            </w:r>
          </w:p>
        </w:tc>
        <w:tc>
          <w:tcPr>
            <w:tcW w:w="1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A9A0A84">
            <w:pPr>
              <w:jc w:val="both"/>
            </w:pPr>
            <w:r>
              <w:rPr>
                <w:rFonts w:ascii="Times New Roman" w:hAnsi="Times New Roman" w:eastAsia="Times New Roman" w:cs="Times New Roman"/>
                <w:b w:val="0"/>
                <w:bCs w:val="0"/>
                <w:sz w:val="21"/>
                <w:szCs w:val="21"/>
              </w:rPr>
              <w:t>1,323,234</w:t>
            </w:r>
          </w:p>
        </w:tc>
        <w:tc>
          <w:tcPr>
            <w:tcW w:w="61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38AD895">
            <w:pPr>
              <w:jc w:val="both"/>
            </w:pPr>
            <w:r>
              <w:rPr>
                <w:rFonts w:ascii="Times New Roman" w:hAnsi="Times New Roman" w:eastAsia="Times New Roman" w:cs="Times New Roman"/>
                <w:b w:val="0"/>
                <w:bCs w:val="0"/>
                <w:sz w:val="21"/>
                <w:szCs w:val="21"/>
              </w:rPr>
              <w:t>TX_ID, SENDER_ACCOUNT_ID, RECEIVER_ACCOUNT_ID, TX_TYPE, TX_AMOUNT, TIMESTAMP, IS_FRAUD, ALERT_ID</w:t>
            </w:r>
          </w:p>
        </w:tc>
      </w:tr>
      <w:tr w14:paraId="16534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9D91902">
            <w:pPr>
              <w:jc w:val="both"/>
            </w:pPr>
            <w:r>
              <w:rPr>
                <w:rFonts w:ascii="Times New Roman" w:hAnsi="Times New Roman" w:eastAsia="Times New Roman" w:cs="Times New Roman"/>
                <w:b w:val="0"/>
                <w:bCs w:val="0"/>
                <w:sz w:val="21"/>
                <w:szCs w:val="21"/>
              </w:rPr>
              <w:t>accounts</w:t>
            </w:r>
          </w:p>
        </w:tc>
        <w:tc>
          <w:tcPr>
            <w:tcW w:w="1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CC2AB8C">
            <w:pPr>
              <w:jc w:val="both"/>
            </w:pPr>
            <w:r>
              <w:rPr>
                <w:rFonts w:ascii="Times New Roman" w:hAnsi="Times New Roman" w:eastAsia="Times New Roman" w:cs="Times New Roman"/>
                <w:b w:val="0"/>
                <w:bCs w:val="0"/>
                <w:sz w:val="21"/>
                <w:szCs w:val="21"/>
              </w:rPr>
              <w:t>10,000</w:t>
            </w:r>
          </w:p>
        </w:tc>
        <w:tc>
          <w:tcPr>
            <w:tcW w:w="61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37E46BD">
            <w:pPr>
              <w:jc w:val="both"/>
            </w:pPr>
            <w:r>
              <w:rPr>
                <w:rFonts w:ascii="Times New Roman" w:hAnsi="Times New Roman" w:eastAsia="Times New Roman" w:cs="Times New Roman"/>
                <w:b w:val="0"/>
                <w:bCs w:val="0"/>
                <w:sz w:val="21"/>
                <w:szCs w:val="21"/>
              </w:rPr>
              <w:t>ACCOUNT_ID, CUSTOMER_ID, INIT_BALANCE, COUNTRY, ACCOUNT_TYPE, IS_FRAUD, TX_BEHAVIOR_ID</w:t>
            </w:r>
          </w:p>
        </w:tc>
      </w:tr>
      <w:tr w14:paraId="682D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6BF5B18">
            <w:pPr>
              <w:jc w:val="both"/>
            </w:pPr>
            <w:r>
              <w:rPr>
                <w:rFonts w:ascii="Times New Roman" w:hAnsi="Times New Roman" w:eastAsia="Times New Roman" w:cs="Times New Roman"/>
                <w:b w:val="0"/>
                <w:bCs w:val="0"/>
                <w:sz w:val="21"/>
                <w:szCs w:val="21"/>
              </w:rPr>
              <w:t>alerts</w:t>
            </w:r>
          </w:p>
        </w:tc>
        <w:tc>
          <w:tcPr>
            <w:tcW w:w="15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9A64533">
            <w:pPr>
              <w:jc w:val="both"/>
            </w:pPr>
            <w:r>
              <w:rPr>
                <w:rFonts w:ascii="Times New Roman" w:hAnsi="Times New Roman" w:eastAsia="Times New Roman" w:cs="Times New Roman"/>
                <w:b w:val="0"/>
                <w:bCs w:val="0"/>
                <w:sz w:val="21"/>
                <w:szCs w:val="21"/>
              </w:rPr>
              <w:t>1,719</w:t>
            </w:r>
          </w:p>
        </w:tc>
        <w:tc>
          <w:tcPr>
            <w:tcW w:w="61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996F827">
            <w:pPr>
              <w:jc w:val="both"/>
            </w:pPr>
            <w:r>
              <w:rPr>
                <w:rFonts w:ascii="Times New Roman" w:hAnsi="Times New Roman" w:eastAsia="Times New Roman" w:cs="Times New Roman"/>
                <w:b w:val="0"/>
                <w:bCs w:val="0"/>
                <w:sz w:val="21"/>
                <w:szCs w:val="21"/>
              </w:rPr>
              <w:t>ALERT_ID, ALERT_TYPE, IS_FRAUD, TX_ID, SENDER_ACCOUNT_ID, RECEIVER_ACCOUNT_ID, TX_TYPE, TX_AMOUNT, TIMESTAMP</w:t>
            </w:r>
          </w:p>
        </w:tc>
      </w:tr>
    </w:tbl>
    <w:p w14:paraId="29F5330C">
      <w:pPr>
        <w:spacing w:after="120"/>
        <w:jc w:val="both"/>
      </w:pPr>
    </w:p>
    <w:p w14:paraId="4C2A705C">
      <w:pPr>
        <w:spacing w:after="140" w:line="300" w:lineRule="auto"/>
        <w:jc w:val="both"/>
      </w:pPr>
      <w:r>
        <w:rPr>
          <w:rFonts w:ascii="Times New Roman" w:hAnsi="Times New Roman" w:eastAsia="Times New Roman" w:cs="Times New Roman"/>
          <w:sz w:val="24"/>
          <w:szCs w:val="24"/>
        </w:rPr>
        <w:t>Relationships: alerts to transactions is one-to-one on TX_ID (filtering both ways); transactions to accounts is many-to-one on SENDER_ACCOUNT_ID (active); the link on RECEIVER_ACCOUNT_ID is inactive. The dashboard uses IS_FRAUD, TIMESTAMP, ALERT_ID and ALERT_TYPE together with six DAX measures.</w:t>
      </w:r>
    </w:p>
    <w:p w14:paraId="01E45BCD">
      <w:pPr>
        <w:spacing w:after="140" w:line="300" w:lineRule="auto"/>
        <w:jc w:val="both"/>
      </w:pPr>
      <w:r>
        <w:rPr>
          <w:rFonts w:ascii="Times New Roman" w:hAnsi="Times New Roman" w:eastAsia="Times New Roman" w:cs="Times New Roman"/>
          <w:sz w:val="24"/>
          <w:szCs w:val="24"/>
        </w:rPr>
        <w:t>A few characteristics of the data are worth knowing: all 10,000 accounts are US individual accounts (ACCOUNT_TYPE “I”), every transaction is of type TRANSFER, and TIMESTAMP is a whole-number step from 0 to 199 rather than a calendar date. Accounts fall into five equal behaviour groups of 2,000. These traits suggest the data is simulated, so results illustrate monitoring methods rather than real customer behaviour.</w:t>
      </w:r>
    </w:p>
    <w:p w14:paraId="117E9594">
      <w:pPr>
        <w:spacing w:after="140" w:line="300" w:lineRule="auto"/>
        <w:jc w:val="both"/>
      </w:pPr>
      <w:r>
        <w:rPr>
          <w:rFonts w:ascii="Times New Roman" w:hAnsi="Times New Roman" w:eastAsia="Times New Roman" w:cs="Times New Roman"/>
          <w:sz w:val="24"/>
          <w:szCs w:val="24"/>
        </w:rPr>
        <w:t>The main purpose of the dashboard is to monitor transaction volumes, compare fraudulent and non-fraudulent transactions, analyse alert categories, and support financial institutions in identifying activities that may require further investigation.</w:t>
      </w:r>
    </w:p>
    <w:p w14:paraId="161A7E58">
      <w:pPr>
        <w:pStyle w:val="2"/>
        <w:keepNext/>
        <w:spacing w:before="280" w:after="140"/>
        <w:jc w:val="both"/>
      </w:pPr>
      <w:r>
        <w:rPr>
          <w:rFonts w:ascii="Times New Roman" w:hAnsi="Times New Roman" w:eastAsia="Times New Roman" w:cs="Times New Roman"/>
          <w:b/>
          <w:bCs/>
          <w:sz w:val="28"/>
          <w:szCs w:val="28"/>
        </w:rPr>
        <w:t>3. KPI Interpretation</w:t>
      </w:r>
    </w:p>
    <w:p w14:paraId="238DA428">
      <w:pPr>
        <w:spacing w:after="140" w:line="300" w:lineRule="auto"/>
        <w:jc w:val="both"/>
      </w:pPr>
      <w:r>
        <w:rPr>
          <w:rFonts w:ascii="Times New Roman" w:hAnsi="Times New Roman" w:eastAsia="Times New Roman" w:cs="Times New Roman"/>
          <w:sz w:val="24"/>
          <w:szCs w:val="24"/>
        </w:rPr>
        <w:t>The dashboard displays six key performance indicators (KPIs).</w:t>
      </w:r>
    </w:p>
    <w:tbl>
      <w:tblPr>
        <w:tblStyle w:val="9"/>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800"/>
        <w:gridCol w:w="5226"/>
      </w:tblGrid>
      <w:tr w14:paraId="14B8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14F12B22">
            <w:pPr>
              <w:jc w:val="both"/>
            </w:pPr>
            <w:r>
              <w:rPr>
                <w:rFonts w:ascii="Times New Roman" w:hAnsi="Times New Roman" w:eastAsia="Times New Roman" w:cs="Times New Roman"/>
                <w:b/>
                <w:bCs/>
                <w:sz w:val="21"/>
                <w:szCs w:val="21"/>
              </w:rPr>
              <w:t>KPI</w:t>
            </w:r>
          </w:p>
        </w:tc>
        <w:tc>
          <w:tcPr>
            <w:tcW w:w="1800"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2BC89252">
            <w:pPr>
              <w:jc w:val="both"/>
            </w:pPr>
            <w:r>
              <w:rPr>
                <w:rFonts w:ascii="Times New Roman" w:hAnsi="Times New Roman" w:eastAsia="Times New Roman" w:cs="Times New Roman"/>
                <w:b/>
                <w:bCs/>
                <w:sz w:val="21"/>
                <w:szCs w:val="21"/>
              </w:rPr>
              <w:t>Dashboard Value</w:t>
            </w:r>
          </w:p>
        </w:tc>
        <w:tc>
          <w:tcPr>
            <w:tcW w:w="5226"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5686D984">
            <w:pPr>
              <w:jc w:val="both"/>
            </w:pPr>
            <w:r>
              <w:rPr>
                <w:rFonts w:ascii="Times New Roman" w:hAnsi="Times New Roman" w:eastAsia="Times New Roman" w:cs="Times New Roman"/>
                <w:b/>
                <w:bCs/>
                <w:sz w:val="21"/>
                <w:szCs w:val="21"/>
              </w:rPr>
              <w:t>Interpretation</w:t>
            </w:r>
          </w:p>
        </w:tc>
      </w:tr>
      <w:tr w14:paraId="2A5F3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0ECB4B5">
            <w:pPr>
              <w:jc w:val="both"/>
            </w:pPr>
            <w:r>
              <w:rPr>
                <w:rFonts w:ascii="Times New Roman" w:hAnsi="Times New Roman" w:eastAsia="Times New Roman" w:cs="Times New Roman"/>
                <w:b w:val="0"/>
                <w:bCs w:val="0"/>
                <w:sz w:val="21"/>
                <w:szCs w:val="21"/>
              </w:rPr>
              <w:t>Fraudulent Transactions</w:t>
            </w:r>
          </w:p>
        </w:tc>
        <w:tc>
          <w:tcPr>
            <w:tcW w:w="1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E43D9BC">
            <w:pPr>
              <w:jc w:val="both"/>
            </w:pPr>
            <w:r>
              <w:rPr>
                <w:rFonts w:ascii="Times New Roman" w:hAnsi="Times New Roman" w:eastAsia="Times New Roman" w:cs="Times New Roman"/>
                <w:b w:val="0"/>
                <w:bCs w:val="0"/>
                <w:sz w:val="21"/>
                <w:szCs w:val="21"/>
              </w:rPr>
              <w:t>1,719</w:t>
            </w:r>
          </w:p>
        </w:tc>
        <w:tc>
          <w:tcPr>
            <w:tcW w:w="52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76B0E1F">
            <w:pPr>
              <w:jc w:val="both"/>
            </w:pPr>
            <w:r>
              <w:rPr>
                <w:rFonts w:ascii="Times New Roman" w:hAnsi="Times New Roman" w:eastAsia="Times New Roman" w:cs="Times New Roman"/>
                <w:b w:val="0"/>
                <w:bCs w:val="0"/>
                <w:sz w:val="21"/>
                <w:szCs w:val="21"/>
              </w:rPr>
              <w:t>Transactions flagged IS_FRAUD = TRUE, which is 0.13% of all transactions.</w:t>
            </w:r>
          </w:p>
        </w:tc>
      </w:tr>
      <w:tr w14:paraId="77B08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360027B">
            <w:pPr>
              <w:jc w:val="both"/>
            </w:pPr>
            <w:r>
              <w:rPr>
                <w:rFonts w:ascii="Times New Roman" w:hAnsi="Times New Roman" w:eastAsia="Times New Roman" w:cs="Times New Roman"/>
                <w:b w:val="0"/>
                <w:bCs w:val="0"/>
                <w:sz w:val="21"/>
                <w:szCs w:val="21"/>
              </w:rPr>
              <w:t>Total Transaction Amount</w:t>
            </w:r>
          </w:p>
        </w:tc>
        <w:tc>
          <w:tcPr>
            <w:tcW w:w="1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82ED790">
            <w:pPr>
              <w:jc w:val="both"/>
            </w:pPr>
            <w:r>
              <w:rPr>
                <w:rFonts w:ascii="Times New Roman" w:hAnsi="Times New Roman" w:eastAsia="Times New Roman" w:cs="Times New Roman"/>
                <w:b w:val="0"/>
                <w:bCs w:val="0"/>
                <w:sz w:val="21"/>
                <w:szCs w:val="21"/>
              </w:rPr>
              <w:t>153.48 billion</w:t>
            </w:r>
          </w:p>
        </w:tc>
        <w:tc>
          <w:tcPr>
            <w:tcW w:w="52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D479F93">
            <w:pPr>
              <w:jc w:val="both"/>
            </w:pPr>
            <w:r>
              <w:rPr>
                <w:rFonts w:ascii="Times New Roman" w:hAnsi="Times New Roman" w:eastAsia="Times New Roman" w:cs="Times New Roman"/>
                <w:b w:val="0"/>
                <w:bCs w:val="0"/>
                <w:sz w:val="21"/>
                <w:szCs w:val="21"/>
              </w:rPr>
              <w:t>Sum of TX_AMOUNT (153,479,506,205). Heavily inflated by a small number of extreme values (see below).</w:t>
            </w:r>
          </w:p>
        </w:tc>
      </w:tr>
      <w:tr w14:paraId="6DE3E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E133DCF">
            <w:pPr>
              <w:jc w:val="both"/>
            </w:pPr>
            <w:r>
              <w:rPr>
                <w:rFonts w:ascii="Times New Roman" w:hAnsi="Times New Roman" w:eastAsia="Times New Roman" w:cs="Times New Roman"/>
                <w:b w:val="0"/>
                <w:bCs w:val="0"/>
                <w:sz w:val="21"/>
                <w:szCs w:val="21"/>
              </w:rPr>
              <w:t>Total Transactions</w:t>
            </w:r>
          </w:p>
        </w:tc>
        <w:tc>
          <w:tcPr>
            <w:tcW w:w="1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1C63EB1">
            <w:pPr>
              <w:jc w:val="both"/>
            </w:pPr>
            <w:r>
              <w:rPr>
                <w:rFonts w:ascii="Times New Roman" w:hAnsi="Times New Roman" w:eastAsia="Times New Roman" w:cs="Times New Roman"/>
                <w:b w:val="0"/>
                <w:bCs w:val="0"/>
                <w:sz w:val="21"/>
                <w:szCs w:val="21"/>
              </w:rPr>
              <w:t>1.32 million</w:t>
            </w:r>
          </w:p>
        </w:tc>
        <w:tc>
          <w:tcPr>
            <w:tcW w:w="52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CC402B4">
            <w:pPr>
              <w:jc w:val="both"/>
            </w:pPr>
            <w:r>
              <w:rPr>
                <w:rFonts w:ascii="Times New Roman" w:hAnsi="Times New Roman" w:eastAsia="Times New Roman" w:cs="Times New Roman"/>
                <w:b w:val="0"/>
                <w:bCs w:val="0"/>
                <w:sz w:val="21"/>
                <w:szCs w:val="21"/>
              </w:rPr>
              <w:t>Exact count is 1,323,234 transactions.</w:t>
            </w:r>
          </w:p>
        </w:tc>
      </w:tr>
      <w:tr w14:paraId="1A898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EB8D77C">
            <w:pPr>
              <w:jc w:val="both"/>
            </w:pPr>
            <w:r>
              <w:rPr>
                <w:rFonts w:ascii="Times New Roman" w:hAnsi="Times New Roman" w:eastAsia="Times New Roman" w:cs="Times New Roman"/>
                <w:b w:val="0"/>
                <w:bCs w:val="0"/>
                <w:sz w:val="21"/>
                <w:szCs w:val="21"/>
              </w:rPr>
              <w:t>Total Accounts</w:t>
            </w:r>
          </w:p>
        </w:tc>
        <w:tc>
          <w:tcPr>
            <w:tcW w:w="1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83D6FFF">
            <w:pPr>
              <w:jc w:val="both"/>
            </w:pPr>
            <w:r>
              <w:rPr>
                <w:rFonts w:ascii="Times New Roman" w:hAnsi="Times New Roman" w:eastAsia="Times New Roman" w:cs="Times New Roman"/>
                <w:b w:val="0"/>
                <w:bCs w:val="0"/>
                <w:sz w:val="21"/>
                <w:szCs w:val="21"/>
              </w:rPr>
              <w:t>10,000</w:t>
            </w:r>
          </w:p>
        </w:tc>
        <w:tc>
          <w:tcPr>
            <w:tcW w:w="52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5DFE962">
            <w:pPr>
              <w:jc w:val="both"/>
            </w:pPr>
            <w:r>
              <w:rPr>
                <w:rFonts w:ascii="Times New Roman" w:hAnsi="Times New Roman" w:eastAsia="Times New Roman" w:cs="Times New Roman"/>
                <w:b w:val="0"/>
                <w:bCs w:val="0"/>
                <w:sz w:val="21"/>
                <w:szCs w:val="21"/>
              </w:rPr>
              <w:t>Distinct accounts in the accounts table.</w:t>
            </w:r>
          </w:p>
        </w:tc>
      </w:tr>
      <w:tr w14:paraId="4578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380F2F5">
            <w:pPr>
              <w:jc w:val="both"/>
            </w:pPr>
            <w:r>
              <w:rPr>
                <w:rFonts w:ascii="Times New Roman" w:hAnsi="Times New Roman" w:eastAsia="Times New Roman" w:cs="Times New Roman"/>
                <w:b w:val="0"/>
                <w:bCs w:val="0"/>
                <w:sz w:val="21"/>
                <w:szCs w:val="21"/>
              </w:rPr>
              <w:t>Average Transaction Amount</w:t>
            </w:r>
          </w:p>
        </w:tc>
        <w:tc>
          <w:tcPr>
            <w:tcW w:w="1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72A47DE">
            <w:pPr>
              <w:jc w:val="both"/>
            </w:pPr>
            <w:r>
              <w:rPr>
                <w:rFonts w:ascii="Times New Roman" w:hAnsi="Times New Roman" w:eastAsia="Times New Roman" w:cs="Times New Roman"/>
                <w:b w:val="0"/>
                <w:bCs w:val="0"/>
                <w:sz w:val="21"/>
                <w:szCs w:val="21"/>
              </w:rPr>
              <w:t>115.99K</w:t>
            </w:r>
          </w:p>
        </w:tc>
        <w:tc>
          <w:tcPr>
            <w:tcW w:w="52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FAF540B">
            <w:pPr>
              <w:jc w:val="both"/>
            </w:pPr>
            <w:r>
              <w:rPr>
                <w:rFonts w:ascii="Times New Roman" w:hAnsi="Times New Roman" w:eastAsia="Times New Roman" w:cs="Times New Roman"/>
                <w:b w:val="0"/>
                <w:bCs w:val="0"/>
                <w:sz w:val="21"/>
                <w:szCs w:val="21"/>
              </w:rPr>
              <w:t>Mean TX_AMOUNT (115,988). The median transaction is only 156.71, so the mean is not representative.</w:t>
            </w:r>
          </w:p>
        </w:tc>
      </w:tr>
      <w:tr w14:paraId="1B09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18F6C9A">
            <w:pPr>
              <w:jc w:val="both"/>
            </w:pPr>
            <w:r>
              <w:rPr>
                <w:rFonts w:ascii="Times New Roman" w:hAnsi="Times New Roman" w:eastAsia="Times New Roman" w:cs="Times New Roman"/>
                <w:b w:val="0"/>
                <w:bCs w:val="0"/>
                <w:sz w:val="21"/>
                <w:szCs w:val="21"/>
              </w:rPr>
              <w:t>Total Initial Balance</w:t>
            </w:r>
          </w:p>
        </w:tc>
        <w:tc>
          <w:tcPr>
            <w:tcW w:w="18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770A5A6">
            <w:pPr>
              <w:jc w:val="both"/>
            </w:pPr>
            <w:r>
              <w:rPr>
                <w:rFonts w:ascii="Times New Roman" w:hAnsi="Times New Roman" w:eastAsia="Times New Roman" w:cs="Times New Roman"/>
                <w:b w:val="0"/>
                <w:bCs w:val="0"/>
                <w:sz w:val="21"/>
                <w:szCs w:val="21"/>
              </w:rPr>
              <w:t>2.80 million</w:t>
            </w:r>
          </w:p>
        </w:tc>
        <w:tc>
          <w:tcPr>
            <w:tcW w:w="52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6C50E9B">
            <w:pPr>
              <w:jc w:val="both"/>
            </w:pPr>
            <w:r>
              <w:rPr>
                <w:rFonts w:ascii="Times New Roman" w:hAnsi="Times New Roman" w:eastAsia="Times New Roman" w:cs="Times New Roman"/>
                <w:b w:val="0"/>
                <w:bCs w:val="0"/>
                <w:sz w:val="21"/>
                <w:szCs w:val="21"/>
              </w:rPr>
              <w:t>Sum of opening balances (2,801,186); about 280 per account on average, ranging from 100 to 600.</w:t>
            </w:r>
          </w:p>
        </w:tc>
      </w:tr>
    </w:tbl>
    <w:p w14:paraId="2E8F39A1">
      <w:pPr>
        <w:spacing w:after="120"/>
        <w:jc w:val="both"/>
      </w:pPr>
    </w:p>
    <w:p w14:paraId="2DD987CA">
      <w:pPr>
        <w:spacing w:after="140" w:line="300" w:lineRule="auto"/>
        <w:jc w:val="both"/>
      </w:pPr>
      <w:r>
        <w:rPr>
          <w:rFonts w:ascii="Times New Roman" w:hAnsi="Times New Roman" w:eastAsia="Times New Roman" w:cs="Times New Roman"/>
          <w:sz w:val="24"/>
          <w:szCs w:val="24"/>
        </w:rPr>
        <w:t>These KPIs give a quick overview of transaction activity and potential fraud. The number of fraudulent transactions shows the scale of detected fraud, while total and average transaction amount describe the financial activity in the dataset.</w:t>
      </w:r>
    </w:p>
    <w:p w14:paraId="0EBD4649">
      <w:pPr>
        <w:pStyle w:val="3"/>
        <w:keepNext/>
        <w:spacing w:before="160" w:after="80"/>
        <w:jc w:val="both"/>
      </w:pPr>
      <w:r>
        <w:rPr>
          <w:rFonts w:ascii="Times New Roman" w:hAnsi="Times New Roman" w:eastAsia="Times New Roman" w:cs="Times New Roman"/>
          <w:b/>
          <w:bCs/>
          <w:sz w:val="24"/>
          <w:szCs w:val="24"/>
        </w:rPr>
        <w:t>Why the amount KPIs need caution</w:t>
      </w:r>
    </w:p>
    <w:p w14:paraId="3C5AB1F2">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Extreme values dominate. </w:t>
      </w:r>
      <w:r>
        <w:rPr>
          <w:rFonts w:ascii="Times New Roman" w:hAnsi="Times New Roman" w:eastAsia="Times New Roman" w:cs="Times New Roman"/>
          <w:sz w:val="24"/>
          <w:szCs w:val="24"/>
        </w:rPr>
        <w:t>Only 15,911 transactions (1.2%) are above 1 million, yet they make up 97.0% of the total transaction amount. Typical transactions are small: 68% fall between 100 and 1,000, and the median is 156.71.</w:t>
      </w:r>
    </w:p>
    <w:p w14:paraId="6D7C07D2">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A ceiling value appears. </w:t>
      </w:r>
      <w:r>
        <w:rPr>
          <w:rFonts w:ascii="Times New Roman" w:hAnsi="Times New Roman" w:eastAsia="Times New Roman" w:cs="Times New Roman"/>
          <w:sz w:val="24"/>
          <w:szCs w:val="24"/>
        </w:rPr>
        <w:t>3,053 transactions have exactly the same amount, 21,474,836.47. This equals 2,147,483,647 cents, the maximum value of a 32-bit integer, so it is probably a system cap or overflow rather than a genuine amount. These transactions alone account for 42.7% of the total (65.56 billion). Excluding them, the total falls to 87.92 billion and the average to about 66.6K.</w:t>
      </w:r>
    </w:p>
    <w:p w14:paraId="5DB9249B">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Scale mismatch. </w:t>
      </w:r>
      <w:r>
        <w:rPr>
          <w:rFonts w:ascii="Times New Roman" w:hAnsi="Times New Roman" w:eastAsia="Times New Roman" w:cs="Times New Roman"/>
          <w:sz w:val="24"/>
          <w:szCs w:val="24"/>
        </w:rPr>
        <w:t>Total transaction amount is roughly 55,000 times the total initial balance of all accounts. Money of this size cannot be moved by accounts holding 2.8 million in total, which further indicates the large amounts are a data or simulation artefact.</w:t>
      </w:r>
    </w:p>
    <w:p w14:paraId="6B2DEE22">
      <w:pPr>
        <w:spacing w:after="140" w:line="300" w:lineRule="auto"/>
        <w:jc w:val="both"/>
      </w:pPr>
      <w:r>
        <w:rPr>
          <w:rFonts w:ascii="Times New Roman" w:hAnsi="Times New Roman" w:eastAsia="Times New Roman" w:cs="Times New Roman"/>
          <w:b/>
          <w:bCs/>
          <w:i/>
          <w:iCs/>
          <w:sz w:val="24"/>
          <w:szCs w:val="24"/>
        </w:rPr>
        <w:t xml:space="preserve">Note: </w:t>
      </w:r>
      <w:r>
        <w:rPr>
          <w:rFonts w:ascii="Times New Roman" w:hAnsi="Times New Roman" w:eastAsia="Times New Roman" w:cs="Times New Roman"/>
          <w:i/>
          <w:iCs/>
          <w:sz w:val="24"/>
          <w:szCs w:val="24"/>
        </w:rPr>
        <w:t>Before using these KPIs for formal reporting, confirm how the large amounts were generated, and consider adding a Median Transaction Amount measure beside the average.</w:t>
      </w:r>
    </w:p>
    <w:p w14:paraId="2E33F2F6">
      <w:pPr>
        <w:pStyle w:val="2"/>
        <w:keepNext/>
        <w:spacing w:before="280" w:after="140"/>
        <w:jc w:val="both"/>
      </w:pPr>
      <w:r>
        <w:rPr>
          <w:rFonts w:ascii="Times New Roman" w:hAnsi="Times New Roman" w:eastAsia="Times New Roman" w:cs="Times New Roman"/>
          <w:b/>
          <w:bCs/>
          <w:sz w:val="28"/>
          <w:szCs w:val="28"/>
        </w:rPr>
        <w:t>4. Fraud Status Analysis</w:t>
      </w:r>
    </w:p>
    <w:p w14:paraId="1BCFB700">
      <w:pPr>
        <w:spacing w:after="140" w:line="300" w:lineRule="auto"/>
        <w:jc w:val="both"/>
      </w:pPr>
      <w:r>
        <w:rPr>
          <w:rFonts w:ascii="Times New Roman" w:hAnsi="Times New Roman" w:eastAsia="Times New Roman" w:cs="Times New Roman"/>
          <w:sz w:val="24"/>
          <w:szCs w:val="24"/>
        </w:rPr>
        <w:t>The donut chart compares transactions according to the IS_FRAUD field.</w:t>
      </w:r>
    </w:p>
    <w:p w14:paraId="39D8DF9D">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False: </w:t>
      </w:r>
      <w:r>
        <w:rPr>
          <w:rFonts w:ascii="Times New Roman" w:hAnsi="Times New Roman" w:eastAsia="Times New Roman" w:cs="Times New Roman"/>
          <w:sz w:val="24"/>
          <w:szCs w:val="24"/>
        </w:rPr>
        <w:t>1,321,515 transactions (99.87%) are classified as non-fraudulent.</w:t>
      </w:r>
    </w:p>
    <w:p w14:paraId="5D641B56">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True: </w:t>
      </w:r>
      <w:r>
        <w:rPr>
          <w:rFonts w:ascii="Times New Roman" w:hAnsi="Times New Roman" w:eastAsia="Times New Roman" w:cs="Times New Roman"/>
          <w:sz w:val="24"/>
          <w:szCs w:val="24"/>
        </w:rPr>
        <w:t>1,719 transactions (0.13%) are classified as fraudulent.</w:t>
      </w:r>
    </w:p>
    <w:p w14:paraId="1F47700A">
      <w:pPr>
        <w:spacing w:after="140" w:line="300" w:lineRule="auto"/>
        <w:jc w:val="both"/>
      </w:pPr>
      <w:r>
        <w:rPr>
          <w:rFonts w:ascii="Times New Roman" w:hAnsi="Times New Roman" w:eastAsia="Times New Roman" w:cs="Times New Roman"/>
          <w:sz w:val="24"/>
          <w:szCs w:val="24"/>
        </w:rPr>
        <w:t>The column chart of total transaction amount by fraud status shows the non-fraudulent category holding virtually the entire value, 153.48 billion. The fraudulent category totals only 16,783 (about 0.00001% of the total), which is why it appears as zero on the chart.</w:t>
      </w:r>
    </w:p>
    <w:p w14:paraId="5FCA6A21">
      <w:pPr>
        <w:keepNext/>
        <w:spacing w:before="80" w:after="40"/>
        <w:jc w:val="both"/>
      </w:pPr>
      <w:r>
        <w:drawing>
          <wp:inline distT="0" distB="0" distL="0" distR="0">
            <wp:extent cx="3143250" cy="2390775"/>
            <wp:effectExtent l="0" t="0" r="0" b="0"/>
            <wp:docPr id="2" name="Figure 2: Total transaction amount by IS_FRAUD" descr="Figure 2: Total transaction amount by IS_FRAUD" title="Figure 2: Total transaction amount by IS_FR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Total transaction amount by IS_FRAUD" descr="Figure 2: Total transaction amount by IS_FRAUD" title="Figure 2: Total transaction amount by IS_FRAUD"/>
                    <pic:cNvPicPr>
                      <a:picLocks noChangeAspect="1" noChangeArrowheads="1"/>
                    </pic:cNvPicPr>
                  </pic:nvPicPr>
                  <pic:blipFill>
                    <a:blip r:embed="rId6"/>
                    <a:srcRect/>
                    <a:stretch>
                      <a:fillRect/>
                    </a:stretch>
                  </pic:blipFill>
                  <pic:spPr>
                    <a:xfrm>
                      <a:off x="0" y="0"/>
                      <a:ext cx="3143250" cy="2390775"/>
                    </a:xfrm>
                    <a:prstGeom prst="rect">
                      <a:avLst/>
                    </a:prstGeom>
                  </pic:spPr>
                </pic:pic>
              </a:graphicData>
            </a:graphic>
          </wp:inline>
        </w:drawing>
      </w:r>
    </w:p>
    <w:p w14:paraId="3F8A5397">
      <w:pPr>
        <w:spacing w:after="160"/>
        <w:jc w:val="both"/>
      </w:pPr>
      <w:r>
        <w:rPr>
          <w:rFonts w:ascii="Times New Roman" w:hAnsi="Times New Roman" w:eastAsia="Times New Roman" w:cs="Times New Roman"/>
          <w:i/>
          <w:iCs/>
          <w:sz w:val="20"/>
          <w:szCs w:val="20"/>
        </w:rPr>
        <w:t>Figure 2: Total transaction amount by IS_FRAUD</w:t>
      </w:r>
    </w:p>
    <w:p w14:paraId="6FABCAC9">
      <w:pPr>
        <w:spacing w:after="140" w:line="300" w:lineRule="auto"/>
        <w:jc w:val="both"/>
      </w:pPr>
      <w:r>
        <w:rPr>
          <w:rFonts w:ascii="Times New Roman" w:hAnsi="Times New Roman" w:eastAsia="Times New Roman" w:cs="Times New Roman"/>
          <w:sz w:val="24"/>
          <w:szCs w:val="24"/>
        </w:rPr>
        <w:t>Fraudulent transactions are also very small individually: they range from 2.54 to 19.92, with an average of 9.76 (the median is 10.60). No transaction above 20 is flagged as fraud, which means detection in this dataset is tied to small-value transfers, whereas the very large transfers are all classified as non-fraudulent.</w:t>
      </w:r>
    </w:p>
    <w:p w14:paraId="581C5D44">
      <w:pPr>
        <w:spacing w:after="140" w:line="300" w:lineRule="auto"/>
        <w:jc w:val="both"/>
      </w:pPr>
      <w:r>
        <w:rPr>
          <w:rFonts w:ascii="Times New Roman" w:hAnsi="Times New Roman" w:eastAsia="Times New Roman" w:cs="Times New Roman"/>
          <w:sz w:val="24"/>
          <w:szCs w:val="24"/>
        </w:rPr>
        <w:t>At account level, 1,685 of the 10,000 accounts (16.85%) are flagged as fraudulent. Every fraudulent transaction was sent from one of these accounts. Flagged accounts are spread across all five behaviour groups, from 14.6% in group 1 to 19.9% in group 5.</w:t>
      </w:r>
    </w:p>
    <w:p w14:paraId="33F89FDA">
      <w:pPr>
        <w:spacing w:after="140" w:line="300" w:lineRule="auto"/>
        <w:jc w:val="both"/>
      </w:pPr>
      <w:r>
        <w:rPr>
          <w:rFonts w:ascii="Times New Roman" w:hAnsi="Times New Roman" w:eastAsia="Times New Roman" w:cs="Times New Roman"/>
          <w:b/>
          <w:bCs/>
          <w:sz w:val="24"/>
          <w:szCs w:val="24"/>
        </w:rPr>
        <w:t xml:space="preserve">Insight: </w:t>
      </w:r>
      <w:r>
        <w:rPr>
          <w:rFonts w:ascii="Times New Roman" w:hAnsi="Times New Roman" w:eastAsia="Times New Roman" w:cs="Times New Roman"/>
          <w:sz w:val="24"/>
          <w:szCs w:val="24"/>
        </w:rPr>
        <w:t>A low fraud percentage does not mean the risk is insignificant, and a low fraud value does not mean the activity is harmless. Small, structured transfers are a classic AML pattern, while the large non-fraud transactions are the larger unexplained exposure and deserve review.</w:t>
      </w:r>
    </w:p>
    <w:p w14:paraId="3639F5B8">
      <w:pPr>
        <w:pStyle w:val="2"/>
        <w:keepNext/>
        <w:spacing w:before="280" w:after="140"/>
        <w:jc w:val="both"/>
      </w:pPr>
      <w:r>
        <w:rPr>
          <w:rFonts w:ascii="Times New Roman" w:hAnsi="Times New Roman" w:eastAsia="Times New Roman" w:cs="Times New Roman"/>
          <w:b/>
          <w:bCs/>
          <w:sz w:val="28"/>
          <w:szCs w:val="28"/>
        </w:rPr>
        <w:t>5. Transaction Activity Analysis</w:t>
      </w:r>
    </w:p>
    <w:p w14:paraId="3D8D14BD">
      <w:pPr>
        <w:spacing w:after="140" w:line="300" w:lineRule="auto"/>
        <w:jc w:val="both"/>
      </w:pPr>
      <w:r>
        <w:rPr>
          <w:rFonts w:ascii="Times New Roman" w:hAnsi="Times New Roman" w:eastAsia="Times New Roman" w:cs="Times New Roman"/>
          <w:sz w:val="24"/>
          <w:szCs w:val="24"/>
        </w:rPr>
        <w:t>The line chart displays transaction volume by timestamp step (0 to 199). After an initial rise over the first five steps (from 4,920 to about 6,350), volumes fluctuate in a narrow band of roughly 6,100 to 7,200. The average is 6,616 transactions per step, and the busiest step is 191 with 7,161.</w:t>
      </w:r>
    </w:p>
    <w:p w14:paraId="31E9D904">
      <w:pPr>
        <w:keepNext/>
        <w:spacing w:before="80" w:after="40"/>
        <w:jc w:val="both"/>
      </w:pPr>
      <w:r>
        <w:drawing>
          <wp:inline distT="0" distB="0" distL="0" distR="0">
            <wp:extent cx="4286250" cy="2076450"/>
            <wp:effectExtent l="0" t="0" r="0" b="0"/>
            <wp:docPr id="3" name="Figure 3: Total transactions by timestamp step" descr="Figure 3: Total transactions by timestamp step" title="Figure 3: Total transactions by timestamp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Total transactions by timestamp step" descr="Figure 3: Total transactions by timestamp step" title="Figure 3: Total transactions by timestamp step"/>
                    <pic:cNvPicPr>
                      <a:picLocks noChangeAspect="1" noChangeArrowheads="1"/>
                    </pic:cNvPicPr>
                  </pic:nvPicPr>
                  <pic:blipFill>
                    <a:blip r:embed="rId7"/>
                    <a:srcRect/>
                    <a:stretch>
                      <a:fillRect/>
                    </a:stretch>
                  </pic:blipFill>
                  <pic:spPr>
                    <a:xfrm>
                      <a:off x="0" y="0"/>
                      <a:ext cx="4286250" cy="2076450"/>
                    </a:xfrm>
                    <a:prstGeom prst="rect">
                      <a:avLst/>
                    </a:prstGeom>
                  </pic:spPr>
                </pic:pic>
              </a:graphicData>
            </a:graphic>
          </wp:inline>
        </w:drawing>
      </w:r>
    </w:p>
    <w:p w14:paraId="4B6FF2D5">
      <w:pPr>
        <w:spacing w:after="160"/>
        <w:jc w:val="both"/>
      </w:pPr>
      <w:r>
        <w:rPr>
          <w:rFonts w:ascii="Times New Roman" w:hAnsi="Times New Roman" w:eastAsia="Times New Roman" w:cs="Times New Roman"/>
          <w:i/>
          <w:iCs/>
          <w:sz w:val="20"/>
          <w:szCs w:val="20"/>
        </w:rPr>
        <w:t>Figure 3: Total transactions by timestamp step</w:t>
      </w:r>
    </w:p>
    <w:p w14:paraId="06D1F0B0">
      <w:pPr>
        <w:spacing w:after="140" w:line="300" w:lineRule="auto"/>
        <w:jc w:val="both"/>
      </w:pPr>
      <w:r>
        <w:rPr>
          <w:rFonts w:ascii="Times New Roman" w:hAnsi="Times New Roman" w:eastAsia="Times New Roman" w:cs="Times New Roman"/>
          <w:sz w:val="24"/>
          <w:szCs w:val="24"/>
        </w:rPr>
        <w:t>Volume is therefore very stable, but value is not. Total transaction amount rises sharply across the period, while the median transaction stays flat at about 156 in every step:</w:t>
      </w:r>
    </w:p>
    <w:tbl>
      <w:tblPr>
        <w:tblStyle w:val="9"/>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2100"/>
        <w:gridCol w:w="2100"/>
        <w:gridCol w:w="2426"/>
      </w:tblGrid>
      <w:tr w14:paraId="5577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0"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70D813D6">
            <w:pPr>
              <w:jc w:val="both"/>
            </w:pPr>
            <w:r>
              <w:rPr>
                <w:rFonts w:ascii="Times New Roman" w:hAnsi="Times New Roman" w:eastAsia="Times New Roman" w:cs="Times New Roman"/>
                <w:b/>
                <w:bCs/>
                <w:sz w:val="21"/>
                <w:szCs w:val="21"/>
              </w:rPr>
              <w:t>Timestamp steps</w:t>
            </w:r>
          </w:p>
        </w:tc>
        <w:tc>
          <w:tcPr>
            <w:tcW w:w="2100"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55D53065">
            <w:pPr>
              <w:jc w:val="both"/>
            </w:pPr>
            <w:r>
              <w:rPr>
                <w:rFonts w:ascii="Times New Roman" w:hAnsi="Times New Roman" w:eastAsia="Times New Roman" w:cs="Times New Roman"/>
                <w:b/>
                <w:bCs/>
                <w:sz w:val="21"/>
                <w:szCs w:val="21"/>
              </w:rPr>
              <w:t>Transactions</w:t>
            </w:r>
          </w:p>
        </w:tc>
        <w:tc>
          <w:tcPr>
            <w:tcW w:w="2100"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507482DC">
            <w:pPr>
              <w:jc w:val="both"/>
            </w:pPr>
            <w:r>
              <w:rPr>
                <w:rFonts w:ascii="Times New Roman" w:hAnsi="Times New Roman" w:eastAsia="Times New Roman" w:cs="Times New Roman"/>
                <w:b/>
                <w:bCs/>
                <w:sz w:val="21"/>
                <w:szCs w:val="21"/>
              </w:rPr>
              <w:t>Total amount</w:t>
            </w:r>
          </w:p>
        </w:tc>
        <w:tc>
          <w:tcPr>
            <w:tcW w:w="2426"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38ABA393">
            <w:pPr>
              <w:jc w:val="both"/>
            </w:pPr>
            <w:r>
              <w:rPr>
                <w:rFonts w:ascii="Times New Roman" w:hAnsi="Times New Roman" w:eastAsia="Times New Roman" w:cs="Times New Roman"/>
                <w:b/>
                <w:bCs/>
                <w:sz w:val="21"/>
                <w:szCs w:val="21"/>
              </w:rPr>
              <w:t>Average per transaction</w:t>
            </w:r>
          </w:p>
        </w:tc>
      </w:tr>
      <w:tr w14:paraId="3E0E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11F2E1E">
            <w:pPr>
              <w:jc w:val="both"/>
            </w:pPr>
            <w:r>
              <w:rPr>
                <w:rFonts w:ascii="Times New Roman" w:hAnsi="Times New Roman" w:eastAsia="Times New Roman" w:cs="Times New Roman"/>
                <w:b w:val="0"/>
                <w:bCs w:val="0"/>
                <w:sz w:val="21"/>
                <w:szCs w:val="21"/>
              </w:rPr>
              <w:t>0 – 49</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73E0279">
            <w:pPr>
              <w:jc w:val="both"/>
            </w:pPr>
            <w:r>
              <w:rPr>
                <w:rFonts w:ascii="Times New Roman" w:hAnsi="Times New Roman" w:eastAsia="Times New Roman" w:cs="Times New Roman"/>
                <w:b w:val="0"/>
                <w:bCs w:val="0"/>
                <w:sz w:val="21"/>
                <w:szCs w:val="21"/>
              </w:rPr>
              <w:t>326,374</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4106E7A">
            <w:pPr>
              <w:jc w:val="both"/>
            </w:pPr>
            <w:r>
              <w:rPr>
                <w:rFonts w:ascii="Times New Roman" w:hAnsi="Times New Roman" w:eastAsia="Times New Roman" w:cs="Times New Roman"/>
                <w:b w:val="0"/>
                <w:bCs w:val="0"/>
                <w:sz w:val="21"/>
                <w:szCs w:val="21"/>
              </w:rPr>
              <w:t>205.4 million</w:t>
            </w:r>
          </w:p>
        </w:tc>
        <w:tc>
          <w:tcPr>
            <w:tcW w:w="2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92D68C9">
            <w:pPr>
              <w:jc w:val="both"/>
            </w:pPr>
            <w:r>
              <w:rPr>
                <w:rFonts w:ascii="Times New Roman" w:hAnsi="Times New Roman" w:eastAsia="Times New Roman" w:cs="Times New Roman"/>
                <w:b w:val="0"/>
                <w:bCs w:val="0"/>
                <w:sz w:val="21"/>
                <w:szCs w:val="21"/>
              </w:rPr>
              <w:t>629</w:t>
            </w:r>
          </w:p>
        </w:tc>
      </w:tr>
      <w:tr w14:paraId="4CB7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6493E3C">
            <w:pPr>
              <w:jc w:val="both"/>
            </w:pPr>
            <w:r>
              <w:rPr>
                <w:rFonts w:ascii="Times New Roman" w:hAnsi="Times New Roman" w:eastAsia="Times New Roman" w:cs="Times New Roman"/>
                <w:b w:val="0"/>
                <w:bCs w:val="0"/>
                <w:sz w:val="21"/>
                <w:szCs w:val="21"/>
              </w:rPr>
              <w:t>50 – 99</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7F3A8DC">
            <w:pPr>
              <w:jc w:val="both"/>
            </w:pPr>
            <w:r>
              <w:rPr>
                <w:rFonts w:ascii="Times New Roman" w:hAnsi="Times New Roman" w:eastAsia="Times New Roman" w:cs="Times New Roman"/>
                <w:b w:val="0"/>
                <w:bCs w:val="0"/>
                <w:sz w:val="21"/>
                <w:szCs w:val="21"/>
              </w:rPr>
              <w:t>331,187</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4C9E9C2">
            <w:pPr>
              <w:jc w:val="both"/>
            </w:pPr>
            <w:r>
              <w:rPr>
                <w:rFonts w:ascii="Times New Roman" w:hAnsi="Times New Roman" w:eastAsia="Times New Roman" w:cs="Times New Roman"/>
                <w:b w:val="0"/>
                <w:bCs w:val="0"/>
                <w:sz w:val="21"/>
                <w:szCs w:val="21"/>
              </w:rPr>
              <w:t>1.90 billion</w:t>
            </w:r>
          </w:p>
        </w:tc>
        <w:tc>
          <w:tcPr>
            <w:tcW w:w="2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0AF1F0B">
            <w:pPr>
              <w:jc w:val="both"/>
            </w:pPr>
            <w:r>
              <w:rPr>
                <w:rFonts w:ascii="Times New Roman" w:hAnsi="Times New Roman" w:eastAsia="Times New Roman" w:cs="Times New Roman"/>
                <w:b w:val="0"/>
                <w:bCs w:val="0"/>
                <w:sz w:val="21"/>
                <w:szCs w:val="21"/>
              </w:rPr>
              <w:t>5,745</w:t>
            </w:r>
          </w:p>
        </w:tc>
      </w:tr>
      <w:tr w14:paraId="18EF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E99A291">
            <w:pPr>
              <w:jc w:val="both"/>
            </w:pPr>
            <w:r>
              <w:rPr>
                <w:rFonts w:ascii="Times New Roman" w:hAnsi="Times New Roman" w:eastAsia="Times New Roman" w:cs="Times New Roman"/>
                <w:b w:val="0"/>
                <w:bCs w:val="0"/>
                <w:sz w:val="21"/>
                <w:szCs w:val="21"/>
              </w:rPr>
              <w:t>100 – 149</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BC4D67D">
            <w:pPr>
              <w:jc w:val="both"/>
            </w:pPr>
            <w:r>
              <w:rPr>
                <w:rFonts w:ascii="Times New Roman" w:hAnsi="Times New Roman" w:eastAsia="Times New Roman" w:cs="Times New Roman"/>
                <w:b w:val="0"/>
                <w:bCs w:val="0"/>
                <w:sz w:val="21"/>
                <w:szCs w:val="21"/>
              </w:rPr>
              <w:t>332,518</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C4C4ED5">
            <w:pPr>
              <w:jc w:val="both"/>
            </w:pPr>
            <w:r>
              <w:rPr>
                <w:rFonts w:ascii="Times New Roman" w:hAnsi="Times New Roman" w:eastAsia="Times New Roman" w:cs="Times New Roman"/>
                <w:b w:val="0"/>
                <w:bCs w:val="0"/>
                <w:sz w:val="21"/>
                <w:szCs w:val="21"/>
              </w:rPr>
              <w:t>18.98 billion</w:t>
            </w:r>
          </w:p>
        </w:tc>
        <w:tc>
          <w:tcPr>
            <w:tcW w:w="2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E18B714">
            <w:pPr>
              <w:jc w:val="both"/>
            </w:pPr>
            <w:r>
              <w:rPr>
                <w:rFonts w:ascii="Times New Roman" w:hAnsi="Times New Roman" w:eastAsia="Times New Roman" w:cs="Times New Roman"/>
                <w:b w:val="0"/>
                <w:bCs w:val="0"/>
                <w:sz w:val="21"/>
                <w:szCs w:val="21"/>
              </w:rPr>
              <w:t>57,074</w:t>
            </w:r>
          </w:p>
        </w:tc>
      </w:tr>
      <w:tr w14:paraId="40716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6B8C21F">
            <w:pPr>
              <w:jc w:val="both"/>
            </w:pPr>
            <w:r>
              <w:rPr>
                <w:rFonts w:ascii="Times New Roman" w:hAnsi="Times New Roman" w:eastAsia="Times New Roman" w:cs="Times New Roman"/>
                <w:b w:val="0"/>
                <w:bCs w:val="0"/>
                <w:sz w:val="21"/>
                <w:szCs w:val="21"/>
              </w:rPr>
              <w:t>150 – 199</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032E393">
            <w:pPr>
              <w:jc w:val="both"/>
            </w:pPr>
            <w:r>
              <w:rPr>
                <w:rFonts w:ascii="Times New Roman" w:hAnsi="Times New Roman" w:eastAsia="Times New Roman" w:cs="Times New Roman"/>
                <w:b w:val="0"/>
                <w:bCs w:val="0"/>
                <w:sz w:val="21"/>
                <w:szCs w:val="21"/>
              </w:rPr>
              <w:t>333,155</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1C9AC31">
            <w:pPr>
              <w:jc w:val="both"/>
            </w:pPr>
            <w:r>
              <w:rPr>
                <w:rFonts w:ascii="Times New Roman" w:hAnsi="Times New Roman" w:eastAsia="Times New Roman" w:cs="Times New Roman"/>
                <w:b w:val="0"/>
                <w:bCs w:val="0"/>
                <w:sz w:val="21"/>
                <w:szCs w:val="21"/>
              </w:rPr>
              <w:t>132.39 billion</w:t>
            </w:r>
          </w:p>
        </w:tc>
        <w:tc>
          <w:tcPr>
            <w:tcW w:w="2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C6C34FA">
            <w:pPr>
              <w:jc w:val="both"/>
            </w:pPr>
            <w:r>
              <w:rPr>
                <w:rFonts w:ascii="Times New Roman" w:hAnsi="Times New Roman" w:eastAsia="Times New Roman" w:cs="Times New Roman"/>
                <w:b w:val="0"/>
                <w:bCs w:val="0"/>
                <w:sz w:val="21"/>
                <w:szCs w:val="21"/>
              </w:rPr>
              <w:t>397,383</w:t>
            </w:r>
          </w:p>
        </w:tc>
      </w:tr>
    </w:tbl>
    <w:p w14:paraId="706CF27A">
      <w:pPr>
        <w:spacing w:after="120"/>
        <w:jc w:val="both"/>
      </w:pPr>
    </w:p>
    <w:p w14:paraId="31197D64">
      <w:pPr>
        <w:keepNext/>
        <w:spacing w:before="80" w:after="40"/>
        <w:jc w:val="both"/>
      </w:pPr>
      <w:r>
        <w:drawing>
          <wp:inline distT="0" distB="0" distL="0" distR="0">
            <wp:extent cx="4286250" cy="2209800"/>
            <wp:effectExtent l="0" t="0" r="0" b="0"/>
            <wp:docPr id="4" name="Figure 4: Mean versus median transaction amount per step (log scale)" descr="Figure 4: Mean versus median transaction amount per step (log scale)" title="Figure 4: Mean versus median transaction amount per step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Mean versus median transaction amount per step (log scale)" descr="Figure 4: Mean versus median transaction amount per step (log scale)" title="Figure 4: Mean versus median transaction amount per step (log scale)"/>
                    <pic:cNvPicPr>
                      <a:picLocks noChangeAspect="1" noChangeArrowheads="1"/>
                    </pic:cNvPicPr>
                  </pic:nvPicPr>
                  <pic:blipFill>
                    <a:blip r:embed="rId8"/>
                    <a:srcRect/>
                    <a:stretch>
                      <a:fillRect/>
                    </a:stretch>
                  </pic:blipFill>
                  <pic:spPr>
                    <a:xfrm>
                      <a:off x="0" y="0"/>
                      <a:ext cx="4286250" cy="2209800"/>
                    </a:xfrm>
                    <a:prstGeom prst="rect">
                      <a:avLst/>
                    </a:prstGeom>
                  </pic:spPr>
                </pic:pic>
              </a:graphicData>
            </a:graphic>
          </wp:inline>
        </w:drawing>
      </w:r>
    </w:p>
    <w:p w14:paraId="68DC5063">
      <w:pPr>
        <w:spacing w:after="160"/>
        <w:jc w:val="both"/>
      </w:pPr>
      <w:r>
        <w:rPr>
          <w:rFonts w:ascii="Times New Roman" w:hAnsi="Times New Roman" w:eastAsia="Times New Roman" w:cs="Times New Roman"/>
          <w:i/>
          <w:iCs/>
          <w:sz w:val="20"/>
          <w:szCs w:val="20"/>
        </w:rPr>
        <w:t>Figure 4: Mean versus median transaction amount per step (log scale)</w:t>
      </w:r>
    </w:p>
    <w:p w14:paraId="4A7DBB20">
      <w:pPr>
        <w:spacing w:after="140" w:line="300" w:lineRule="auto"/>
        <w:jc w:val="both"/>
      </w:pPr>
      <w:r>
        <w:rPr>
          <w:rFonts w:ascii="Times New Roman" w:hAnsi="Times New Roman" w:eastAsia="Times New Roman" w:cs="Times New Roman"/>
          <w:sz w:val="24"/>
          <w:szCs w:val="24"/>
        </w:rPr>
        <w:t>The final 50 steps contribute 86.3% of the total value, and all but one of the 3,053 ceiling-value transactions occur between steps 149 and 199. Amounts therefore grow roughly tenfold every 50 steps even though the number of transactions does not change. A small group of large transactions is driving the increase, and this pattern would be a priority to investigate in a real monitoring environment.</w:t>
      </w:r>
    </w:p>
    <w:p w14:paraId="21212A08">
      <w:pPr>
        <w:spacing w:after="140" w:line="300" w:lineRule="auto"/>
        <w:jc w:val="both"/>
      </w:pPr>
      <w:r>
        <w:rPr>
          <w:rFonts w:ascii="Times New Roman" w:hAnsi="Times New Roman" w:eastAsia="Times New Roman" w:cs="Times New Roman"/>
          <w:b/>
          <w:bCs/>
          <w:sz w:val="24"/>
          <w:szCs w:val="24"/>
        </w:rPr>
        <w:t xml:space="preserve">Insight: </w:t>
      </w:r>
      <w:r>
        <w:rPr>
          <w:rFonts w:ascii="Times New Roman" w:hAnsi="Times New Roman" w:eastAsia="Times New Roman" w:cs="Times New Roman"/>
          <w:sz w:val="24"/>
          <w:szCs w:val="24"/>
        </w:rPr>
        <w:t>Volume monitoring alone would miss this pattern. AML teams should track value, median and high-percentile amounts alongside transaction counts.</w:t>
      </w:r>
    </w:p>
    <w:p w14:paraId="3BD49F3F">
      <w:pPr>
        <w:pStyle w:val="2"/>
        <w:keepNext/>
        <w:spacing w:before="280" w:after="140"/>
        <w:jc w:val="both"/>
      </w:pPr>
      <w:r>
        <w:rPr>
          <w:rFonts w:ascii="Times New Roman" w:hAnsi="Times New Roman" w:eastAsia="Times New Roman" w:cs="Times New Roman"/>
          <w:b/>
          <w:bCs/>
          <w:sz w:val="28"/>
          <w:szCs w:val="28"/>
        </w:rPr>
        <w:t>6. Alert Analysis</w:t>
      </w:r>
    </w:p>
    <w:p w14:paraId="364CD858">
      <w:pPr>
        <w:spacing w:after="140" w:line="300" w:lineRule="auto"/>
        <w:jc w:val="both"/>
      </w:pPr>
      <w:r>
        <w:rPr>
          <w:rFonts w:ascii="Times New Roman" w:hAnsi="Times New Roman" w:eastAsia="Times New Roman" w:cs="Times New Roman"/>
          <w:sz w:val="24"/>
          <w:szCs w:val="24"/>
        </w:rPr>
        <w:t>The horizontal bar chart plots Count of ALERT_ID by alert type. Because the alerts table holds one row per transaction in an alert, the chart counts transactions inside alerts rather than distinct alerts:</w:t>
      </w:r>
    </w:p>
    <w:tbl>
      <w:tblPr>
        <w:tblStyle w:val="9"/>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300"/>
        <w:gridCol w:w="2300"/>
        <w:gridCol w:w="2426"/>
      </w:tblGrid>
      <w:tr w14:paraId="778F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37E6FD3B">
            <w:pPr>
              <w:jc w:val="both"/>
            </w:pPr>
            <w:r>
              <w:rPr>
                <w:rFonts w:ascii="Times New Roman" w:hAnsi="Times New Roman" w:eastAsia="Times New Roman" w:cs="Times New Roman"/>
                <w:b/>
                <w:bCs/>
                <w:sz w:val="21"/>
                <w:szCs w:val="21"/>
              </w:rPr>
              <w:t>Alert type</w:t>
            </w:r>
          </w:p>
        </w:tc>
        <w:tc>
          <w:tcPr>
            <w:tcW w:w="2300"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18C009D4">
            <w:pPr>
              <w:jc w:val="both"/>
            </w:pPr>
            <w:r>
              <w:rPr>
                <w:rFonts w:ascii="Times New Roman" w:hAnsi="Times New Roman" w:eastAsia="Times New Roman" w:cs="Times New Roman"/>
                <w:b/>
                <w:bCs/>
                <w:sz w:val="21"/>
                <w:szCs w:val="21"/>
              </w:rPr>
              <w:t>Dashboard count (rows)</w:t>
            </w:r>
          </w:p>
        </w:tc>
        <w:tc>
          <w:tcPr>
            <w:tcW w:w="2300"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6FE04C8F">
            <w:pPr>
              <w:jc w:val="both"/>
            </w:pPr>
            <w:r>
              <w:rPr>
                <w:rFonts w:ascii="Times New Roman" w:hAnsi="Times New Roman" w:eastAsia="Times New Roman" w:cs="Times New Roman"/>
                <w:b/>
                <w:bCs/>
                <w:sz w:val="21"/>
                <w:szCs w:val="21"/>
              </w:rPr>
              <w:t>Distinct alerts</w:t>
            </w:r>
          </w:p>
        </w:tc>
        <w:tc>
          <w:tcPr>
            <w:tcW w:w="2426" w:type="dxa"/>
            <w:tcBorders>
              <w:top w:val="single" w:color="999999" w:sz="4" w:space="0"/>
              <w:left w:val="single" w:color="999999" w:sz="4" w:space="0"/>
              <w:bottom w:val="single" w:color="999999" w:sz="4" w:space="0"/>
              <w:right w:val="single" w:color="999999" w:sz="4" w:space="0"/>
            </w:tcBorders>
            <w:shd w:val="clear" w:color="auto" w:fill="E3E5F4"/>
            <w:tcMar>
              <w:top w:w="70" w:type="dxa"/>
              <w:left w:w="110" w:type="dxa"/>
              <w:bottom w:w="70" w:type="dxa"/>
              <w:right w:w="110" w:type="dxa"/>
            </w:tcMar>
          </w:tcPr>
          <w:p w14:paraId="7E0B178B">
            <w:pPr>
              <w:jc w:val="both"/>
            </w:pPr>
            <w:r>
              <w:rPr>
                <w:rFonts w:ascii="Times New Roman" w:hAnsi="Times New Roman" w:eastAsia="Times New Roman" w:cs="Times New Roman"/>
                <w:b/>
                <w:bCs/>
                <w:sz w:val="21"/>
                <w:szCs w:val="21"/>
              </w:rPr>
              <w:t>Total alerted amount</w:t>
            </w:r>
          </w:p>
        </w:tc>
      </w:tr>
      <w:tr w14:paraId="0F17D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38563A1">
            <w:pPr>
              <w:jc w:val="both"/>
            </w:pPr>
            <w:r>
              <w:rPr>
                <w:rFonts w:ascii="Times New Roman" w:hAnsi="Times New Roman" w:eastAsia="Times New Roman" w:cs="Times New Roman"/>
                <w:b w:val="0"/>
                <w:bCs w:val="0"/>
                <w:sz w:val="21"/>
                <w:szCs w:val="21"/>
              </w:rPr>
              <w:t>cycle</w:t>
            </w:r>
          </w:p>
        </w:tc>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B1C93B1">
            <w:pPr>
              <w:jc w:val="both"/>
            </w:pPr>
            <w:r>
              <w:rPr>
                <w:rFonts w:ascii="Times New Roman" w:hAnsi="Times New Roman" w:eastAsia="Times New Roman" w:cs="Times New Roman"/>
                <w:b w:val="0"/>
                <w:bCs w:val="0"/>
                <w:sz w:val="21"/>
                <w:szCs w:val="21"/>
              </w:rPr>
              <w:t>936</w:t>
            </w:r>
          </w:p>
        </w:tc>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983A043">
            <w:pPr>
              <w:jc w:val="both"/>
            </w:pPr>
            <w:r>
              <w:rPr>
                <w:rFonts w:ascii="Times New Roman" w:hAnsi="Times New Roman" w:eastAsia="Times New Roman" w:cs="Times New Roman"/>
                <w:b w:val="0"/>
                <w:bCs w:val="0"/>
                <w:sz w:val="21"/>
                <w:szCs w:val="21"/>
              </w:rPr>
              <w:t>192</w:t>
            </w:r>
          </w:p>
        </w:tc>
        <w:tc>
          <w:tcPr>
            <w:tcW w:w="2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7CCBE4C">
            <w:pPr>
              <w:jc w:val="both"/>
            </w:pPr>
            <w:r>
              <w:rPr>
                <w:rFonts w:ascii="Times New Roman" w:hAnsi="Times New Roman" w:eastAsia="Times New Roman" w:cs="Times New Roman"/>
                <w:b w:val="0"/>
                <w:bCs w:val="0"/>
                <w:sz w:val="21"/>
                <w:szCs w:val="21"/>
              </w:rPr>
              <w:t>13,869</w:t>
            </w:r>
          </w:p>
        </w:tc>
      </w:tr>
      <w:tr w14:paraId="39AD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BB6F271">
            <w:pPr>
              <w:jc w:val="both"/>
            </w:pPr>
            <w:r>
              <w:rPr>
                <w:rFonts w:ascii="Times New Roman" w:hAnsi="Times New Roman" w:eastAsia="Times New Roman" w:cs="Times New Roman"/>
                <w:b w:val="0"/>
                <w:bCs w:val="0"/>
                <w:sz w:val="21"/>
                <w:szCs w:val="21"/>
              </w:rPr>
              <w:t>fan_in</w:t>
            </w:r>
          </w:p>
        </w:tc>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E0A1C6D">
            <w:pPr>
              <w:jc w:val="both"/>
            </w:pPr>
            <w:r>
              <w:rPr>
                <w:rFonts w:ascii="Times New Roman" w:hAnsi="Times New Roman" w:eastAsia="Times New Roman" w:cs="Times New Roman"/>
                <w:b w:val="0"/>
                <w:bCs w:val="0"/>
                <w:sz w:val="21"/>
                <w:szCs w:val="21"/>
              </w:rPr>
              <w:t>783</w:t>
            </w:r>
          </w:p>
        </w:tc>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1F46922">
            <w:pPr>
              <w:jc w:val="both"/>
            </w:pPr>
            <w:r>
              <w:rPr>
                <w:rFonts w:ascii="Times New Roman" w:hAnsi="Times New Roman" w:eastAsia="Times New Roman" w:cs="Times New Roman"/>
                <w:b w:val="0"/>
                <w:bCs w:val="0"/>
                <w:sz w:val="21"/>
                <w:szCs w:val="21"/>
              </w:rPr>
              <w:t>199</w:t>
            </w:r>
          </w:p>
        </w:tc>
        <w:tc>
          <w:tcPr>
            <w:tcW w:w="2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382E607">
            <w:pPr>
              <w:jc w:val="both"/>
            </w:pPr>
            <w:r>
              <w:rPr>
                <w:rFonts w:ascii="Times New Roman" w:hAnsi="Times New Roman" w:eastAsia="Times New Roman" w:cs="Times New Roman"/>
                <w:b w:val="0"/>
                <w:bCs w:val="0"/>
                <w:sz w:val="21"/>
                <w:szCs w:val="21"/>
              </w:rPr>
              <w:t>2,914</w:t>
            </w:r>
          </w:p>
        </w:tc>
      </w:tr>
      <w:tr w14:paraId="4999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6CB6DDB">
            <w:pPr>
              <w:jc w:val="both"/>
            </w:pPr>
            <w:r>
              <w:rPr>
                <w:rFonts w:ascii="Times New Roman" w:hAnsi="Times New Roman" w:eastAsia="Times New Roman" w:cs="Times New Roman"/>
                <w:b w:val="0"/>
                <w:bCs w:val="0"/>
                <w:sz w:val="21"/>
                <w:szCs w:val="21"/>
              </w:rPr>
              <w:t>Total</w:t>
            </w:r>
          </w:p>
        </w:tc>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3A9EF6A">
            <w:pPr>
              <w:jc w:val="both"/>
            </w:pPr>
            <w:r>
              <w:rPr>
                <w:rFonts w:ascii="Times New Roman" w:hAnsi="Times New Roman" w:eastAsia="Times New Roman" w:cs="Times New Roman"/>
                <w:b w:val="0"/>
                <w:bCs w:val="0"/>
                <w:sz w:val="21"/>
                <w:szCs w:val="21"/>
              </w:rPr>
              <w:t>1,719</w:t>
            </w:r>
          </w:p>
        </w:tc>
        <w:tc>
          <w:tcPr>
            <w:tcW w:w="2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51C0483">
            <w:pPr>
              <w:jc w:val="both"/>
            </w:pPr>
            <w:r>
              <w:rPr>
                <w:rFonts w:ascii="Times New Roman" w:hAnsi="Times New Roman" w:eastAsia="Times New Roman" w:cs="Times New Roman"/>
                <w:b w:val="0"/>
                <w:bCs w:val="0"/>
                <w:sz w:val="21"/>
                <w:szCs w:val="21"/>
              </w:rPr>
              <w:t>391</w:t>
            </w:r>
          </w:p>
        </w:tc>
        <w:tc>
          <w:tcPr>
            <w:tcW w:w="2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56EB5C9">
            <w:pPr>
              <w:jc w:val="both"/>
            </w:pPr>
            <w:r>
              <w:rPr>
                <w:rFonts w:ascii="Times New Roman" w:hAnsi="Times New Roman" w:eastAsia="Times New Roman" w:cs="Times New Roman"/>
                <w:b w:val="0"/>
                <w:bCs w:val="0"/>
                <w:sz w:val="21"/>
                <w:szCs w:val="21"/>
              </w:rPr>
              <w:t>16,783</w:t>
            </w:r>
          </w:p>
        </w:tc>
      </w:tr>
    </w:tbl>
    <w:p w14:paraId="32871929">
      <w:pPr>
        <w:spacing w:after="120"/>
        <w:jc w:val="both"/>
      </w:pPr>
    </w:p>
    <w:p w14:paraId="57E4DD70">
      <w:pPr>
        <w:keepNext/>
        <w:spacing w:before="80" w:after="40"/>
        <w:jc w:val="both"/>
      </w:pPr>
      <w:r>
        <w:drawing>
          <wp:inline distT="0" distB="0" distL="0" distR="0">
            <wp:extent cx="4286250" cy="1857375"/>
            <wp:effectExtent l="0" t="0" r="0" b="0"/>
            <wp:docPr id="5" name="Figure 5: Alert counts by type, as shown on the dashboard and as distinct alerts" descr="Figure 5: Alert counts by type, as shown on the dashboard and as distinct alerts" title="Figure 5: Alert counts by type, as shown on the dashboard and as distinct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Alert counts by type, as shown on the dashboard and as distinct alerts" descr="Figure 5: Alert counts by type, as shown on the dashboard and as distinct alerts" title="Figure 5: Alert counts by type, as shown on the dashboard and as distinct alerts"/>
                    <pic:cNvPicPr>
                      <a:picLocks noChangeAspect="1" noChangeArrowheads="1"/>
                    </pic:cNvPicPr>
                  </pic:nvPicPr>
                  <pic:blipFill>
                    <a:blip r:embed="rId9"/>
                    <a:srcRect/>
                    <a:stretch>
                      <a:fillRect/>
                    </a:stretch>
                  </pic:blipFill>
                  <pic:spPr>
                    <a:xfrm>
                      <a:off x="0" y="0"/>
                      <a:ext cx="4286250" cy="1857375"/>
                    </a:xfrm>
                    <a:prstGeom prst="rect">
                      <a:avLst/>
                    </a:prstGeom>
                  </pic:spPr>
                </pic:pic>
              </a:graphicData>
            </a:graphic>
          </wp:inline>
        </w:drawing>
      </w:r>
    </w:p>
    <w:p w14:paraId="7DD404D5">
      <w:pPr>
        <w:spacing w:after="160"/>
        <w:jc w:val="both"/>
      </w:pPr>
      <w:r>
        <w:rPr>
          <w:rFonts w:ascii="Times New Roman" w:hAnsi="Times New Roman" w:eastAsia="Times New Roman" w:cs="Times New Roman"/>
          <w:i/>
          <w:iCs/>
          <w:sz w:val="20"/>
          <w:szCs w:val="20"/>
        </w:rPr>
        <w:t>Figure 5: Alert counts by type, as shown on the dashboard and as distinct alerts</w:t>
      </w:r>
    </w:p>
    <w:p w14:paraId="266EA7EC">
      <w:pPr>
        <w:spacing w:after="140" w:line="300" w:lineRule="auto"/>
        <w:jc w:val="both"/>
      </w:pPr>
      <w:r>
        <w:rPr>
          <w:rFonts w:ascii="Times New Roman" w:hAnsi="Times New Roman" w:eastAsia="Times New Roman" w:cs="Times New Roman"/>
          <w:sz w:val="24"/>
          <w:szCs w:val="24"/>
        </w:rPr>
        <w:t>On the dashboard measure, cycle alerts are higher (936 against 783). Counted as distinct alerts, however, fan_in is slightly more frequent (199 against 192). The difference arises because a cycle alert typically contains 5 transactions (183 of 192 alerts) and a fan_in alert 4 transactions (190 of 199 alerts). Cycle activity involves more transactions and larger amounts (average 14.82 against 3.72), but fan_in generates slightly more alerts.</w:t>
      </w:r>
    </w:p>
    <w:p w14:paraId="4C87452F">
      <w:pPr>
        <w:spacing w:after="140" w:line="300" w:lineRule="auto"/>
        <w:jc w:val="both"/>
      </w:pPr>
      <w:r>
        <w:rPr>
          <w:rFonts w:ascii="Times New Roman" w:hAnsi="Times New Roman" w:eastAsia="Times New Roman" w:cs="Times New Roman"/>
          <w:sz w:val="24"/>
          <w:szCs w:val="24"/>
        </w:rPr>
        <w:t>In AML monitoring, cycle patterns may involve funds moving through a sequence of accounts and returning to the start, while fan-in patterns involve funds from several sources converging on one account. Each fan_in alert in this data has exactly one receiving account. Both types appear evenly across the 200 steps, so neither is concentrated in a particular period. These patterns can have legitimate explanations, so an alert should be investigated rather than treated automatically as proof of fraud.</w:t>
      </w:r>
    </w:p>
    <w:p w14:paraId="7346AB5C">
      <w:pPr>
        <w:spacing w:after="140" w:line="300" w:lineRule="auto"/>
        <w:jc w:val="both"/>
      </w:pPr>
      <w:r>
        <w:rPr>
          <w:rFonts w:ascii="Times New Roman" w:hAnsi="Times New Roman" w:eastAsia="Times New Roman" w:cs="Times New Roman"/>
          <w:sz w:val="24"/>
          <w:szCs w:val="24"/>
        </w:rPr>
        <w:t>The alerts cover 1,639 distinct accounts, all of which are flagged fraudulent. A further 46 flagged accounts do not appear in any alert transaction. Every alert transaction is marked fraud, so the data contains no false positives, which means the alert rules cannot be evaluated for accuracy from this file.</w:t>
      </w:r>
    </w:p>
    <w:p w14:paraId="2A5CFAF6">
      <w:pPr>
        <w:spacing w:after="140" w:line="300" w:lineRule="auto"/>
        <w:jc w:val="both"/>
      </w:pPr>
      <w:r>
        <w:rPr>
          <w:rFonts w:ascii="Times New Roman" w:hAnsi="Times New Roman" w:eastAsia="Times New Roman" w:cs="Times New Roman"/>
          <w:b/>
          <w:bCs/>
          <w:sz w:val="24"/>
          <w:szCs w:val="24"/>
        </w:rPr>
        <w:t xml:space="preserve">Insight: </w:t>
      </w:r>
      <w:r>
        <w:rPr>
          <w:rFonts w:ascii="Times New Roman" w:hAnsi="Times New Roman" w:eastAsia="Times New Roman" w:cs="Times New Roman"/>
          <w:sz w:val="24"/>
          <w:szCs w:val="24"/>
        </w:rPr>
        <w:t>Both alert types need review. Cycle alerts carry the larger transaction count and value, while fan_in alerts are marginally more numerous. Prioritise by transaction details, risk level and supporting evidence rather than by the chart count alone.</w:t>
      </w:r>
    </w:p>
    <w:p w14:paraId="511A53D1">
      <w:pPr>
        <w:pStyle w:val="2"/>
        <w:keepNext/>
        <w:spacing w:before="280" w:after="140"/>
        <w:jc w:val="both"/>
      </w:pPr>
      <w:r>
        <w:rPr>
          <w:rFonts w:ascii="Times New Roman" w:hAnsi="Times New Roman" w:eastAsia="Times New Roman" w:cs="Times New Roman"/>
          <w:b/>
          <w:bCs/>
          <w:sz w:val="28"/>
          <w:szCs w:val="28"/>
        </w:rPr>
        <w:t>7. Filter-Based Analysis</w:t>
      </w:r>
    </w:p>
    <w:p w14:paraId="3208570E">
      <w:pPr>
        <w:spacing w:after="140" w:line="300" w:lineRule="auto"/>
        <w:jc w:val="both"/>
      </w:pPr>
      <w:r>
        <w:rPr>
          <w:rFonts w:ascii="Times New Roman" w:hAnsi="Times New Roman" w:eastAsia="Times New Roman" w:cs="Times New Roman"/>
          <w:sz w:val="24"/>
          <w:szCs w:val="24"/>
        </w:rPr>
        <w:t>The INTERACTIVE DASHBOARD page includes two slicers that allow users to explore the data.</w:t>
      </w:r>
    </w:p>
    <w:p w14:paraId="07080B09">
      <w:pPr>
        <w:pStyle w:val="3"/>
        <w:keepNext/>
        <w:spacing w:before="160" w:after="80"/>
        <w:jc w:val="both"/>
      </w:pPr>
      <w:r>
        <w:rPr>
          <w:rFonts w:ascii="Times New Roman" w:hAnsi="Times New Roman" w:eastAsia="Times New Roman" w:cs="Times New Roman"/>
          <w:b/>
          <w:bCs/>
          <w:sz w:val="24"/>
          <w:szCs w:val="24"/>
        </w:rPr>
        <w:t>Alert Type filter</w:t>
      </w:r>
    </w:p>
    <w:p w14:paraId="084C8E35">
      <w:pPr>
        <w:spacing w:after="140" w:line="300" w:lineRule="auto"/>
        <w:jc w:val="both"/>
      </w:pPr>
      <w:r>
        <w:rPr>
          <w:rFonts w:ascii="Times New Roman" w:hAnsi="Times New Roman" w:eastAsia="Times New Roman" w:cs="Times New Roman"/>
          <w:sz w:val="24"/>
          <w:szCs w:val="24"/>
        </w:rPr>
        <w:t>The ALERT_TYPE slicer (built from the alerts table) lets users select cycle or fan_in. Because alerts and transactions are linked one-to-one, selecting a type narrows every chart and card to the transactions in that alert category, for example 936 transactions for cycle and 783 for fan_in.</w:t>
      </w:r>
    </w:p>
    <w:p w14:paraId="75439904">
      <w:pPr>
        <w:pStyle w:val="3"/>
        <w:keepNext/>
        <w:spacing w:before="160" w:after="80"/>
        <w:jc w:val="both"/>
      </w:pPr>
      <w:r>
        <w:rPr>
          <w:rFonts w:ascii="Times New Roman" w:hAnsi="Times New Roman" w:eastAsia="Times New Roman" w:cs="Times New Roman"/>
          <w:b/>
          <w:bCs/>
          <w:sz w:val="24"/>
          <w:szCs w:val="24"/>
        </w:rPr>
        <w:t>Fraud Status filter</w:t>
      </w:r>
    </w:p>
    <w:p w14:paraId="3FC44271">
      <w:pPr>
        <w:spacing w:after="140" w:line="300" w:lineRule="auto"/>
        <w:jc w:val="both"/>
      </w:pPr>
      <w:r>
        <w:rPr>
          <w:rFonts w:ascii="Times New Roman" w:hAnsi="Times New Roman" w:eastAsia="Times New Roman" w:cs="Times New Roman"/>
          <w:sz w:val="24"/>
          <w:szCs w:val="24"/>
        </w:rPr>
        <w:t>The IS_FRAUD slicer is built from the accounts table, not the transactions table. Selecting True therefore shows all transactions sent by flagged accounts (278,026 transactions), of which only 1,719 are themselves flagged as fraud. This differs from the IS_FRAUD field used in the donut and column charts.</w:t>
      </w:r>
    </w:p>
    <w:p w14:paraId="14D51704">
      <w:pPr>
        <w:spacing w:after="140" w:line="300" w:lineRule="auto"/>
        <w:jc w:val="both"/>
      </w:pPr>
      <w:r>
        <w:rPr>
          <w:rFonts w:ascii="Times New Roman" w:hAnsi="Times New Roman" w:eastAsia="Times New Roman" w:cs="Times New Roman"/>
          <w:sz w:val="24"/>
          <w:szCs w:val="24"/>
        </w:rPr>
        <w:t>Based on the model relationships, Total Accounts and Total Initial Balance would not change when a chart value or the ALERT_TYPE slicer is selected, because filters pass from accounts to transactions and not the other way. These behaviours should be confirmed in Power BI Desktop, and the slicer should be switched to transactions[IS_FRAUD] if the intention is to isolate fraudulent transactions.</w:t>
      </w:r>
    </w:p>
    <w:p w14:paraId="2D440A5C">
      <w:pPr>
        <w:pStyle w:val="2"/>
        <w:keepNext/>
        <w:spacing w:before="280" w:after="140"/>
        <w:jc w:val="both"/>
      </w:pPr>
      <w:r>
        <w:rPr>
          <w:rFonts w:ascii="Times New Roman" w:hAnsi="Times New Roman" w:eastAsia="Times New Roman" w:cs="Times New Roman"/>
          <w:b/>
          <w:bCs/>
          <w:sz w:val="28"/>
          <w:szCs w:val="28"/>
        </w:rPr>
        <w:t>8. Key AML Insights</w:t>
      </w:r>
    </w:p>
    <w:p w14:paraId="221EEC8A">
      <w:pPr>
        <w:pStyle w:val="16"/>
        <w:numPr>
          <w:ilvl w:val="0"/>
          <w:numId w:val="2"/>
        </w:numPr>
        <w:spacing w:after="100" w:line="290" w:lineRule="auto"/>
        <w:jc w:val="both"/>
      </w:pPr>
      <w:r>
        <w:rPr>
          <w:rFonts w:ascii="Times New Roman" w:hAnsi="Times New Roman" w:eastAsia="Times New Roman" w:cs="Times New Roman"/>
          <w:b/>
          <w:bCs/>
          <w:sz w:val="24"/>
          <w:szCs w:val="24"/>
        </w:rPr>
        <w:t xml:space="preserve">Low proportion of fraudulent transactions: </w:t>
      </w:r>
      <w:r>
        <w:rPr>
          <w:rFonts w:ascii="Times New Roman" w:hAnsi="Times New Roman" w:eastAsia="Times New Roman" w:cs="Times New Roman"/>
          <w:sz w:val="24"/>
          <w:szCs w:val="24"/>
        </w:rPr>
        <w:t>Only 0.13% (1,719) of transactions are classified as fraudulent, compared with 99.87% non-fraudulent.</w:t>
      </w:r>
    </w:p>
    <w:p w14:paraId="4B4D4DDB">
      <w:pPr>
        <w:pStyle w:val="16"/>
        <w:numPr>
          <w:ilvl w:val="0"/>
          <w:numId w:val="2"/>
        </w:numPr>
        <w:spacing w:after="100" w:line="290" w:lineRule="auto"/>
        <w:jc w:val="both"/>
      </w:pPr>
      <w:r>
        <w:rPr>
          <w:rFonts w:ascii="Times New Roman" w:hAnsi="Times New Roman" w:eastAsia="Times New Roman" w:cs="Times New Roman"/>
          <w:b/>
          <w:bCs/>
          <w:sz w:val="24"/>
          <w:szCs w:val="24"/>
        </w:rPr>
        <w:t xml:space="preserve">Large transaction volume: </w:t>
      </w:r>
      <w:r>
        <w:rPr>
          <w:rFonts w:ascii="Times New Roman" w:hAnsi="Times New Roman" w:eastAsia="Times New Roman" w:cs="Times New Roman"/>
          <w:sz w:val="24"/>
          <w:szCs w:val="24"/>
        </w:rPr>
        <w:t>The dataset contains 1,323,234 transactions across 10,000 accounts, which makes automated monitoring essential.</w:t>
      </w:r>
    </w:p>
    <w:p w14:paraId="4906BB9B">
      <w:pPr>
        <w:pStyle w:val="16"/>
        <w:numPr>
          <w:ilvl w:val="0"/>
          <w:numId w:val="2"/>
        </w:numPr>
        <w:spacing w:after="100" w:line="290" w:lineRule="auto"/>
        <w:jc w:val="both"/>
      </w:pPr>
      <w:r>
        <w:rPr>
          <w:rFonts w:ascii="Times New Roman" w:hAnsi="Times New Roman" w:eastAsia="Times New Roman" w:cs="Times New Roman"/>
          <w:b/>
          <w:bCs/>
          <w:sz w:val="24"/>
          <w:szCs w:val="24"/>
        </w:rPr>
        <w:t xml:space="preserve">Headline value is distorted: </w:t>
      </w:r>
      <w:r>
        <w:rPr>
          <w:rFonts w:ascii="Times New Roman" w:hAnsi="Times New Roman" w:eastAsia="Times New Roman" w:cs="Times New Roman"/>
          <w:sz w:val="24"/>
          <w:szCs w:val="24"/>
        </w:rPr>
        <w:t>The 153.48 billion total and 115.99K average are driven by 1.2% of transactions, including 3,053 at an apparent system ceiling of 21,474,836.47. The median transaction is 156.71.</w:t>
      </w:r>
    </w:p>
    <w:p w14:paraId="2129B073">
      <w:pPr>
        <w:pStyle w:val="16"/>
        <w:numPr>
          <w:ilvl w:val="0"/>
          <w:numId w:val="2"/>
        </w:numPr>
        <w:spacing w:after="100" w:line="290" w:lineRule="auto"/>
        <w:jc w:val="both"/>
      </w:pPr>
      <w:r>
        <w:rPr>
          <w:rFonts w:ascii="Times New Roman" w:hAnsi="Times New Roman" w:eastAsia="Times New Roman" w:cs="Times New Roman"/>
          <w:b/>
          <w:bCs/>
          <w:sz w:val="24"/>
          <w:szCs w:val="24"/>
        </w:rPr>
        <w:t xml:space="preserve">Fraud is small-value: </w:t>
      </w:r>
      <w:r>
        <w:rPr>
          <w:rFonts w:ascii="Times New Roman" w:hAnsi="Times New Roman" w:eastAsia="Times New Roman" w:cs="Times New Roman"/>
          <w:sz w:val="24"/>
          <w:szCs w:val="24"/>
        </w:rPr>
        <w:t>Fraudulent transactions total only 16,783, between 2.54 and 19.92 each, and 16.85% of accounts are flagged.</w:t>
      </w:r>
    </w:p>
    <w:p w14:paraId="1CA179D6">
      <w:pPr>
        <w:pStyle w:val="16"/>
        <w:numPr>
          <w:ilvl w:val="0"/>
          <w:numId w:val="2"/>
        </w:numPr>
        <w:spacing w:after="100" w:line="290" w:lineRule="auto"/>
        <w:jc w:val="both"/>
      </w:pPr>
      <w:r>
        <w:rPr>
          <w:rFonts w:ascii="Times New Roman" w:hAnsi="Times New Roman" w:eastAsia="Times New Roman" w:cs="Times New Roman"/>
          <w:b/>
          <w:bCs/>
          <w:sz w:val="24"/>
          <w:szCs w:val="24"/>
        </w:rPr>
        <w:t xml:space="preserve">Steady volume, escalating value: </w:t>
      </w:r>
      <w:r>
        <w:rPr>
          <w:rFonts w:ascii="Times New Roman" w:hAnsi="Times New Roman" w:eastAsia="Times New Roman" w:cs="Times New Roman"/>
          <w:sz w:val="24"/>
          <w:szCs w:val="24"/>
        </w:rPr>
        <w:t>Transactions per step stay near 6,600, but total amount grows roughly tenfold every 50 steps, with 86.3% of value in the final quarter.</w:t>
      </w:r>
    </w:p>
    <w:p w14:paraId="6D453C6E">
      <w:pPr>
        <w:pStyle w:val="16"/>
        <w:numPr>
          <w:ilvl w:val="0"/>
          <w:numId w:val="2"/>
        </w:numPr>
        <w:spacing w:after="100" w:line="290" w:lineRule="auto"/>
        <w:jc w:val="both"/>
      </w:pPr>
      <w:r>
        <w:rPr>
          <w:rFonts w:ascii="Times New Roman" w:hAnsi="Times New Roman" w:eastAsia="Times New Roman" w:cs="Times New Roman"/>
          <w:b/>
          <w:bCs/>
          <w:sz w:val="24"/>
          <w:szCs w:val="24"/>
        </w:rPr>
        <w:t xml:space="preserve">Alert counts depend on the measure: </w:t>
      </w:r>
      <w:r>
        <w:rPr>
          <w:rFonts w:ascii="Times New Roman" w:hAnsi="Times New Roman" w:eastAsia="Times New Roman" w:cs="Times New Roman"/>
          <w:sz w:val="24"/>
          <w:szCs w:val="24"/>
        </w:rPr>
        <w:t>Cycle leads on transactions (936 against 783), while fan_in leads on distinct alerts (199 against 192).</w:t>
      </w:r>
    </w:p>
    <w:p w14:paraId="174BBF36">
      <w:pPr>
        <w:pStyle w:val="16"/>
        <w:numPr>
          <w:ilvl w:val="0"/>
          <w:numId w:val="2"/>
        </w:numPr>
        <w:spacing w:after="100" w:line="290" w:lineRule="auto"/>
        <w:jc w:val="both"/>
      </w:pPr>
      <w:r>
        <w:rPr>
          <w:rFonts w:ascii="Times New Roman" w:hAnsi="Times New Roman" w:eastAsia="Times New Roman" w:cs="Times New Roman"/>
          <w:b/>
          <w:bCs/>
          <w:sz w:val="24"/>
          <w:szCs w:val="24"/>
        </w:rPr>
        <w:t xml:space="preserve">Filter logic needs checking: </w:t>
      </w:r>
      <w:r>
        <w:rPr>
          <w:rFonts w:ascii="Times New Roman" w:hAnsi="Times New Roman" w:eastAsia="Times New Roman" w:cs="Times New Roman"/>
          <w:sz w:val="24"/>
          <w:szCs w:val="24"/>
        </w:rPr>
        <w:t>The IS_FRAUD slicer filters by account flag, not transaction flag.</w:t>
      </w:r>
    </w:p>
    <w:p w14:paraId="33B3B8D4">
      <w:pPr>
        <w:pStyle w:val="16"/>
        <w:numPr>
          <w:ilvl w:val="0"/>
          <w:numId w:val="2"/>
        </w:numPr>
        <w:spacing w:after="100" w:line="290" w:lineRule="auto"/>
        <w:jc w:val="both"/>
      </w:pPr>
      <w:r>
        <w:rPr>
          <w:rFonts w:ascii="Times New Roman" w:hAnsi="Times New Roman" w:eastAsia="Times New Roman" w:cs="Times New Roman"/>
          <w:b/>
          <w:bCs/>
          <w:sz w:val="24"/>
          <w:szCs w:val="24"/>
        </w:rPr>
        <w:t xml:space="preserve">Further verification is necessary: </w:t>
      </w:r>
      <w:r>
        <w:rPr>
          <w:rFonts w:ascii="Times New Roman" w:hAnsi="Times New Roman" w:eastAsia="Times New Roman" w:cs="Times New Roman"/>
          <w:sz w:val="24"/>
          <w:szCs w:val="24"/>
        </w:rPr>
        <w:t>Dashboard indicators support investigation but are not proof of confirmed money laundering or fraud.</w:t>
      </w:r>
    </w:p>
    <w:p w14:paraId="4EA4DC6F">
      <w:pPr>
        <w:pStyle w:val="2"/>
        <w:keepNext/>
        <w:spacing w:before="280" w:after="140"/>
        <w:jc w:val="both"/>
      </w:pPr>
      <w:r>
        <w:rPr>
          <w:rFonts w:ascii="Times New Roman" w:hAnsi="Times New Roman" w:eastAsia="Times New Roman" w:cs="Times New Roman"/>
          <w:b/>
          <w:bCs/>
          <w:sz w:val="28"/>
          <w:szCs w:val="28"/>
        </w:rPr>
        <w:t>9. Recommendations</w:t>
      </w:r>
    </w:p>
    <w:p w14:paraId="2B59D63F">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Validate the amount data: </w:t>
      </w:r>
      <w:r>
        <w:rPr>
          <w:rFonts w:ascii="Times New Roman" w:hAnsi="Times New Roman" w:eastAsia="Times New Roman" w:cs="Times New Roman"/>
          <w:sz w:val="24"/>
          <w:szCs w:val="24"/>
        </w:rPr>
        <w:t>Investigate the 3,053 transactions at 21,474,836.47 and the 15,911 transactions above 1 million. Confirm whether they are genuine, capped or overflow values before reporting totals.</w:t>
      </w:r>
    </w:p>
    <w:p w14:paraId="06D6FA91">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Improve KPI design: </w:t>
      </w:r>
      <w:r>
        <w:rPr>
          <w:rFonts w:ascii="Times New Roman" w:hAnsi="Times New Roman" w:eastAsia="Times New Roman" w:cs="Times New Roman"/>
          <w:sz w:val="24"/>
          <w:szCs w:val="24"/>
        </w:rPr>
        <w:t>Add a Median Transaction Amount and a Fraud Rate % measure, and consider showing totals with and without extreme values. The average alone is misleading.</w:t>
      </w:r>
    </w:p>
    <w:p w14:paraId="53FFB387">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Fix the alert measure: </w:t>
      </w:r>
      <w:r>
        <w:rPr>
          <w:rFonts w:ascii="Times New Roman" w:hAnsi="Times New Roman" w:eastAsia="Times New Roman" w:cs="Times New Roman"/>
          <w:sz w:val="24"/>
          <w:szCs w:val="24"/>
        </w:rPr>
        <w:t>Use DISTINCTCOUNT of ALERT_ID so alerts are counted once, and show transactions per alert as a separate measure.</w:t>
      </w:r>
    </w:p>
    <w:p w14:paraId="28834E86">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Correct the fraud slicer: </w:t>
      </w:r>
      <w:r>
        <w:rPr>
          <w:rFonts w:ascii="Times New Roman" w:hAnsi="Times New Roman" w:eastAsia="Times New Roman" w:cs="Times New Roman"/>
          <w:sz w:val="24"/>
          <w:szCs w:val="24"/>
        </w:rPr>
        <w:t>Base the IS_FRAUD slicer on transactions[IS_FRAUD], and test that every card and chart responds correctly to each filter.</w:t>
      </w:r>
    </w:p>
    <w:p w14:paraId="59F22D4B">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Strengthen monitoring beyond volume: </w:t>
      </w:r>
      <w:r>
        <w:rPr>
          <w:rFonts w:ascii="Times New Roman" w:hAnsi="Times New Roman" w:eastAsia="Times New Roman" w:cs="Times New Roman"/>
          <w:sz w:val="24"/>
          <w:szCs w:val="24"/>
        </w:rPr>
        <w:t>Track value, median and high-percentile amounts by step, with alerts for sudden growth, as transaction counts alone hide the escalation.</w:t>
      </w:r>
    </w:p>
    <w:p w14:paraId="64B2EF17">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Investigate high-priority alerts: </w:t>
      </w:r>
      <w:r>
        <w:rPr>
          <w:rFonts w:ascii="Times New Roman" w:hAnsi="Times New Roman" w:eastAsia="Times New Roman" w:cs="Times New Roman"/>
          <w:sz w:val="24"/>
          <w:szCs w:val="24"/>
        </w:rPr>
        <w:t>Review cycle and fan_in alerts using transaction histories, account relationships and supporting evidence, prioritising by risk rather than chart size.</w:t>
      </w:r>
    </w:p>
    <w:p w14:paraId="239CF233">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Examine large non-fraud transactions: </w:t>
      </w:r>
      <w:r>
        <w:rPr>
          <w:rFonts w:ascii="Times New Roman" w:hAnsi="Times New Roman" w:eastAsia="Times New Roman" w:cs="Times New Roman"/>
          <w:sz w:val="24"/>
          <w:szCs w:val="24"/>
        </w:rPr>
        <w:t>Since all transactions above 20 are labelled non-fraud, review whether detection rules are missing large-value suspicious activity.</w:t>
      </w:r>
    </w:p>
    <w:p w14:paraId="28652B86">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Review flagged accounts without alerts: </w:t>
      </w:r>
      <w:r>
        <w:rPr>
          <w:rFonts w:ascii="Times New Roman" w:hAnsi="Times New Roman" w:eastAsia="Times New Roman" w:cs="Times New Roman"/>
          <w:sz w:val="24"/>
          <w:szCs w:val="24"/>
        </w:rPr>
        <w:t>Examine the 46 flagged accounts that appear in no alert transaction, and the behaviour groups with higher flag rates (groups 4 and 5).</w:t>
      </w:r>
    </w:p>
    <w:p w14:paraId="45799B97">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Test alert quality: </w:t>
      </w:r>
      <w:r>
        <w:rPr>
          <w:rFonts w:ascii="Times New Roman" w:hAnsi="Times New Roman" w:eastAsia="Times New Roman" w:cs="Times New Roman"/>
          <w:sz w:val="24"/>
          <w:szCs w:val="24"/>
        </w:rPr>
        <w:t>Add non-fraud alerts to the data, or link investigation outcomes, so false positives can be measured and rules refined without weakening controls.</w:t>
      </w:r>
    </w:p>
    <w:p w14:paraId="7CFCD9CC">
      <w:pPr>
        <w:pStyle w:val="16"/>
        <w:numPr>
          <w:ilvl w:val="0"/>
          <w:numId w:val="1"/>
        </w:numPr>
        <w:spacing w:after="100" w:line="290" w:lineRule="auto"/>
        <w:jc w:val="both"/>
      </w:pPr>
      <w:r>
        <w:rPr>
          <w:rFonts w:ascii="Times New Roman" w:hAnsi="Times New Roman" w:eastAsia="Times New Roman" w:cs="Times New Roman"/>
          <w:b/>
          <w:bCs/>
          <w:sz w:val="24"/>
          <w:szCs w:val="24"/>
        </w:rPr>
        <w:t xml:space="preserve">Maintain proper records: </w:t>
      </w:r>
      <w:r>
        <w:rPr>
          <w:rFonts w:ascii="Times New Roman" w:hAnsi="Times New Roman" w:eastAsia="Times New Roman" w:cs="Times New Roman"/>
          <w:sz w:val="24"/>
          <w:szCs w:val="24"/>
        </w:rPr>
        <w:t>Document alert investigations, decisions and evidence to support accountability and compliance.</w:t>
      </w:r>
    </w:p>
    <w:p w14:paraId="39701F89">
      <w:pPr>
        <w:pStyle w:val="2"/>
        <w:keepNext/>
        <w:spacing w:before="280" w:after="140"/>
        <w:jc w:val="both"/>
        <w:rPr>
          <w:rFonts w:ascii="Times New Roman" w:hAnsi="Times New Roman" w:eastAsia="Times New Roman" w:cs="Times New Roman"/>
          <w:b/>
          <w:bCs/>
          <w:sz w:val="28"/>
          <w:szCs w:val="28"/>
        </w:rPr>
      </w:pPr>
    </w:p>
    <w:p w14:paraId="6C101B95">
      <w:pPr>
        <w:pStyle w:val="2"/>
        <w:keepNext/>
        <w:spacing w:before="280" w:after="140"/>
        <w:jc w:val="both"/>
        <w:rPr>
          <w:rFonts w:ascii="Times New Roman" w:hAnsi="Times New Roman" w:eastAsia="Times New Roman" w:cs="Times New Roman"/>
          <w:b/>
          <w:bCs/>
          <w:sz w:val="28"/>
          <w:szCs w:val="28"/>
        </w:rPr>
      </w:pPr>
    </w:p>
    <w:p w14:paraId="021F5F2A">
      <w:pPr>
        <w:pStyle w:val="2"/>
        <w:keepNext/>
        <w:spacing w:before="280" w:after="140"/>
        <w:jc w:val="both"/>
      </w:pPr>
      <w:r>
        <w:rPr>
          <w:rFonts w:ascii="Times New Roman" w:hAnsi="Times New Roman" w:eastAsia="Times New Roman" w:cs="Times New Roman"/>
          <w:b/>
          <w:bCs/>
          <w:sz w:val="28"/>
          <w:szCs w:val="28"/>
        </w:rPr>
        <w:t>10. Conclusion</w:t>
      </w:r>
    </w:p>
    <w:p w14:paraId="34593C3D">
      <w:pPr>
        <w:spacing w:after="140" w:line="300" w:lineRule="auto"/>
        <w:jc w:val="both"/>
      </w:pPr>
      <w:r>
        <w:rPr>
          <w:rFonts w:ascii="Times New Roman" w:hAnsi="Times New Roman" w:eastAsia="Times New Roman" w:cs="Times New Roman"/>
          <w:sz w:val="24"/>
          <w:szCs w:val="24"/>
        </w:rPr>
        <w:t>The AML Transaction &amp; Fraud Analysis dashboard gives a useful overview of transaction activity, fraud classification and alert patterns. It shows that 99.87% of the 1.32 million transactions are classified as non-fraudulent, with 1,719 flagged as fraudulent, all of them small transfers linked to 391 alerts. It also shows stable transaction volumes alongside rapidly rising transaction values.</w:t>
      </w:r>
    </w:p>
    <w:p w14:paraId="0DB7B139">
      <w:pPr>
        <w:spacing w:after="140" w:line="300" w:lineRule="auto"/>
        <w:jc w:val="both"/>
      </w:pPr>
      <w:r>
        <w:rPr>
          <w:rFonts w:ascii="Times New Roman" w:hAnsi="Times New Roman" w:eastAsia="Times New Roman" w:cs="Times New Roman"/>
          <w:sz w:val="24"/>
          <w:szCs w:val="24"/>
        </w:rPr>
        <w:t>The main finding of this analysis is that the amount KPIs overstate typical activity. The 153.48 billion total and 115.99K average are driven by a small number of extreme and apparently capped values, while the median transaction is only about 157. Alert counts and the fraud filter also behave differently from what their labels suggest. Correcting these points will make the dashboard more reliable for financial risk management and compliance.</w:t>
      </w:r>
    </w:p>
    <w:p w14:paraId="315B8577">
      <w:pPr>
        <w:spacing w:after="140" w:line="300" w:lineRule="auto"/>
        <w:jc w:val="both"/>
      </w:pPr>
      <w:r>
        <w:rPr>
          <w:rFonts w:ascii="Times New Roman" w:hAnsi="Times New Roman" w:eastAsia="Times New Roman" w:cs="Times New Roman"/>
          <w:sz w:val="24"/>
          <w:szCs w:val="24"/>
        </w:rPr>
        <w:t>Overall, the dashboard can help analysts identify unusual patterns for further investigation. However, dashboard alerts are indicators for investigation, not conclusive proof of money launder</w:t>
      </w:r>
      <w:bookmarkStart w:id="0" w:name="_GoBack"/>
      <w:bookmarkEnd w:id="0"/>
      <w:r>
        <w:rPr>
          <w:rFonts w:ascii="Times New Roman" w:hAnsi="Times New Roman" w:eastAsia="Times New Roman" w:cs="Times New Roman"/>
          <w:sz w:val="24"/>
          <w:szCs w:val="24"/>
        </w:rPr>
        <w:t>ing or fraud.</w:t>
      </w:r>
    </w:p>
    <w:sectPr>
      <w:footerReference r:id="rId3" w:type="default"/>
      <w:pgSz w:w="11906" w:h="16838"/>
      <w:pgMar w:top="1440" w:right="1290" w:bottom="1300" w:left="129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B1128">
    <w:pPr>
      <w:jc w:val="center"/>
    </w:pPr>
    <w:r>
      <w:rPr>
        <w:rFonts w:ascii="Times New Roman" w:hAnsi="Times New Roman" w:eastAsia="Times New Roman" w:cs="Times New Roman"/>
        <w:sz w:val="18"/>
        <w:szCs w:val="18"/>
      </w:rPr>
      <w:t xml:space="preserve">Page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abstractNum w:abstractNumId="1">
    <w:nsid w:val="59ADCABA"/>
    <w:multiLevelType w:val="singleLevel"/>
    <w:tmpl w:val="59ADCABA"/>
    <w:lvl w:ilvl="0" w:tentative="0">
      <w:start w:val="1"/>
      <w:numFmt w:val="decimal"/>
      <w:lvlText w:val="%1."/>
      <w:lvlJc w:val="left"/>
      <w:pPr>
        <w:ind w:left="54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isplayBackgroundShape w:val="1"/>
  <w:documentProtection w:enforcement="0"/>
  <w:compat>
    <w:compatSetting w:name="compatibilityMode" w:uri="http://schemas.microsoft.com/office/word" w:val="15"/>
  </w:compat>
  <w:rsids>
    <w:rsidRoot w:val="00000000"/>
    <w:rsid w:val="750652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80" w:after="14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160" w:after="80"/>
      <w:outlineLvl w:val="1"/>
    </w:pPr>
    <w:rPr>
      <w:rFonts w:ascii="Times New Roman" w:hAnsi="Times New Roman" w:eastAsia="Times New Roman" w:cs="Times New Roman"/>
      <w:b/>
      <w:bCs/>
      <w:sz w:val="24"/>
      <w:szCs w:val="24"/>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2135</Words>
  <Characters>12182</Characters>
  <TotalTime>0</TotalTime>
  <ScaleCrop>false</ScaleCrop>
  <LinksUpToDate>false</LinksUpToDate>
  <CharactersWithSpaces>14176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2026-10-30T04:36:00Z</dcterms:created>
  <dc:creator>Un-named</dc:creator>
  <cp:lastModifiedBy>302 EdWaRd LiNiL</cp:lastModifiedBy>
  <dcterms:modified xsi:type="dcterms:W3CDTF">2026-10-30T05:02:25Z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eyJoZGlkIjoiNjZiZjI3YWZmNmNhZjFlOWQ2MDZjNTRiZjg5N2ZhZDMiLCJ1c2VySWQiOiI1Njc0MjEwMDAxMjkifQ==</vt:lpwstr>
  </property>
  <property fmtid="{D5CDD505-2E9C-101B-9397-08002B2CF9AE}" pid="3" name="KSOProductBuildVer">
    <vt:lpwstr>1033-12.1.0.29162</vt:lpwstr>
  </property>
  <property fmtid="{D5CDD505-2E9C-101B-9397-08002B2CF9AE}" pid="4" name="ICV">
    <vt:lpwstr>EADAB1C4908049E39BF0DC569CDA392A_12</vt:lpwstr>
  </property>
</Properties>
</file>