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397FF" w14:textId="3114155B" w:rsidR="005F02BA" w:rsidRPr="005F02BA" w:rsidRDefault="005F02BA" w:rsidP="005F02BA">
      <w:pPr>
        <w:rPr>
          <w:rFonts w:hint="eastAsia"/>
        </w:rPr>
      </w:pPr>
      <w:r>
        <w:rPr>
          <w:rFonts w:hint="eastAsia"/>
        </w:rPr>
        <w:t xml:space="preserve">Code for graphs are written with </w:t>
      </w:r>
      <w:r>
        <w:t>assistance</w:t>
      </w:r>
      <w:r>
        <w:rPr>
          <w:rFonts w:hint="eastAsia"/>
        </w:rPr>
        <w:t xml:space="preserve"> from AI.</w:t>
      </w:r>
    </w:p>
    <w:p w14:paraId="56FE6EA5" w14:textId="77777777" w:rsidR="005F02BA" w:rsidRDefault="005F02BA" w:rsidP="005F02BA"/>
    <w:p w14:paraId="0A6223BB" w14:textId="36AAF179" w:rsidR="005F02BA" w:rsidRDefault="005F02BA" w:rsidP="005F02BA">
      <w:r>
        <w:rPr>
          <w:rFonts w:hint="eastAsia"/>
        </w:rPr>
        <w:t>M</w:t>
      </w:r>
      <w:r>
        <w:t>o</w:t>
      </w:r>
      <w:r>
        <w:rPr>
          <w:rFonts w:hint="eastAsia"/>
        </w:rPr>
        <w:t xml:space="preserve">del coefficients: </w:t>
      </w:r>
    </w:p>
    <w:p w14:paraId="0D20268F" w14:textId="5E269D01" w:rsidR="005F02BA" w:rsidRPr="005F02BA" w:rsidRDefault="005F02BA" w:rsidP="005F02BA">
      <w:r w:rsidRPr="005F02BA">
        <w:t xml:space="preserve">Mu (μ): The constant </w:t>
      </w:r>
      <w:proofErr w:type="gramStart"/>
      <w:r w:rsidRPr="005F02BA">
        <w:t>mean</w:t>
      </w:r>
      <w:proofErr w:type="gramEnd"/>
      <w:r w:rsidRPr="005F02BA">
        <w:t>. Average daily return over the period. (All near zero).</w:t>
      </w:r>
    </w:p>
    <w:p w14:paraId="2573E16A" w14:textId="77777777" w:rsidR="005F02BA" w:rsidRPr="005F02BA" w:rsidRDefault="005F02BA" w:rsidP="005F02BA">
      <w:r w:rsidRPr="005F02BA">
        <w:t xml:space="preserve">Omega (ω): The </w:t>
      </w:r>
      <w:r>
        <w:rPr>
          <w:rFonts w:hint="eastAsia"/>
        </w:rPr>
        <w:t>baseline</w:t>
      </w:r>
      <w:r w:rsidRPr="005F02BA">
        <w:t xml:space="preserve"> of volatility when the market is perfectly calm. (Nikkei highest at 0.081).</w:t>
      </w:r>
    </w:p>
    <w:p w14:paraId="699B7274" w14:textId="77777777" w:rsidR="005F02BA" w:rsidRPr="005F02BA" w:rsidRDefault="005F02BA" w:rsidP="005F02BA">
      <w:r w:rsidRPr="005F02BA">
        <w:t>Alpha (α): ARCH term</w:t>
      </w:r>
      <w:r>
        <w:rPr>
          <w:rFonts w:hint="eastAsia"/>
        </w:rPr>
        <w:t xml:space="preserve"> for s</w:t>
      </w:r>
      <w:r w:rsidRPr="005F02BA">
        <w:t xml:space="preserve">hock reaction. </w:t>
      </w:r>
      <w:r>
        <w:t>V</w:t>
      </w:r>
      <w:r>
        <w:rPr>
          <w:rFonts w:hint="eastAsia"/>
        </w:rPr>
        <w:t>olatility reacting to surprises</w:t>
      </w:r>
      <w:r w:rsidRPr="005F02BA">
        <w:t>. (S&amp;P 500 highest).</w:t>
      </w:r>
    </w:p>
    <w:p w14:paraId="0B82A8E8" w14:textId="77777777" w:rsidR="005F02BA" w:rsidRPr="005F02BA" w:rsidRDefault="005F02BA" w:rsidP="005F02BA">
      <w:r w:rsidRPr="005F02BA">
        <w:t>Beta (β): GARCH term</w:t>
      </w:r>
      <w:r>
        <w:rPr>
          <w:rFonts w:hint="eastAsia"/>
        </w:rPr>
        <w:t xml:space="preserve"> for m</w:t>
      </w:r>
      <w:r w:rsidRPr="005F02BA">
        <w:t xml:space="preserve">emory. </w:t>
      </w:r>
      <w:r>
        <w:rPr>
          <w:rFonts w:hint="eastAsia"/>
        </w:rPr>
        <w:t>Y</w:t>
      </w:r>
      <w:r w:rsidRPr="005F02BA">
        <w:t xml:space="preserve">esterday's volatility </w:t>
      </w:r>
      <w:proofErr w:type="gramStart"/>
      <w:r w:rsidRPr="005F02BA">
        <w:t>carries</w:t>
      </w:r>
      <w:proofErr w:type="gramEnd"/>
      <w:r w:rsidRPr="005F02BA">
        <w:t xml:space="preserve"> over to today. (EURO STOXX 50 highest).</w:t>
      </w:r>
    </w:p>
    <w:p w14:paraId="2E967AD0" w14:textId="77777777" w:rsidR="005F02BA" w:rsidRPr="005F02BA" w:rsidRDefault="005F02BA" w:rsidP="005F02BA">
      <w:pPr>
        <w:rPr>
          <w:rFonts w:hint="eastAsia"/>
        </w:rPr>
      </w:pPr>
      <w:r w:rsidRPr="005F02BA">
        <w:t>Persistence (α + β): How long a volatility spike lasts. Closer to 1 = longer memory. (All 0.96–0.98)</w:t>
      </w:r>
      <w:r>
        <w:rPr>
          <w:rFonts w:hint="eastAsia"/>
        </w:rPr>
        <w:t xml:space="preserve"> a sign of potential overfitting, hopefully solve later in student t </w:t>
      </w:r>
    </w:p>
    <w:p w14:paraId="5DF24FAF" w14:textId="77777777" w:rsidR="005F02BA" w:rsidRPr="005F02BA" w:rsidRDefault="005F02BA" w:rsidP="005F02BA">
      <w:r w:rsidRPr="005F02BA">
        <w:t>Nu (ν): (Only in Student-t) Degrees of freedom. Lower = fatter tails.</w:t>
      </w:r>
    </w:p>
    <w:p w14:paraId="0270ECE0" w14:textId="33E7C969" w:rsidR="005F02BA" w:rsidRDefault="005F02BA" w:rsidP="005F02BA">
      <w:pPr>
        <w:rPr>
          <w:rFonts w:hint="eastAsia"/>
        </w:rPr>
      </w:pPr>
    </w:p>
    <w:p w14:paraId="3566E377" w14:textId="77777777" w:rsidR="005F02BA" w:rsidRDefault="005F02BA" w:rsidP="005F02BA"/>
    <w:p w14:paraId="44A27AD8" w14:textId="413BFD08" w:rsidR="005F02BA" w:rsidRDefault="005F02BA" w:rsidP="005F02BA">
      <w:r w:rsidRPr="005F02BA">
        <w:t>While the Nikkei 225 exhibits the highest absolute volatility (Std Dev = 1.56%), the S&amp;P 500 and FTSE 100 exhibit the most severe relative tail risk (Excess Kurtosis &gt; 11). This is because their baseline daily volatility is lower, making their extreme crisis shocks (e.g., -12% in 2008) mathematically much further from the mean</w:t>
      </w:r>
      <w:r>
        <w:rPr>
          <w:rFonts w:hint="eastAsia"/>
        </w:rPr>
        <w:t>\\</w:t>
      </w:r>
    </w:p>
    <w:p w14:paraId="0C3244A1" w14:textId="77777777" w:rsidR="005F02BA" w:rsidRDefault="005F02BA" w:rsidP="005F02BA"/>
    <w:p w14:paraId="6461B243" w14:textId="77777777" w:rsidR="005F02BA" w:rsidRPr="005F02BA" w:rsidRDefault="005F02BA" w:rsidP="005F02BA">
      <w:r w:rsidRPr="005F02BA">
        <w:t>FTSE 100 has the lowest AIC/BIC. This means, among the four indices, the Normal GARCH model fits the FTSE 100 the "best" (relative to the others).</w:t>
      </w:r>
    </w:p>
    <w:p w14:paraId="1300AE2D" w14:textId="77777777" w:rsidR="005F02BA" w:rsidRPr="005F02BA" w:rsidRDefault="005F02BA" w:rsidP="005F02BA">
      <w:r w:rsidRPr="005F02BA">
        <w:t>Nikkei 225 has the highest AIC/BIC. The Normal GARCH struggles the most with the Nikkei. This aligns perfectly with the high volatility and fat tails we saw in the Nikkei.</w:t>
      </w:r>
    </w:p>
    <w:p w14:paraId="7959AEED" w14:textId="77777777" w:rsidR="005F02BA" w:rsidRDefault="005F02BA" w:rsidP="005F02BA">
      <w:r w:rsidRPr="005F02BA">
        <w:t>The difference between AIC and BIC for each index is about 2</w:t>
      </w:r>
      <w:r>
        <w:rPr>
          <w:rFonts w:hint="eastAsia"/>
        </w:rPr>
        <w:t>6</w:t>
      </w:r>
      <w:r w:rsidRPr="005F02BA">
        <w:t>.</w:t>
      </w:r>
    </w:p>
    <w:p w14:paraId="7D1ED9ED" w14:textId="77777777" w:rsidR="005F02BA" w:rsidRDefault="005F02BA" w:rsidP="005F02BA"/>
    <w:p w14:paraId="0C6872E5" w14:textId="77777777" w:rsidR="005F02BA" w:rsidRDefault="005F02BA" w:rsidP="005F02BA">
      <w:r>
        <w:rPr>
          <w:rFonts w:hint="eastAsia"/>
        </w:rPr>
        <w:t>Persistence ranking</w:t>
      </w:r>
    </w:p>
    <w:p w14:paraId="236EA112" w14:textId="77777777" w:rsidR="005F02BA" w:rsidRPr="005F02BA" w:rsidRDefault="005F02BA" w:rsidP="005F02BA">
      <w:r w:rsidRPr="005F02BA">
        <w:t>EURO STOXX 50: 0.9779 (Most persistent)</w:t>
      </w:r>
    </w:p>
    <w:p w14:paraId="6625E3E9" w14:textId="77777777" w:rsidR="005F02BA" w:rsidRPr="005F02BA" w:rsidRDefault="005F02BA" w:rsidP="005F02BA">
      <w:r w:rsidRPr="005F02BA">
        <w:t>S&amp;P 500: 0.9774 (Very close second)</w:t>
      </w:r>
    </w:p>
    <w:p w14:paraId="56A56092" w14:textId="77777777" w:rsidR="005F02BA" w:rsidRPr="005F02BA" w:rsidRDefault="005F02BA" w:rsidP="005F02BA">
      <w:r w:rsidRPr="005F02BA">
        <w:lastRenderedPageBreak/>
        <w:t>FTSE 100: 0.9710</w:t>
      </w:r>
    </w:p>
    <w:p w14:paraId="2176B5B4" w14:textId="77777777" w:rsidR="005F02BA" w:rsidRPr="005F02BA" w:rsidRDefault="005F02BA" w:rsidP="005F02BA">
      <w:r w:rsidRPr="005F02BA">
        <w:t>Nikkei 225: 0.9678 (Least persistent)</w:t>
      </w:r>
    </w:p>
    <w:p w14:paraId="27E9F2D8" w14:textId="77777777" w:rsidR="005F02BA" w:rsidRDefault="005F02BA" w:rsidP="005F02BA"/>
    <w:p w14:paraId="14556F68" w14:textId="77777777" w:rsidR="005F02BA" w:rsidRPr="005F02BA" w:rsidRDefault="005F02BA" w:rsidP="005F02BA">
      <w:r>
        <w:rPr>
          <w:rFonts w:hint="eastAsia"/>
        </w:rPr>
        <w:t>Garch coefficients:</w:t>
      </w:r>
      <w:r>
        <w:br/>
      </w:r>
      <w:r w:rsidRPr="005F02BA">
        <w:t>1. Alpha (Shock Reaction)</w:t>
      </w:r>
    </w:p>
    <w:p w14:paraId="2C9F9DE8" w14:textId="77777777" w:rsidR="005F02BA" w:rsidRPr="005F02BA" w:rsidRDefault="005F02BA" w:rsidP="005F02BA">
      <w:proofErr w:type="gramStart"/>
      <w:r w:rsidRPr="005F02BA">
        <w:t>Measures</w:t>
      </w:r>
      <w:proofErr w:type="gramEnd"/>
      <w:r w:rsidRPr="005F02BA">
        <w:t xml:space="preserve"> how violently the market reacts to new news.</w:t>
      </w:r>
    </w:p>
    <w:p w14:paraId="02799ECF" w14:textId="77777777" w:rsidR="005F02BA" w:rsidRPr="005F02BA" w:rsidRDefault="005F02BA" w:rsidP="005F02BA">
      <w:r w:rsidRPr="005F02BA">
        <w:t>S&amp;P 500 (0.148) and Nikkei 225 (0.136) have the highest alpha — they are jumpy and reactive.</w:t>
      </w:r>
    </w:p>
    <w:p w14:paraId="0ECE104B" w14:textId="77777777" w:rsidR="005F02BA" w:rsidRPr="005F02BA" w:rsidRDefault="005F02BA" w:rsidP="005F02BA">
      <w:r w:rsidRPr="005F02BA">
        <w:t>EURO STOXX 50 (0.108) is the calmest responder.</w:t>
      </w:r>
    </w:p>
    <w:p w14:paraId="1253BD5B" w14:textId="77777777" w:rsidR="005F02BA" w:rsidRPr="005F02BA" w:rsidRDefault="005F02BA" w:rsidP="005F02BA">
      <w:r w:rsidRPr="005F02BA">
        <w:t>2. Beta (Volatility Memory)</w:t>
      </w:r>
    </w:p>
    <w:p w14:paraId="319407B4" w14:textId="77777777" w:rsidR="005F02BA" w:rsidRPr="005F02BA" w:rsidRDefault="005F02BA" w:rsidP="005F02BA">
      <w:r w:rsidRPr="005F02BA">
        <w:t>Measures how long a shock lingers.</w:t>
      </w:r>
    </w:p>
    <w:p w14:paraId="16F84E59" w14:textId="77777777" w:rsidR="005F02BA" w:rsidRPr="005F02BA" w:rsidRDefault="005F02BA" w:rsidP="005F02BA">
      <w:r w:rsidRPr="005F02BA">
        <w:t>EURO STOXX 50 (0.870) has the longest memory.</w:t>
      </w:r>
    </w:p>
    <w:p w14:paraId="4EE26A86" w14:textId="77777777" w:rsidR="005F02BA" w:rsidRPr="005F02BA" w:rsidRDefault="005F02BA" w:rsidP="005F02BA">
      <w:r w:rsidRPr="005F02BA">
        <w:t>S&amp;P 500 (0.829) has the shortest memory, meaning shocks fade slightly faster.</w:t>
      </w:r>
    </w:p>
    <w:p w14:paraId="5F1D6760" w14:textId="77777777" w:rsidR="005F02BA" w:rsidRPr="005F02BA" w:rsidRDefault="005F02BA" w:rsidP="005F02BA">
      <w:r w:rsidRPr="005F02BA">
        <w:t>3. Omega (Baseline Risk)</w:t>
      </w:r>
    </w:p>
    <w:p w14:paraId="0613BFC5" w14:textId="77777777" w:rsidR="005F02BA" w:rsidRPr="005F02BA" w:rsidRDefault="005F02BA" w:rsidP="005F02BA">
      <w:r w:rsidRPr="005F02BA">
        <w:t>The "floor" of volatility when the market is calm.</w:t>
      </w:r>
    </w:p>
    <w:p w14:paraId="3EB09FA4" w14:textId="77777777" w:rsidR="005F02BA" w:rsidRPr="005F02BA" w:rsidRDefault="005F02BA" w:rsidP="005F02BA">
      <w:r w:rsidRPr="005F02BA">
        <w:t>Nikkei 225 (0.081) has the highest baseline risk.</w:t>
      </w:r>
    </w:p>
    <w:p w14:paraId="18E91D77" w14:textId="77777777" w:rsidR="005F02BA" w:rsidRPr="005F02BA" w:rsidRDefault="005F02BA" w:rsidP="005F02BA">
      <w:r w:rsidRPr="005F02BA">
        <w:t>S&amp;P 500 (0.037) has the lowest baseline risk.</w:t>
      </w:r>
    </w:p>
    <w:p w14:paraId="421C0B43" w14:textId="77777777" w:rsidR="005F02BA" w:rsidRPr="005F02BA" w:rsidRDefault="005F02BA" w:rsidP="005F02BA">
      <w:r w:rsidRPr="005F02BA">
        <w:t>4. Persistence (α + β)</w:t>
      </w:r>
    </w:p>
    <w:p w14:paraId="48E8E98C" w14:textId="77777777" w:rsidR="005F02BA" w:rsidRPr="005F02BA" w:rsidRDefault="005F02BA" w:rsidP="005F02BA">
      <w:r w:rsidRPr="005F02BA">
        <w:t>All four indices are clustered between 0.968 and 0.978.</w:t>
      </w:r>
    </w:p>
    <w:p w14:paraId="2A548264" w14:textId="77777777" w:rsidR="005F02BA" w:rsidRPr="005F02BA" w:rsidRDefault="005F02BA" w:rsidP="005F02BA">
      <w:r w:rsidRPr="005F02BA">
        <w:t>This means volatility shocks are highly permanent across all global markets.</w:t>
      </w:r>
    </w:p>
    <w:p w14:paraId="071B0AB4" w14:textId="5EAEEE07" w:rsidR="005F02BA" w:rsidRPr="005F02BA" w:rsidRDefault="005F02BA" w:rsidP="005F02BA">
      <w:r w:rsidRPr="005F02BA">
        <w:t xml:space="preserve">5. Critical Observation </w:t>
      </w:r>
    </w:p>
    <w:p w14:paraId="33763CBC" w14:textId="77777777" w:rsidR="005F02BA" w:rsidRPr="005F02BA" w:rsidRDefault="005F02BA" w:rsidP="005F02BA">
      <w:r w:rsidRPr="005F02BA">
        <w:t>The Normal GARCH model is forcing persistence to be near 1 (0.97+) to compensate for the fat tails it cannot explain.</w:t>
      </w:r>
    </w:p>
    <w:p w14:paraId="447B59EA" w14:textId="3B85A7EE" w:rsidR="005F02BA" w:rsidRPr="005F02BA" w:rsidRDefault="005F02BA" w:rsidP="005F02BA"/>
    <w:p w14:paraId="2123E9FD" w14:textId="090C0076" w:rsidR="005F02BA" w:rsidRDefault="005F02BA" w:rsidP="005F02BA">
      <w:proofErr w:type="spellStart"/>
      <w:r>
        <w:rPr>
          <w:rFonts w:hint="eastAsia"/>
        </w:rPr>
        <w:t>Analysi</w:t>
      </w:r>
      <w:proofErr w:type="spellEnd"/>
      <w:r>
        <w:rPr>
          <w:rFonts w:hint="eastAsia"/>
        </w:rPr>
        <w:t xml:space="preserve">: </w:t>
      </w:r>
    </w:p>
    <w:p w14:paraId="0015BAEA" w14:textId="77777777" w:rsidR="005F02BA" w:rsidRPr="005F02BA" w:rsidRDefault="005F02BA" w:rsidP="005F02BA">
      <w:r w:rsidRPr="005F02BA">
        <w:t>S&amp;P 500, EURO STOXX 50, FTSE 100 (PASSED)</w:t>
      </w:r>
    </w:p>
    <w:p w14:paraId="5CB057FB" w14:textId="3ADF92E6" w:rsidR="005F02BA" w:rsidRPr="005F02BA" w:rsidRDefault="005F02BA" w:rsidP="005F02BA">
      <w:r w:rsidRPr="005F02BA">
        <w:t xml:space="preserve">Ljung-Box: All p-values &gt; 0.05. Normal </w:t>
      </w:r>
      <w:proofErr w:type="gramStart"/>
      <w:r w:rsidRPr="005F02BA">
        <w:t>GARCH(</w:t>
      </w:r>
      <w:proofErr w:type="gramEnd"/>
      <w:r w:rsidRPr="005F02BA">
        <w:t>1,1) captured all the volatility clustering. There are no remaining ARCH effects.</w:t>
      </w:r>
    </w:p>
    <w:p w14:paraId="742C2221" w14:textId="0EF2F2CC" w:rsidR="005F02BA" w:rsidRPr="005F02BA" w:rsidRDefault="005F02BA" w:rsidP="005F02BA">
      <w:pPr>
        <w:rPr>
          <w:rFonts w:hint="eastAsia"/>
        </w:rPr>
      </w:pPr>
      <w:r w:rsidRPr="005F02BA">
        <w:lastRenderedPageBreak/>
        <w:t xml:space="preserve">Histograms: However, actual residuals still have a taller peak and fatter tails than the Normal distribution. </w:t>
      </w:r>
      <w:r>
        <w:rPr>
          <w:rFonts w:hint="eastAsia"/>
        </w:rPr>
        <w:t>V</w:t>
      </w:r>
      <w:r w:rsidRPr="005F02BA">
        <w:t xml:space="preserve">ariance equation </w:t>
      </w:r>
      <w:r>
        <w:rPr>
          <w:rFonts w:hint="eastAsia"/>
        </w:rPr>
        <w:t>might hold</w:t>
      </w:r>
      <w:r w:rsidRPr="005F02BA">
        <w:t>, but the distribution assumption (Normal) is still wrong.</w:t>
      </w:r>
      <w:r>
        <w:rPr>
          <w:rFonts w:hint="eastAsia"/>
        </w:rPr>
        <w:t xml:space="preserve"> </w:t>
      </w:r>
    </w:p>
    <w:p w14:paraId="5C2653AF" w14:textId="77777777" w:rsidR="005F02BA" w:rsidRPr="005F02BA" w:rsidRDefault="005F02BA" w:rsidP="005F02BA">
      <w:r w:rsidRPr="005F02BA">
        <w:t>Nikkei 225 (FAILED)</w:t>
      </w:r>
    </w:p>
    <w:p w14:paraId="4565389D" w14:textId="3077CF20" w:rsidR="005F02BA" w:rsidRPr="005F02BA" w:rsidRDefault="005F02BA" w:rsidP="005F02BA">
      <w:r w:rsidRPr="005F02BA">
        <w:t xml:space="preserve">Ljung-Box: Multiple p-values &lt; 0.05 (lags </w:t>
      </w:r>
      <w:proofErr w:type="gramStart"/>
      <w:r w:rsidRPr="005F02BA">
        <w:t>1,</w:t>
      </w:r>
      <w:proofErr w:type="gramEnd"/>
      <w:r w:rsidRPr="005F02BA">
        <w:t xml:space="preserve"> 2, 3, 8, 10</w:t>
      </w:r>
      <w:proofErr w:type="gramStart"/>
      <w:r w:rsidRPr="005F02BA">
        <w:t>).Normal</w:t>
      </w:r>
      <w:proofErr w:type="gramEnd"/>
      <w:r w:rsidRPr="005F02BA">
        <w:t xml:space="preserve"> </w:t>
      </w:r>
      <w:proofErr w:type="gramStart"/>
      <w:r w:rsidRPr="005F02BA">
        <w:t>GARCH(</w:t>
      </w:r>
      <w:proofErr w:type="gramEnd"/>
      <w:r w:rsidRPr="005F02BA">
        <w:t xml:space="preserve">1,1) failed to capture all the volatility clustering. </w:t>
      </w:r>
      <w:r>
        <w:rPr>
          <w:rFonts w:hint="eastAsia"/>
        </w:rPr>
        <w:t>S</w:t>
      </w:r>
      <w:r w:rsidRPr="005F02BA">
        <w:t>till hidden ARCH effects in the residuals.</w:t>
      </w:r>
    </w:p>
    <w:p w14:paraId="0F066A59" w14:textId="77777777" w:rsidR="005F02BA" w:rsidRDefault="005F02BA" w:rsidP="005F02BA">
      <w:r w:rsidRPr="005F02BA">
        <w:t xml:space="preserve">The Nikkei has the highest absolute volatility, the highest baseline variance (ω), and extreme regime shifts (like the 2024 yen carry trade unwind). A simple </w:t>
      </w:r>
      <w:proofErr w:type="gramStart"/>
      <w:r w:rsidRPr="005F02BA">
        <w:t>GARCH(</w:t>
      </w:r>
      <w:proofErr w:type="gramEnd"/>
      <w:r w:rsidRPr="005F02BA">
        <w:t xml:space="preserve">1,1) with Normal errors </w:t>
      </w:r>
      <w:r>
        <w:rPr>
          <w:rFonts w:hint="eastAsia"/>
        </w:rPr>
        <w:t>might be</w:t>
      </w:r>
      <w:r w:rsidRPr="005F02BA">
        <w:t xml:space="preserve"> too simpl</w:t>
      </w:r>
      <w:r>
        <w:rPr>
          <w:rFonts w:hint="eastAsia"/>
        </w:rPr>
        <w:t>e</w:t>
      </w:r>
      <w:r w:rsidRPr="005F02BA">
        <w:t>.</w:t>
      </w:r>
      <w:r>
        <w:rPr>
          <w:rFonts w:hint="eastAsia"/>
        </w:rPr>
        <w:t xml:space="preserve"> From previous </w:t>
      </w:r>
      <w:proofErr w:type="gramStart"/>
      <w:r>
        <w:rPr>
          <w:rFonts w:hint="eastAsia"/>
        </w:rPr>
        <w:t>graph</w:t>
      </w:r>
      <w:proofErr w:type="gramEnd"/>
      <w:r>
        <w:rPr>
          <w:rFonts w:hint="eastAsia"/>
        </w:rPr>
        <w:t xml:space="preserve"> also can </w:t>
      </w:r>
      <w:proofErr w:type="gramStart"/>
      <w:r>
        <w:rPr>
          <w:rFonts w:hint="eastAsia"/>
        </w:rPr>
        <w:t>see</w:t>
      </w:r>
      <w:proofErr w:type="gramEnd"/>
      <w:r>
        <w:rPr>
          <w:rFonts w:hint="eastAsia"/>
        </w:rPr>
        <w:t xml:space="preserve"> visually has most ups / downs</w:t>
      </w:r>
    </w:p>
    <w:p w14:paraId="72F9CB10" w14:textId="77777777" w:rsidR="005F02BA" w:rsidRDefault="005F02BA" w:rsidP="005F02BA"/>
    <w:p w14:paraId="32B10D18" w14:textId="77777777" w:rsidR="005F02BA" w:rsidRDefault="005F02BA" w:rsidP="005F02BA">
      <w:r>
        <w:rPr>
          <w:rFonts w:hint="eastAsia"/>
        </w:rPr>
        <w:t xml:space="preserve">Student </w:t>
      </w:r>
      <w:r>
        <w:t>–</w:t>
      </w:r>
      <w:r>
        <w:rPr>
          <w:rFonts w:hint="eastAsia"/>
        </w:rPr>
        <w:t xml:space="preserve"> t model:</w:t>
      </w:r>
      <w:r>
        <w:br/>
      </w:r>
      <w:r w:rsidRPr="005F02BA">
        <w:t xml:space="preserve">AIC scores dropping by 180 to 334 points across all four indices. Estimated degrees of freedom (ν) range from 5.03 (S&amp;P 500) to 6.67 (Nikkei 225), </w:t>
      </w:r>
    </w:p>
    <w:p w14:paraId="4613E43A" w14:textId="77777777" w:rsidR="005F02BA" w:rsidRDefault="005F02BA" w:rsidP="005F02BA">
      <w:r>
        <w:rPr>
          <w:rFonts w:hint="eastAsia"/>
        </w:rPr>
        <w:t>E</w:t>
      </w:r>
      <w:r w:rsidRPr="005F02BA">
        <w:t>xtreme fat-tail risk in every market, particularly the S&amp;P 500</w:t>
      </w:r>
      <w:r>
        <w:rPr>
          <w:rFonts w:hint="eastAsia"/>
        </w:rPr>
        <w:t xml:space="preserve">. </w:t>
      </w:r>
    </w:p>
    <w:p w14:paraId="17077D1E" w14:textId="5A579D82" w:rsidR="005F02BA" w:rsidRPr="005F02BA" w:rsidRDefault="005F02BA" w:rsidP="005F02BA">
      <w:r>
        <w:rPr>
          <w:rFonts w:hint="eastAsia"/>
        </w:rPr>
        <w:t xml:space="preserve">Former Normal model flawed, overfitting the model. </w:t>
      </w:r>
      <w:r w:rsidRPr="005F02BA">
        <w:br/>
      </w:r>
    </w:p>
    <w:sectPr w:rsidR="005F02BA" w:rsidRPr="005F02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5A37D" w14:textId="77777777" w:rsidR="00704BEA" w:rsidRDefault="00704BEA" w:rsidP="005F02BA">
      <w:pPr>
        <w:spacing w:after="0" w:line="240" w:lineRule="auto"/>
      </w:pPr>
      <w:r>
        <w:separator/>
      </w:r>
    </w:p>
  </w:endnote>
  <w:endnote w:type="continuationSeparator" w:id="0">
    <w:p w14:paraId="124FFF3C" w14:textId="77777777" w:rsidR="00704BEA" w:rsidRDefault="00704BEA" w:rsidP="005F0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39305" w14:textId="77777777" w:rsidR="00704BEA" w:rsidRDefault="00704BEA" w:rsidP="005F02BA">
      <w:pPr>
        <w:spacing w:after="0" w:line="240" w:lineRule="auto"/>
      </w:pPr>
      <w:r>
        <w:separator/>
      </w:r>
    </w:p>
  </w:footnote>
  <w:footnote w:type="continuationSeparator" w:id="0">
    <w:p w14:paraId="41C1631E" w14:textId="77777777" w:rsidR="00704BEA" w:rsidRDefault="00704BEA" w:rsidP="005F02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66808"/>
    <w:multiLevelType w:val="multilevel"/>
    <w:tmpl w:val="B44C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43619"/>
    <w:multiLevelType w:val="multilevel"/>
    <w:tmpl w:val="2476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74779"/>
    <w:multiLevelType w:val="multilevel"/>
    <w:tmpl w:val="4360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B7B0B"/>
    <w:multiLevelType w:val="multilevel"/>
    <w:tmpl w:val="3974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830A9"/>
    <w:multiLevelType w:val="multilevel"/>
    <w:tmpl w:val="DCBC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B84302"/>
    <w:multiLevelType w:val="multilevel"/>
    <w:tmpl w:val="BABC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272381"/>
    <w:multiLevelType w:val="multilevel"/>
    <w:tmpl w:val="9EC8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A24FE"/>
    <w:multiLevelType w:val="multilevel"/>
    <w:tmpl w:val="D406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01706D"/>
    <w:multiLevelType w:val="multilevel"/>
    <w:tmpl w:val="BDE4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8F572B"/>
    <w:multiLevelType w:val="multilevel"/>
    <w:tmpl w:val="CFDA9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844438"/>
    <w:multiLevelType w:val="multilevel"/>
    <w:tmpl w:val="C9B0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1B5ABD"/>
    <w:multiLevelType w:val="multilevel"/>
    <w:tmpl w:val="AB08D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5293781">
    <w:abstractNumId w:val="3"/>
  </w:num>
  <w:num w:numId="2" w16cid:durableId="2098400154">
    <w:abstractNumId w:val="4"/>
  </w:num>
  <w:num w:numId="3" w16cid:durableId="66342841">
    <w:abstractNumId w:val="11"/>
  </w:num>
  <w:num w:numId="4" w16cid:durableId="1666012718">
    <w:abstractNumId w:val="9"/>
  </w:num>
  <w:num w:numId="5" w16cid:durableId="1685016721">
    <w:abstractNumId w:val="1"/>
  </w:num>
  <w:num w:numId="6" w16cid:durableId="497771628">
    <w:abstractNumId w:val="2"/>
  </w:num>
  <w:num w:numId="7" w16cid:durableId="831680843">
    <w:abstractNumId w:val="8"/>
  </w:num>
  <w:num w:numId="8" w16cid:durableId="897085622">
    <w:abstractNumId w:val="0"/>
  </w:num>
  <w:num w:numId="9" w16cid:durableId="36778029">
    <w:abstractNumId w:val="5"/>
  </w:num>
  <w:num w:numId="10" w16cid:durableId="590429396">
    <w:abstractNumId w:val="10"/>
  </w:num>
  <w:num w:numId="11" w16cid:durableId="308435605">
    <w:abstractNumId w:val="7"/>
  </w:num>
  <w:num w:numId="12" w16cid:durableId="19365961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F1F"/>
    <w:rsid w:val="002A289C"/>
    <w:rsid w:val="00572B40"/>
    <w:rsid w:val="005F02BA"/>
    <w:rsid w:val="00704BEA"/>
    <w:rsid w:val="007A7EBC"/>
    <w:rsid w:val="009166B3"/>
    <w:rsid w:val="00A01F1F"/>
    <w:rsid w:val="00E77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3A7BC2"/>
  <w15:chartTrackingRefBased/>
  <w15:docId w15:val="{AE4BEB7F-A2FE-4710-9987-A212A19DD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1F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1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1F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1F1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1F1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1F1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1F1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1F1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1F1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1F1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1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1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1F1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1F1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1F1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1F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1F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1F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1F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1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1F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1F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1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1F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1F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1F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1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1F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1F1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F02B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F02B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F02B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F02B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992</TotalTime>
  <Pages>3</Pages>
  <Words>613</Words>
  <Characters>2976</Characters>
  <Application>Microsoft Office Word</Application>
  <DocSecurity>0</DocSecurity>
  <Lines>58</Lines>
  <Paragraphs>30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Wang</dc:creator>
  <cp:keywords/>
  <dc:description/>
  <cp:lastModifiedBy>Edward Wang</cp:lastModifiedBy>
  <cp:revision>2</cp:revision>
  <dcterms:created xsi:type="dcterms:W3CDTF">2026-09-14T01:19:00Z</dcterms:created>
  <dcterms:modified xsi:type="dcterms:W3CDTF">2026-09-16T15:07:00Z</dcterms:modified>
</cp:coreProperties>
</file>