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D690E3" w14:textId="77777777" w:rsidR="00822AB6" w:rsidRPr="00822AB6" w:rsidRDefault="00822AB6" w:rsidP="00822AB6">
      <w:pPr>
        <w:rPr>
          <w:b/>
          <w:bCs/>
        </w:rPr>
      </w:pPr>
      <w:r w:rsidRPr="00822AB6">
        <w:rPr>
          <w:b/>
          <w:bCs/>
        </w:rPr>
        <w:t xml:space="preserve">1. Data Pipeline Complexity with </w:t>
      </w:r>
      <w:proofErr w:type="spellStart"/>
      <w:r w:rsidRPr="00822AB6">
        <w:rPr>
          <w:b/>
          <w:bCs/>
        </w:rPr>
        <w:t>MultiIndex</w:t>
      </w:r>
      <w:proofErr w:type="spellEnd"/>
      <w:r w:rsidRPr="00822AB6">
        <w:rPr>
          <w:b/>
          <w:bCs/>
        </w:rPr>
        <w:t xml:space="preserve"> Structures</w:t>
      </w:r>
    </w:p>
    <w:p w14:paraId="18813FFD" w14:textId="77777777" w:rsidR="00822AB6" w:rsidRPr="00822AB6" w:rsidRDefault="00822AB6" w:rsidP="00822AB6">
      <w:r w:rsidRPr="00822AB6">
        <w:t xml:space="preserve">The </w:t>
      </w:r>
      <w:proofErr w:type="spellStart"/>
      <w:r w:rsidRPr="00822AB6">
        <w:t>yfinance</w:t>
      </w:r>
      <w:proofErr w:type="spellEnd"/>
      <w:r w:rsidRPr="00822AB6">
        <w:t xml:space="preserve"> library returns a </w:t>
      </w:r>
      <w:proofErr w:type="spellStart"/>
      <w:r w:rsidRPr="00822AB6">
        <w:t>MultiIndex</w:t>
      </w:r>
      <w:proofErr w:type="spellEnd"/>
      <w:r w:rsidRPr="00822AB6">
        <w:t xml:space="preserve"> column structure when downloading multiple tickers. Accessing 'Adj Close' directly fails because it sits at the second level of the column hierarchy, not the first. This was resolved by extracting each ticker's adjusted close individually and assembling the </w:t>
      </w:r>
      <w:proofErr w:type="spellStart"/>
      <w:r w:rsidRPr="00822AB6">
        <w:t>DataFrame</w:t>
      </w:r>
      <w:proofErr w:type="spellEnd"/>
      <w:r w:rsidRPr="00822AB6">
        <w:t xml:space="preserve"> manually.</w:t>
      </w:r>
    </w:p>
    <w:p w14:paraId="3180997D" w14:textId="77777777" w:rsidR="00822AB6" w:rsidRPr="00822AB6" w:rsidRDefault="00822AB6" w:rsidP="00822AB6">
      <w:pPr>
        <w:rPr>
          <w:b/>
          <w:bCs/>
        </w:rPr>
      </w:pPr>
      <w:r w:rsidRPr="00822AB6">
        <w:rPr>
          <w:b/>
          <w:bCs/>
        </w:rPr>
        <w:t>2. Column Misalignment Risk</w:t>
      </w:r>
    </w:p>
    <w:p w14:paraId="2D8D1C50" w14:textId="77777777" w:rsidR="00822AB6" w:rsidRPr="00822AB6" w:rsidRDefault="00822AB6" w:rsidP="00822AB6">
      <w:r w:rsidRPr="00822AB6">
        <w:t xml:space="preserve">A second data issue arose when assigning column names by order. The </w:t>
      </w:r>
      <w:proofErr w:type="spellStart"/>
      <w:r w:rsidRPr="00822AB6">
        <w:t>yfinance</w:t>
      </w:r>
      <w:proofErr w:type="spellEnd"/>
      <w:r w:rsidRPr="00822AB6">
        <w:t xml:space="preserve"> library does not guarantee column order matches the input list, which caused S&amp;P 500 data to be silently placed in the EURO STOXX 50 column. This was fixed by explicitly mapping each ticker symbol to its designated column name.</w:t>
      </w:r>
    </w:p>
    <w:p w14:paraId="198402FB" w14:textId="77777777" w:rsidR="00822AB6" w:rsidRPr="00822AB6" w:rsidRDefault="00822AB6" w:rsidP="00822AB6">
      <w:pPr>
        <w:rPr>
          <w:b/>
          <w:bCs/>
        </w:rPr>
      </w:pPr>
      <w:r w:rsidRPr="00822AB6">
        <w:rPr>
          <w:b/>
          <w:bCs/>
        </w:rPr>
        <w:t>3. Unavoidable Reduction in Sample Length</w:t>
      </w:r>
    </w:p>
    <w:p w14:paraId="78730975" w14:textId="77777777" w:rsidR="00822AB6" w:rsidRPr="00822AB6" w:rsidRDefault="00822AB6" w:rsidP="00822AB6">
      <w:r w:rsidRPr="00822AB6">
        <w:t xml:space="preserve">EURO STOXX 50 data </w:t>
      </w:r>
      <w:proofErr w:type="gramStart"/>
      <w:r w:rsidRPr="00822AB6">
        <w:t>begins</w:t>
      </w:r>
      <w:proofErr w:type="gramEnd"/>
      <w:r w:rsidRPr="00822AB6">
        <w:t xml:space="preserve"> in March 2007, while the other indices have data back to 2000. To ensure fair cross-market comparison, all dates with any missing index </w:t>
      </w:r>
      <w:proofErr w:type="gramStart"/>
      <w:r w:rsidRPr="00822AB6">
        <w:t>were dropped</w:t>
      </w:r>
      <w:proofErr w:type="gramEnd"/>
      <w:r w:rsidRPr="00822AB6">
        <w:t>, reducing the sample to 4,440 shared trading days. This is a necessary trade-off for comparability.</w:t>
      </w:r>
    </w:p>
    <w:p w14:paraId="703EC922" w14:textId="77777777" w:rsidR="00822AB6" w:rsidRPr="00822AB6" w:rsidRDefault="00822AB6" w:rsidP="00822AB6">
      <w:pPr>
        <w:rPr>
          <w:b/>
          <w:bCs/>
        </w:rPr>
      </w:pPr>
      <w:r w:rsidRPr="00822AB6">
        <w:rPr>
          <w:b/>
          <w:bCs/>
        </w:rPr>
        <w:t>4. Distributional Misspecification Identified by Residual Diagnostics</w:t>
      </w:r>
    </w:p>
    <w:p w14:paraId="33B71277" w14:textId="77777777" w:rsidR="00822AB6" w:rsidRPr="00822AB6" w:rsidRDefault="00822AB6" w:rsidP="00822AB6">
      <w:r w:rsidRPr="00822AB6">
        <w:t>Initial Normal GARCH fits left residuals with severe fat tails (histograms still showed excess kurtosis) and, for the Nikkei 225, remaining ARCH effects in the Ljung-Box test. This revealed that the GARCH variance equation was adequate, but the assumed error distribution was wrong. Switching to Student-t innovations resolved both issues and improved AIC by 180–334 points, demonstrating that the fat-tailed nature of equity returns must be modeled explicitly, not assumed away.</w:t>
      </w:r>
    </w:p>
    <w:p w14:paraId="114C357A" w14:textId="77777777" w:rsidR="00822AB6" w:rsidRPr="00822AB6" w:rsidRDefault="00822AB6" w:rsidP="00822AB6">
      <w:pPr>
        <w:rPr>
          <w:b/>
          <w:bCs/>
        </w:rPr>
      </w:pPr>
      <w:r w:rsidRPr="00822AB6">
        <w:rPr>
          <w:b/>
          <w:bCs/>
        </w:rPr>
        <w:t>5. Ambiguity in "Volatility" and "Persistence" Terminology</w:t>
      </w:r>
    </w:p>
    <w:p w14:paraId="33AC3F6B" w14:textId="77777777" w:rsidR="00822AB6" w:rsidRPr="00822AB6" w:rsidRDefault="00822AB6" w:rsidP="00822AB6">
      <w:r w:rsidRPr="00822AB6">
        <w:t>Early interpretation conflated absolute volatility (magnitude of return fluctuations) with persistence (speed of shock decay). The Nikkei has the highest volatility but not the highest persistence; the EURO STOXX 50 has the highest persistence but not the highest volatility. These are different empirical properties that arise from different structural causes.</w:t>
      </w:r>
    </w:p>
    <w:p w14:paraId="69AA9A59" w14:textId="77777777" w:rsidR="00572B40" w:rsidRPr="00822AB6" w:rsidRDefault="00572B40" w:rsidP="00E523E5"/>
    <w:sectPr w:rsidR="00572B40" w:rsidRPr="00822AB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0B1295"/>
    <w:multiLevelType w:val="hybridMultilevel"/>
    <w:tmpl w:val="DBB0A2F0"/>
    <w:lvl w:ilvl="0" w:tplc="A52C033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5036702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2735"/>
    <w:rsid w:val="002A289C"/>
    <w:rsid w:val="00572B40"/>
    <w:rsid w:val="007C7108"/>
    <w:rsid w:val="00822AB6"/>
    <w:rsid w:val="00A15660"/>
    <w:rsid w:val="00C42735"/>
    <w:rsid w:val="00E523E5"/>
    <w:rsid w:val="00E77B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3071328"/>
  <w15:chartTrackingRefBased/>
  <w15:docId w15:val="{CA2EEB4C-0910-4FDB-8941-8B4E60980D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C4273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C4273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4273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C42735"/>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C42735"/>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C42735"/>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42735"/>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42735"/>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C42735"/>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42735"/>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C42735"/>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C42735"/>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C42735"/>
    <w:rPr>
      <w:rFonts w:cstheme="majorBidi"/>
      <w:color w:val="0F4761" w:themeColor="accent1" w:themeShade="BF"/>
      <w:sz w:val="28"/>
      <w:szCs w:val="28"/>
    </w:rPr>
  </w:style>
  <w:style w:type="character" w:customStyle="1" w:styleId="50">
    <w:name w:val="标题 5 字符"/>
    <w:basedOn w:val="a0"/>
    <w:link w:val="5"/>
    <w:uiPriority w:val="9"/>
    <w:semiHidden/>
    <w:rsid w:val="00C42735"/>
    <w:rPr>
      <w:rFonts w:cstheme="majorBidi"/>
      <w:color w:val="0F4761" w:themeColor="accent1" w:themeShade="BF"/>
      <w:sz w:val="24"/>
    </w:rPr>
  </w:style>
  <w:style w:type="character" w:customStyle="1" w:styleId="60">
    <w:name w:val="标题 6 字符"/>
    <w:basedOn w:val="a0"/>
    <w:link w:val="6"/>
    <w:uiPriority w:val="9"/>
    <w:semiHidden/>
    <w:rsid w:val="00C42735"/>
    <w:rPr>
      <w:rFonts w:cstheme="majorBidi"/>
      <w:b/>
      <w:bCs/>
      <w:color w:val="0F4761" w:themeColor="accent1" w:themeShade="BF"/>
    </w:rPr>
  </w:style>
  <w:style w:type="character" w:customStyle="1" w:styleId="70">
    <w:name w:val="标题 7 字符"/>
    <w:basedOn w:val="a0"/>
    <w:link w:val="7"/>
    <w:uiPriority w:val="9"/>
    <w:semiHidden/>
    <w:rsid w:val="00C42735"/>
    <w:rPr>
      <w:rFonts w:cstheme="majorBidi"/>
      <w:b/>
      <w:bCs/>
      <w:color w:val="595959" w:themeColor="text1" w:themeTint="A6"/>
    </w:rPr>
  </w:style>
  <w:style w:type="character" w:customStyle="1" w:styleId="80">
    <w:name w:val="标题 8 字符"/>
    <w:basedOn w:val="a0"/>
    <w:link w:val="8"/>
    <w:uiPriority w:val="9"/>
    <w:semiHidden/>
    <w:rsid w:val="00C42735"/>
    <w:rPr>
      <w:rFonts w:cstheme="majorBidi"/>
      <w:color w:val="595959" w:themeColor="text1" w:themeTint="A6"/>
    </w:rPr>
  </w:style>
  <w:style w:type="character" w:customStyle="1" w:styleId="90">
    <w:name w:val="标题 9 字符"/>
    <w:basedOn w:val="a0"/>
    <w:link w:val="9"/>
    <w:uiPriority w:val="9"/>
    <w:semiHidden/>
    <w:rsid w:val="00C42735"/>
    <w:rPr>
      <w:rFonts w:eastAsiaTheme="majorEastAsia" w:cstheme="majorBidi"/>
      <w:color w:val="595959" w:themeColor="text1" w:themeTint="A6"/>
    </w:rPr>
  </w:style>
  <w:style w:type="paragraph" w:styleId="a3">
    <w:name w:val="Title"/>
    <w:basedOn w:val="a"/>
    <w:next w:val="a"/>
    <w:link w:val="a4"/>
    <w:uiPriority w:val="10"/>
    <w:qFormat/>
    <w:rsid w:val="00C4273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4273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4273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4273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42735"/>
    <w:pPr>
      <w:spacing w:before="160"/>
      <w:jc w:val="center"/>
    </w:pPr>
    <w:rPr>
      <w:i/>
      <w:iCs/>
      <w:color w:val="404040" w:themeColor="text1" w:themeTint="BF"/>
    </w:rPr>
  </w:style>
  <w:style w:type="character" w:customStyle="1" w:styleId="a8">
    <w:name w:val="引用 字符"/>
    <w:basedOn w:val="a0"/>
    <w:link w:val="a7"/>
    <w:uiPriority w:val="29"/>
    <w:rsid w:val="00C42735"/>
    <w:rPr>
      <w:i/>
      <w:iCs/>
      <w:color w:val="404040" w:themeColor="text1" w:themeTint="BF"/>
    </w:rPr>
  </w:style>
  <w:style w:type="paragraph" w:styleId="a9">
    <w:name w:val="List Paragraph"/>
    <w:basedOn w:val="a"/>
    <w:uiPriority w:val="34"/>
    <w:qFormat/>
    <w:rsid w:val="00C42735"/>
    <w:pPr>
      <w:ind w:left="720"/>
      <w:contextualSpacing/>
    </w:pPr>
  </w:style>
  <w:style w:type="character" w:styleId="aa">
    <w:name w:val="Intense Emphasis"/>
    <w:basedOn w:val="a0"/>
    <w:uiPriority w:val="21"/>
    <w:qFormat/>
    <w:rsid w:val="00C42735"/>
    <w:rPr>
      <w:i/>
      <w:iCs/>
      <w:color w:val="0F4761" w:themeColor="accent1" w:themeShade="BF"/>
    </w:rPr>
  </w:style>
  <w:style w:type="paragraph" w:styleId="ab">
    <w:name w:val="Intense Quote"/>
    <w:basedOn w:val="a"/>
    <w:next w:val="a"/>
    <w:link w:val="ac"/>
    <w:uiPriority w:val="30"/>
    <w:qFormat/>
    <w:rsid w:val="00C427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42735"/>
    <w:rPr>
      <w:i/>
      <w:iCs/>
      <w:color w:val="0F4761" w:themeColor="accent1" w:themeShade="BF"/>
    </w:rPr>
  </w:style>
  <w:style w:type="character" w:styleId="ad">
    <w:name w:val="Intense Reference"/>
    <w:basedOn w:val="a0"/>
    <w:uiPriority w:val="32"/>
    <w:qFormat/>
    <w:rsid w:val="00C4273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4632</TotalTime>
  <Pages>1</Pages>
  <Words>620</Words>
  <Characters>1377</Characters>
  <Application>Microsoft Office Word</Application>
  <DocSecurity>0</DocSecurity>
  <Lines>40</Lines>
  <Paragraphs>17</Paragraphs>
  <ScaleCrop>false</ScaleCrop>
  <Company/>
  <LinksUpToDate>false</LinksUpToDate>
  <CharactersWithSpaces>1980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Edward Wang</dc:creator>
  <cp:keywords/>
  <dc:description/>
  <cp:lastModifiedBy>Edward Wang</cp:lastModifiedBy>
  <cp:revision>3</cp:revision>
  <dcterms:created xsi:type="dcterms:W3CDTF">2026-09-03T05:14:00Z</dcterms:created>
  <dcterms:modified xsi:type="dcterms:W3CDTF">2026-09-24T16:36:00Z</dcterms:modified>
</cp:coreProperties>
</file>