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D6932" w14:textId="77777777" w:rsidR="007B3059" w:rsidRPr="007B3059" w:rsidRDefault="007B3059" w:rsidP="007B3059">
      <w:pPr>
        <w:rPr>
          <w:b/>
          <w:bCs/>
        </w:rPr>
      </w:pPr>
      <w:r w:rsidRPr="007B3059">
        <w:rPr>
          <w:b/>
          <w:bCs/>
        </w:rPr>
        <w:t>GARCH Volatility Analysis of Global Equity Indices</w:t>
      </w:r>
    </w:p>
    <w:p w14:paraId="4FE965ED" w14:textId="77777777" w:rsidR="007B3059" w:rsidRPr="007B3059" w:rsidRDefault="007B3059" w:rsidP="007B3059">
      <w:r w:rsidRPr="007B3059">
        <w:t xml:space="preserve">This project estimates </w:t>
      </w:r>
      <w:proofErr w:type="gramStart"/>
      <w:r w:rsidRPr="007B3059">
        <w:t>GARCH(</w:t>
      </w:r>
      <w:proofErr w:type="gramEnd"/>
      <w:r w:rsidRPr="007B3059">
        <w:t>1,1) volatility models for the S&amp;P 500, EURO STOXX 50, Nikkei 225, and FTSE 100 using daily data from 2007 to 2026. The goal is to compare volatility dynamics across regions and evaluate whether fat-tailed innovations improve model fit.</w:t>
      </w:r>
    </w:p>
    <w:p w14:paraId="47F808DE" w14:textId="77777777" w:rsidR="007B3059" w:rsidRPr="007B3059" w:rsidRDefault="007B3059" w:rsidP="007B3059">
      <w:pPr>
        <w:rPr>
          <w:b/>
          <w:bCs/>
        </w:rPr>
      </w:pPr>
      <w:r w:rsidRPr="007B3059">
        <w:rPr>
          <w:b/>
          <w:bCs/>
        </w:rPr>
        <w:t>Methodology</w:t>
      </w:r>
    </w:p>
    <w:p w14:paraId="11790957" w14:textId="77777777" w:rsidR="007B3059" w:rsidRPr="007B3059" w:rsidRDefault="007B3059" w:rsidP="007B3059">
      <w:r w:rsidRPr="007B3059">
        <w:t xml:space="preserve">Adjusted close prices were downloaded from Yahoo Finance, and log returns were computed and scaled by 100. Exploratory analysis confirmed volatility clustering and fat tails (excess kurtosis 8–11). </w:t>
      </w:r>
      <w:proofErr w:type="gramStart"/>
      <w:r w:rsidRPr="007B3059">
        <w:t>GARCH(</w:t>
      </w:r>
      <w:proofErr w:type="gramEnd"/>
      <w:r w:rsidRPr="007B3059">
        <w:t>1,1) models were then estimated via Maximum Likelihood with both Normal and Student-t innovations.</w:t>
      </w:r>
    </w:p>
    <w:p w14:paraId="6B67F62A" w14:textId="77777777" w:rsidR="007B3059" w:rsidRPr="007B3059" w:rsidRDefault="007B3059" w:rsidP="007B3059">
      <w:pPr>
        <w:rPr>
          <w:b/>
          <w:bCs/>
        </w:rPr>
      </w:pPr>
      <w:r w:rsidRPr="007B3059">
        <w:rPr>
          <w:b/>
          <w:bCs/>
        </w:rPr>
        <w:t>Key Findings</w:t>
      </w:r>
    </w:p>
    <w:p w14:paraId="0E5BA5DE" w14:textId="4F347426" w:rsidR="007B3059" w:rsidRPr="007B3059" w:rsidRDefault="007B3059" w:rsidP="007B3059">
      <w:pPr>
        <w:numPr>
          <w:ilvl w:val="0"/>
          <w:numId w:val="1"/>
        </w:numPr>
      </w:pPr>
      <w:r w:rsidRPr="007B3059">
        <w:rPr>
          <w:b/>
          <w:bCs/>
        </w:rPr>
        <w:t>Persistence is high across all markets.</w:t>
      </w:r>
      <w:r w:rsidRPr="007B3059">
        <w:t xml:space="preserve"> </w:t>
      </w:r>
      <m:oMath>
        <m:r>
          <w:rPr>
            <w:rFonts w:ascii="Cambria Math" w:hAnsi="Cambria Math"/>
          </w:rPr>
          <m:t>α+β</m:t>
        </m:r>
      </m:oMath>
      <w:r w:rsidRPr="007B3059">
        <w:t>ranges from 0.968 (Nikkei) to 0.978 (EURO STOXX 50), implying half-lives of 21 to 31 trading days.</w:t>
      </w:r>
    </w:p>
    <w:p w14:paraId="6CF6EBD2" w14:textId="77777777" w:rsidR="007B3059" w:rsidRPr="007B3059" w:rsidRDefault="007B3059" w:rsidP="007B3059">
      <w:pPr>
        <w:numPr>
          <w:ilvl w:val="0"/>
          <w:numId w:val="1"/>
        </w:numPr>
      </w:pPr>
      <w:r w:rsidRPr="007B3059">
        <w:rPr>
          <w:b/>
          <w:bCs/>
        </w:rPr>
        <w:t>Fat tails are severe.</w:t>
      </w:r>
      <w:r w:rsidRPr="007B3059">
        <w:t xml:space="preserve"> Excess kurtosis of 8–11 is far above the Normal benchmark of zero. </w:t>
      </w:r>
      <w:proofErr w:type="gramStart"/>
      <w:r w:rsidRPr="007B3059">
        <w:t>The Normal</w:t>
      </w:r>
      <w:proofErr w:type="gramEnd"/>
      <w:r w:rsidRPr="007B3059">
        <w:t xml:space="preserve"> distribution cannot explain these extremes.</w:t>
      </w:r>
    </w:p>
    <w:p w14:paraId="57C1BDA4" w14:textId="2928C9AA" w:rsidR="007B3059" w:rsidRPr="007B3059" w:rsidRDefault="007B3059" w:rsidP="007B3059">
      <w:pPr>
        <w:numPr>
          <w:ilvl w:val="0"/>
          <w:numId w:val="1"/>
        </w:numPr>
      </w:pPr>
      <w:r w:rsidRPr="007B3059">
        <w:rPr>
          <w:b/>
          <w:bCs/>
        </w:rPr>
        <w:t>Student-t is decisively superior.</w:t>
      </w:r>
      <w:r w:rsidRPr="007B3059">
        <w:t xml:space="preserve"> AIC drops by 180–334 points across all indices. Estimated degrees of freedom </w:t>
      </w:r>
      <m:oMath>
        <m:r>
          <w:rPr>
            <w:rFonts w:ascii="Cambria Math" w:hAnsi="Cambria Math"/>
          </w:rPr>
          <m:t>ν</m:t>
        </m:r>
      </m:oMath>
      <w:r w:rsidRPr="007B3059">
        <w:t>range from 5.03 (S&amp;P 500) to 6.67 (Nikkei), confirming that the S&amp;P 500 has the fattest relative tails.</w:t>
      </w:r>
    </w:p>
    <w:p w14:paraId="3E951B37" w14:textId="77777777" w:rsidR="007B3059" w:rsidRPr="007B3059" w:rsidRDefault="007B3059" w:rsidP="007B3059">
      <w:pPr>
        <w:numPr>
          <w:ilvl w:val="0"/>
          <w:numId w:val="1"/>
        </w:numPr>
      </w:pPr>
      <w:r w:rsidRPr="007B3059">
        <w:rPr>
          <w:b/>
          <w:bCs/>
        </w:rPr>
        <w:t>Regional differences matter.</w:t>
      </w:r>
      <w:r w:rsidRPr="007B3059">
        <w:t xml:space="preserve"> The Nikkei 225 has the highest absolute volatility, driven by currency risk and central bank policy. The EURO STOXX 50 has the highest persistence, reflecting Europe's slow political resolution of crises. The S&amp;P 500 is the most reactive to daily shocks.</w:t>
      </w:r>
    </w:p>
    <w:p w14:paraId="7941D043" w14:textId="77777777" w:rsidR="007B3059" w:rsidRPr="007B3059" w:rsidRDefault="007B3059" w:rsidP="007B3059">
      <w:pPr>
        <w:rPr>
          <w:b/>
          <w:bCs/>
        </w:rPr>
      </w:pPr>
      <w:r w:rsidRPr="007B3059">
        <w:rPr>
          <w:b/>
          <w:bCs/>
        </w:rPr>
        <w:t>Limitations</w:t>
      </w:r>
    </w:p>
    <w:p w14:paraId="6CDF9EE3" w14:textId="77777777" w:rsidR="007B3059" w:rsidRPr="007B3059" w:rsidRDefault="007B3059" w:rsidP="007B3059">
      <w:r w:rsidRPr="007B3059">
        <w:t>The analysis is primarily in-sample. A stronger forecasting project would include chronological out-of-sample validation and comparison against simple baselines. The Nikkei's residual diagnostics also suggest that an asymmetric model (GJR-GARCH or EGARCH) could capture additional structure.</w:t>
      </w:r>
    </w:p>
    <w:p w14:paraId="59DF50BE" w14:textId="77777777" w:rsidR="007B3059" w:rsidRPr="007B3059" w:rsidRDefault="007B3059" w:rsidP="007B3059">
      <w:pPr>
        <w:rPr>
          <w:b/>
          <w:bCs/>
        </w:rPr>
      </w:pPr>
      <w:r w:rsidRPr="007B3059">
        <w:rPr>
          <w:b/>
          <w:bCs/>
        </w:rPr>
        <w:t>Conclusion</w:t>
      </w:r>
    </w:p>
    <w:p w14:paraId="6729609D" w14:textId="77777777" w:rsidR="007B3059" w:rsidRPr="007B3059" w:rsidRDefault="007B3059" w:rsidP="007B3059">
      <w:r w:rsidRPr="007B3059">
        <w:t xml:space="preserve">Global equity markets share highly persistent, fat-tailed volatility. Normal GARCH systematically underestimates tail risk; Student-t is the appropriate model. These findings have direct applications in </w:t>
      </w:r>
      <w:proofErr w:type="spellStart"/>
      <w:r w:rsidRPr="007B3059">
        <w:t>VaR</w:t>
      </w:r>
      <w:proofErr w:type="spellEnd"/>
      <w:r w:rsidRPr="007B3059">
        <w:t>, portfolio allocation, and derivatives pricing.</w:t>
      </w:r>
    </w:p>
    <w:p w14:paraId="3DF32E35" w14:textId="77777777" w:rsidR="00572B40" w:rsidRPr="007B3059" w:rsidRDefault="00572B40"/>
    <w:sectPr w:rsidR="00572B40" w:rsidRPr="007B305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27A62"/>
    <w:multiLevelType w:val="multilevel"/>
    <w:tmpl w:val="C4882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9639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059"/>
    <w:rsid w:val="002A289C"/>
    <w:rsid w:val="00572B40"/>
    <w:rsid w:val="007B3059"/>
    <w:rsid w:val="007C7108"/>
    <w:rsid w:val="00E77B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25EAD"/>
  <w15:chartTrackingRefBased/>
  <w15:docId w15:val="{1859F632-D501-4235-928E-1680F7C97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B305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7B305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7B305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B305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B3059"/>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B3059"/>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B3059"/>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B3059"/>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B3059"/>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B305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7B305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7B305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B3059"/>
    <w:rPr>
      <w:rFonts w:cstheme="majorBidi"/>
      <w:color w:val="0F4761" w:themeColor="accent1" w:themeShade="BF"/>
      <w:sz w:val="28"/>
      <w:szCs w:val="28"/>
    </w:rPr>
  </w:style>
  <w:style w:type="character" w:customStyle="1" w:styleId="50">
    <w:name w:val="标题 5 字符"/>
    <w:basedOn w:val="a0"/>
    <w:link w:val="5"/>
    <w:uiPriority w:val="9"/>
    <w:semiHidden/>
    <w:rsid w:val="007B3059"/>
    <w:rPr>
      <w:rFonts w:cstheme="majorBidi"/>
      <w:color w:val="0F4761" w:themeColor="accent1" w:themeShade="BF"/>
      <w:sz w:val="24"/>
    </w:rPr>
  </w:style>
  <w:style w:type="character" w:customStyle="1" w:styleId="60">
    <w:name w:val="标题 6 字符"/>
    <w:basedOn w:val="a0"/>
    <w:link w:val="6"/>
    <w:uiPriority w:val="9"/>
    <w:semiHidden/>
    <w:rsid w:val="007B3059"/>
    <w:rPr>
      <w:rFonts w:cstheme="majorBidi"/>
      <w:b/>
      <w:bCs/>
      <w:color w:val="0F4761" w:themeColor="accent1" w:themeShade="BF"/>
    </w:rPr>
  </w:style>
  <w:style w:type="character" w:customStyle="1" w:styleId="70">
    <w:name w:val="标题 7 字符"/>
    <w:basedOn w:val="a0"/>
    <w:link w:val="7"/>
    <w:uiPriority w:val="9"/>
    <w:semiHidden/>
    <w:rsid w:val="007B3059"/>
    <w:rPr>
      <w:rFonts w:cstheme="majorBidi"/>
      <w:b/>
      <w:bCs/>
      <w:color w:val="595959" w:themeColor="text1" w:themeTint="A6"/>
    </w:rPr>
  </w:style>
  <w:style w:type="character" w:customStyle="1" w:styleId="80">
    <w:name w:val="标题 8 字符"/>
    <w:basedOn w:val="a0"/>
    <w:link w:val="8"/>
    <w:uiPriority w:val="9"/>
    <w:semiHidden/>
    <w:rsid w:val="007B3059"/>
    <w:rPr>
      <w:rFonts w:cstheme="majorBidi"/>
      <w:color w:val="595959" w:themeColor="text1" w:themeTint="A6"/>
    </w:rPr>
  </w:style>
  <w:style w:type="character" w:customStyle="1" w:styleId="90">
    <w:name w:val="标题 9 字符"/>
    <w:basedOn w:val="a0"/>
    <w:link w:val="9"/>
    <w:uiPriority w:val="9"/>
    <w:semiHidden/>
    <w:rsid w:val="007B3059"/>
    <w:rPr>
      <w:rFonts w:eastAsiaTheme="majorEastAsia" w:cstheme="majorBidi"/>
      <w:color w:val="595959" w:themeColor="text1" w:themeTint="A6"/>
    </w:rPr>
  </w:style>
  <w:style w:type="paragraph" w:styleId="a3">
    <w:name w:val="Title"/>
    <w:basedOn w:val="a"/>
    <w:next w:val="a"/>
    <w:link w:val="a4"/>
    <w:uiPriority w:val="10"/>
    <w:qFormat/>
    <w:rsid w:val="007B3059"/>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B30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B305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B30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B3059"/>
    <w:pPr>
      <w:spacing w:before="160"/>
      <w:jc w:val="center"/>
    </w:pPr>
    <w:rPr>
      <w:i/>
      <w:iCs/>
      <w:color w:val="404040" w:themeColor="text1" w:themeTint="BF"/>
    </w:rPr>
  </w:style>
  <w:style w:type="character" w:customStyle="1" w:styleId="a8">
    <w:name w:val="引用 字符"/>
    <w:basedOn w:val="a0"/>
    <w:link w:val="a7"/>
    <w:uiPriority w:val="29"/>
    <w:rsid w:val="007B3059"/>
    <w:rPr>
      <w:i/>
      <w:iCs/>
      <w:color w:val="404040" w:themeColor="text1" w:themeTint="BF"/>
    </w:rPr>
  </w:style>
  <w:style w:type="paragraph" w:styleId="a9">
    <w:name w:val="List Paragraph"/>
    <w:basedOn w:val="a"/>
    <w:uiPriority w:val="34"/>
    <w:qFormat/>
    <w:rsid w:val="007B3059"/>
    <w:pPr>
      <w:ind w:left="720"/>
      <w:contextualSpacing/>
    </w:pPr>
  </w:style>
  <w:style w:type="character" w:styleId="aa">
    <w:name w:val="Intense Emphasis"/>
    <w:basedOn w:val="a0"/>
    <w:uiPriority w:val="21"/>
    <w:qFormat/>
    <w:rsid w:val="007B3059"/>
    <w:rPr>
      <w:i/>
      <w:iCs/>
      <w:color w:val="0F4761" w:themeColor="accent1" w:themeShade="BF"/>
    </w:rPr>
  </w:style>
  <w:style w:type="paragraph" w:styleId="ab">
    <w:name w:val="Intense Quote"/>
    <w:basedOn w:val="a"/>
    <w:next w:val="a"/>
    <w:link w:val="ac"/>
    <w:uiPriority w:val="30"/>
    <w:qFormat/>
    <w:rsid w:val="007B3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B3059"/>
    <w:rPr>
      <w:i/>
      <w:iCs/>
      <w:color w:val="0F4761" w:themeColor="accent1" w:themeShade="BF"/>
    </w:rPr>
  </w:style>
  <w:style w:type="character" w:styleId="ad">
    <w:name w:val="Intense Reference"/>
    <w:basedOn w:val="a0"/>
    <w:uiPriority w:val="32"/>
    <w:qFormat/>
    <w:rsid w:val="007B30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622</Words>
  <Characters>1383</Characters>
  <Application>Microsoft Office Word</Application>
  <DocSecurity>0</DocSecurity>
  <Lines>40</Lines>
  <Paragraphs>17</Paragraphs>
  <ScaleCrop>false</ScaleCrop>
  <Company/>
  <LinksUpToDate>false</LinksUpToDate>
  <CharactersWithSpaces>1988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Wang</dc:creator>
  <cp:keywords/>
  <dc:description/>
  <cp:lastModifiedBy>Edward Wang</cp:lastModifiedBy>
  <cp:revision>1</cp:revision>
  <dcterms:created xsi:type="dcterms:W3CDTF">2026-09-24T16:41:00Z</dcterms:created>
  <dcterms:modified xsi:type="dcterms:W3CDTF">2026-09-24T16:42:00Z</dcterms:modified>
</cp:coreProperties>
</file>