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40"/>
        <w:jc w:val="left"/>
      </w:pPr>
      <w:r>
        <w:rPr>
          <w:rFonts w:ascii="Calibri" w:cs="Calibri" w:eastAsia="Calibri" w:hAnsi="Calibri"/>
          <w:b/>
          <w:bCs/>
          <w:color w:val="1A2332"/>
          <w:sz w:val="52"/>
          <w:szCs w:val="52"/>
        </w:rPr>
        <w:t xml:space="preserve">Resource &amp; Traffic Management Platform</w:t>
      </w:r>
    </w:p>
    <w:p>
      <w:pPr>
        <w:spacing w:after="300"/>
        <w:jc w:val="left"/>
      </w:pPr>
      <w:r>
        <w:rPr>
          <w:rFonts w:ascii="Calibri" w:cs="Calibri" w:eastAsia="Calibri" w:hAnsi="Calibri"/>
          <w:color w:val="2C5F7C"/>
          <w:sz w:val="30"/>
          <w:szCs w:val="30"/>
        </w:rPr>
        <w:t xml:space="preserve">Design Document — Fifteenth Draft</w:t>
      </w:r>
    </w:p>
    <w:p>
      <w:pPr>
        <w:pBdr>
          <w:top w:val="single" w:color="2C5F7C" w:sz="12"/>
        </w:pBdr>
        <w:spacing w:after="220"/>
      </w:pPr>
    </w:p>
    <w:p>
      <w:pPr>
        <w:spacing w:after="60"/>
      </w:pPr>
      <w:r>
        <w:rPr>
          <w:rFonts w:ascii="Calibri" w:cs="Calibri" w:eastAsia="Calibri" w:hAnsi="Calibri"/>
          <w:i/>
          <w:iCs/>
          <w:color w:val="5A6472"/>
          <w:sz w:val="22"/>
          <w:szCs w:val="22"/>
        </w:rPr>
        <w:t xml:space="preserve">A system to enforce discipline and accountability — built on resource-first scheduling, with SLAs, time and billing, and approval workflows. Designed for internal use with a path to commercialization.</w:t>
      </w:r>
    </w:p>
    <w:p>
      <w:pPr>
        <w:spacing w:after="40" w:before="400"/>
      </w:pPr>
      <w:r>
        <w:rPr>
          <w:rFonts w:ascii="Calibri" w:cs="Calibri" w:eastAsia="Calibri" w:hAnsi="Calibri"/>
          <w:color w:val="5A6472"/>
          <w:sz w:val="20"/>
          <w:szCs w:val="20"/>
        </w:rPr>
        <w:t xml:space="preserve">Status: Working draft for review and iteration</w:t>
      </w:r>
    </w:p>
    <w:p>
      <w:pPr>
        <w:spacing w:after="40"/>
      </w:pPr>
      <w:r>
        <w:rPr>
          <w:rFonts w:ascii="Calibri" w:cs="Calibri" w:eastAsia="Calibri" w:hAnsi="Calibri"/>
          <w:color w:val="5A6472"/>
          <w:sz w:val="20"/>
          <w:szCs w:val="20"/>
        </w:rPr>
        <w:t xml:space="preserve">Scope: Architecture, data model direction, differentiators, and open decisions</w:t>
      </w:r>
    </w:p>
    <w:p>
      <w:r>
        <w:rPr>
          <w:rFonts w:ascii="Calibri" w:cs="Calibri" w:eastAsia="Calibri" w:hAnsi="Calibri"/>
          <w:color w:val="5A6472"/>
          <w:sz w:val="20"/>
          <w:szCs w:val="20"/>
        </w:rPr>
        <w:t xml:space="preserve">This document captures decisions reached during design discussion. Items marked OPEN are deliberately unresolved and flagged for follow-up.</w:t>
      </w:r>
    </w:p>
    <w:p>
      <w:r>
        <w:br w:type="page"/>
      </w:r>
    </w:p>
    <w:p>
      <w:pPr>
        <w:spacing w:after="160"/>
      </w:pPr>
      <w:r>
        <w:rPr>
          <w:rFonts w:ascii="Calibri" w:cs="Calibri" w:eastAsia="Calibri" w:hAnsi="Calibri"/>
          <w:b/>
          <w:bCs/>
          <w:color w:val="1A2332"/>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Calibri" w:cs="Calibri" w:eastAsia="Calibri" w:hAnsi="Calibri"/>
          <w:b/>
          <w:bCs/>
          <w:color w:val="1A2332"/>
          <w:sz w:val="30"/>
          <w:szCs w:val="30"/>
        </w:rPr>
        <w:t xml:space="preserve">1. Overview &amp; Purpose</w:t>
      </w:r>
    </w:p>
    <w:tbl>
      <w:tblPr>
        <w:tblW w:type="dxa" w:w="9360"/>
        <w:tblBorders>
          <w:top w:val="single" w:color="EEF2F5" w:sz="2"/>
          <w:left w:val="single" w:color="2C5F7C" w:sz="24"/>
          <w:bottom w:val="single" w:color="EEF2F5" w:sz="2"/>
          <w:right w:val="single" w:color="EEF2F5" w:sz="2"/>
          <w:insideH w:val="none"/>
          <w:insideV w:val="none"/>
        </w:tblBorders>
      </w:tblPr>
      <w:tblGrid>
        <w:gridCol w:w="9360"/>
      </w:tblGrid>
      <w:tr>
        <w:tc>
          <w:tcPr>
            <w:tcW w:type="dxa" w:w="9360"/>
            <w:shd w:fill="EEF2F5" w:val="clear"/>
            <w:tcMar>
              <w:top w:type="dxa" w:w="120"/>
              <w:left w:type="dxa" w:w="200"/>
              <w:bottom w:type="dxa" w:w="120"/>
              <w:right w:type="dxa" w:w="200"/>
            </w:tcMar>
          </w:tcPr>
          <w:p>
            <w:pPr>
              <w:spacing w:after="60"/>
            </w:pPr>
            <w:r>
              <w:rPr>
                <w:rFonts w:ascii="Calibri" w:cs="Calibri" w:eastAsia="Calibri" w:hAnsi="Calibri"/>
                <w:b/>
                <w:bCs/>
                <w:caps/>
                <w:color w:val="2C5F7C"/>
                <w:sz w:val="20"/>
                <w:szCs w:val="20"/>
              </w:rPr>
              <w:t xml:space="preserve">Product identity</w:t>
            </w:r>
          </w:p>
          <w:p>
            <w:pPr>
              <w:spacing w:after="120" w:line="276"/>
            </w:pPr>
            <w:r>
              <w:rPr>
                <w:rFonts w:ascii="Calibri" w:cs="Calibri" w:eastAsia="Calibri" w:hAnsi="Calibri"/>
                <w:color w:val="1A2332"/>
                <w:sz w:val="21"/>
                <w:szCs w:val="21"/>
              </w:rPr>
              <w:t xml:space="preserve">This is a system to enforce discipline and accountability. Scheduling is the substrate the accountability runs on, not the headline. The reason to book resources against SLAs, attributable clocks, and performance linkage is to make commitments visible and enforced rather than aspirational.</w:t>
            </w:r>
          </w:p>
        </w:tc>
      </w:tr>
    </w:tbl>
    <w:p>
      <w:pPr>
        <w:spacing w:after="100"/>
      </w:pPr>
    </w:p>
    <w:p>
      <w:pPr>
        <w:spacing w:after="120" w:line="276"/>
      </w:pPr>
      <w:r>
        <w:rPr>
          <w:rFonts w:ascii="Calibri" w:cs="Calibri" w:eastAsia="Calibri" w:hAnsi="Calibri"/>
          <w:color w:val="1A2332"/>
          <w:sz w:val="21"/>
          <w:szCs w:val="21"/>
        </w:rPr>
        <w:t xml:space="preserve">This platform manages the booking, scheduling, and utilization of resources — both human and non-human — together with approval workflows, service-level commitments, time tracking, and billing. It is conceived as a bespoke alternative to off-the-shelf tools such as Resource Guru, whose per-resource pricing model and limited custom functionality do not fit the intended use. But the ambition is different in kind: existing tools answer "who is available and what are they booked on?" This platform also answers "did the committed work get delivered on time, whose responsibility if not, and what does that mean for how people are measured?"</w:t>
      </w:r>
    </w:p>
    <w:p>
      <w:pPr>
        <w:spacing w:after="120" w:line="276"/>
      </w:pPr>
      <w:r>
        <w:rPr>
          <w:rFonts w:ascii="Calibri" w:cs="Calibri" w:eastAsia="Calibri" w:hAnsi="Calibri"/>
          <w:color w:val="1A2332"/>
          <w:sz w:val="21"/>
          <w:szCs w:val="21"/>
        </w:rPr>
        <w:t xml:space="preserve">The platform is built primarily for </w:t>
      </w:r>
      <w:r>
        <w:rPr>
          <w:rFonts w:ascii="Calibri" w:cs="Calibri" w:eastAsia="Calibri" w:hAnsi="Calibri"/>
          <w:b/>
          <w:bCs/>
          <w:color w:val="1A2332"/>
          <w:sz w:val="21"/>
          <w:szCs w:val="21"/>
        </w:rPr>
        <w:t xml:space="preserve">Meridian</w:t>
      </w:r>
      <w:r>
        <w:rPr>
          <w:rFonts w:ascii="Calibri" w:cs="Calibri" w:eastAsia="Calibri" w:hAnsi="Calibri"/>
          <w:color w:val="1A2332"/>
          <w:sz w:val="21"/>
          <w:szCs w:val="21"/>
        </w:rPr>
        <w:t xml:space="preserve">, a creative and marketing agency (offices in Baghdad, Dubai and Cairo; bilingual English/Arabic). Meridian operates within </w:t>
      </w:r>
      <w:r>
        <w:rPr>
          <w:rFonts w:ascii="Calibri" w:cs="Calibri" w:eastAsia="Calibri" w:hAnsi="Calibri"/>
          <w:b/>
          <w:bCs/>
          <w:color w:val="1A2332"/>
          <w:sz w:val="21"/>
          <w:szCs w:val="21"/>
        </w:rPr>
        <w:t xml:space="preserve">Kite Group</w:t>
      </w:r>
      <w:r>
        <w:rPr>
          <w:rFonts w:ascii="Calibri" w:cs="Calibri" w:eastAsia="Calibri" w:hAnsi="Calibri"/>
          <w:color w:val="1A2332"/>
          <w:sz w:val="21"/>
          <w:szCs w:val="21"/>
        </w:rPr>
        <w:t xml:space="preserve">, a large conglomerate spanning payments, logistics, e-commerce, media, insurance and more. Meridian does marketing work for Kite sibling companies — most as clients, and one or two as peer tenants collaborating on shared workload. This real structure grounds the multi-tenancy and collaboration model (Section 10) and confirms the bilingual/RTL and multi-office requirements.</w:t>
      </w:r>
    </w:p>
    <w:p>
      <w:pPr>
        <w:spacing w:after="120" w:line="276"/>
      </w:pPr>
      <w:r>
        <w:rPr>
          <w:rFonts w:ascii="Calibri" w:cs="Calibri" w:eastAsia="Calibri" w:hAnsi="Calibri"/>
          <w:color w:val="1A2332"/>
          <w:sz w:val="21"/>
          <w:szCs w:val="21"/>
        </w:rPr>
        <w:t xml:space="preserve">Two constraints drive the decision to build rather than buy: </w:t>
      </w:r>
      <w:r>
        <w:rPr>
          <w:rFonts w:ascii="Calibri" w:cs="Calibri" w:eastAsia="Calibri" w:hAnsi="Calibri"/>
          <w:b/>
          <w:bCs/>
          <w:color w:val="1A2332"/>
          <w:sz w:val="21"/>
          <w:szCs w:val="21"/>
        </w:rPr>
        <w:t xml:space="preserve">cost at scale</w:t>
      </w:r>
      <w:r>
        <w:rPr>
          <w:rFonts w:ascii="Calibri" w:cs="Calibri" w:eastAsia="Calibri" w:hAnsi="Calibri"/>
          <w:color w:val="1A2332"/>
          <w:sz w:val="21"/>
          <w:szCs w:val="21"/>
        </w:rPr>
        <w:t xml:space="preserve"> — per-resource pricing grows with inventory rather than usage, which penalizes a large resource pool served by a small number of actual users — and </w:t>
      </w:r>
      <w:r>
        <w:rPr>
          <w:rFonts w:ascii="Calibri" w:cs="Calibri" w:eastAsia="Calibri" w:hAnsi="Calibri"/>
          <w:b/>
          <w:bCs/>
          <w:color w:val="1A2332"/>
          <w:sz w:val="21"/>
          <w:szCs w:val="21"/>
        </w:rPr>
        <w:t xml:space="preserve">custom functionality</w:t>
      </w:r>
      <w:r>
        <w:rPr>
          <w:rFonts w:ascii="Calibri" w:cs="Calibri" w:eastAsia="Calibri" w:hAnsi="Calibri"/>
          <w:color w:val="1A2332"/>
          <w:sz w:val="21"/>
          <w:szCs w:val="21"/>
        </w:rPr>
        <w:t xml:space="preserve"> — the SLA, capacity, and accountability logic required here has no equivalent in existing products.</w:t>
      </w:r>
    </w:p>
    <w:p>
      <w:pPr>
        <w:spacing w:after="120" w:line="276"/>
      </w:pPr>
      <w:r>
        <w:rPr>
          <w:rFonts w:ascii="Calibri" w:cs="Calibri" w:eastAsia="Calibri" w:hAnsi="Calibri"/>
          <w:color w:val="1A2332"/>
          <w:sz w:val="21"/>
          <w:szCs w:val="21"/>
        </w:rPr>
        <w:t xml:space="preserve">A bespoke build has near-zero marginal cost per resource, which inverts the economics in the platform's favor as the resource count grows. Commercialization is a stated future possibility, which shapes several architectural decisions in this document — most importantly multi-tenancy and a strict avoidance of copyleft-licensed source code as a foundation.</w:t>
      </w:r>
    </w:p>
    <w:p>
      <w:pPr>
        <w:pStyle w:val="Heading2"/>
        <w:spacing w:after="100" w:before="240"/>
      </w:pPr>
      <w:r>
        <w:rPr>
          <w:rFonts w:ascii="Calibri" w:cs="Calibri" w:eastAsia="Calibri" w:hAnsi="Calibri"/>
          <w:b/>
          <w:bCs/>
          <w:color w:val="2C5F7C"/>
          <w:sz w:val="25"/>
          <w:szCs w:val="25"/>
        </w:rPr>
        <w:t xml:space="preserve">1.1 What makes this hard</w:t>
      </w:r>
    </w:p>
    <w:p>
      <w:pPr>
        <w:spacing w:after="120" w:line="276"/>
      </w:pPr>
      <w:r>
        <w:rPr>
          <w:rFonts w:ascii="Calibri" w:cs="Calibri" w:eastAsia="Calibri" w:hAnsi="Calibri"/>
          <w:color w:val="1A2332"/>
          <w:sz w:val="21"/>
          <w:szCs w:val="21"/>
        </w:rPr>
        <w:t xml:space="preserve">The platform carries genuine underlying complexity — fractional human capacity, categorized SLAs, several distinct accountability models, approval routing, and multi-tenancy. The central design challenge is not implementing any one of these; it is keeping all of them out of any individual user's way. This tension is resolved by two ideas in Section 2: complexity lives in the engine, and each user sees only their role's slice of the system.</w:t>
      </w:r>
    </w:p>
    <w:p>
      <w:pPr>
        <w:spacing w:after="120" w:line="276"/>
      </w:pPr>
      <w:r>
        <w:rPr>
          <w:rFonts w:ascii="Calibri" w:cs="Calibri" w:eastAsia="Calibri" w:hAnsi="Calibri"/>
          <w:color w:val="1A2332"/>
          <w:sz w:val="21"/>
          <w:szCs w:val="21"/>
        </w:rPr>
        <w:t xml:space="preserve">A consequence of the accountability-first identity: the accountability engine is the spine, not a later bolt-on. A version that did only scheduling, capacity, and billing would not yet do the thing this platform exists to do — it would be a rebuilt Resource Guru. The scheduling layer may ship first for practical reasons (see Section 12), but the schema assumes accountability from day one.</w:t>
      </w:r>
    </w:p>
    <w:p>
      <w:pPr>
        <w:pStyle w:val="Heading1"/>
        <w:spacing w:after="140" w:before="360"/>
      </w:pPr>
      <w:r>
        <w:rPr>
          <w:rFonts w:ascii="Calibri" w:cs="Calibri" w:eastAsia="Calibri" w:hAnsi="Calibri"/>
          <w:b/>
          <w:bCs/>
          <w:color w:val="1A2332"/>
          <w:sz w:val="30"/>
          <w:szCs w:val="30"/>
        </w:rPr>
        <w:t xml:space="preserve">2. Governing Design Principles</w:t>
      </w:r>
    </w:p>
    <w:p>
      <w:pPr>
        <w:spacing w:after="120" w:line="276"/>
      </w:pPr>
      <w:r>
        <w:rPr>
          <w:rFonts w:ascii="Calibri" w:cs="Calibri" w:eastAsia="Calibri" w:hAnsi="Calibri"/>
          <w:color w:val="1A2332"/>
          <w:sz w:val="21"/>
          <w:szCs w:val="21"/>
        </w:rPr>
        <w:t xml:space="preserve">These principles apply to every feature in this document. Each feature specification must demonstrate compliance through an explicit Surface vs. Engine split (see Section 2.3), written per role.</w:t>
      </w:r>
    </w:p>
    <w:p>
      <w:pPr>
        <w:pStyle w:val="Heading2"/>
        <w:spacing w:after="100" w:before="240"/>
      </w:pPr>
      <w:r>
        <w:rPr>
          <w:rFonts w:ascii="Calibri" w:cs="Calibri" w:eastAsia="Calibri" w:hAnsi="Calibri"/>
          <w:b/>
          <w:bCs/>
          <w:color w:val="2C5F7C"/>
          <w:sz w:val="25"/>
          <w:szCs w:val="25"/>
        </w:rPr>
        <w:t xml:space="preserve">2.1 The two ideas that make a complex system simple</w:t>
      </w:r>
    </w:p>
    <w:tbl>
      <w:tblPr>
        <w:tblW w:type="dxa" w:w="9360"/>
        <w:tblBorders>
          <w:top w:val="single" w:color="EEF2F5" w:sz="2"/>
          <w:left w:val="single" w:color="2C5F7C" w:sz="24"/>
          <w:bottom w:val="single" w:color="EEF2F5" w:sz="2"/>
          <w:right w:val="single" w:color="EEF2F5" w:sz="2"/>
          <w:insideH w:val="none"/>
          <w:insideV w:val="none"/>
        </w:tblBorders>
      </w:tblPr>
      <w:tblGrid>
        <w:gridCol w:w="9360"/>
      </w:tblGrid>
      <w:tr>
        <w:tc>
          <w:tcPr>
            <w:tcW w:type="dxa" w:w="9360"/>
            <w:shd w:fill="EEF2F5" w:val="clear"/>
            <w:tcMar>
              <w:top w:type="dxa" w:w="120"/>
              <w:left w:type="dxa" w:w="200"/>
              <w:bottom w:type="dxa" w:w="120"/>
              <w:right w:type="dxa" w:w="200"/>
            </w:tcMar>
          </w:tcPr>
          <w:p>
            <w:pPr>
              <w:spacing w:after="60"/>
            </w:pPr>
            <w:r>
              <w:rPr>
                <w:rFonts w:ascii="Calibri" w:cs="Calibri" w:eastAsia="Calibri" w:hAnsi="Calibri"/>
                <w:b/>
                <w:bCs/>
                <w:caps/>
                <w:color w:val="2C5F7C"/>
                <w:sz w:val="20"/>
                <w:szCs w:val="20"/>
              </w:rPr>
              <w:t xml:space="preserve">The core discipline</w:t>
            </w:r>
          </w:p>
          <w:p>
            <w:pPr>
              <w:spacing w:after="120" w:line="276"/>
            </w:pPr>
            <w:r>
              <w:rPr>
                <w:rFonts w:ascii="Calibri" w:cs="Calibri" w:eastAsia="Calibri" w:hAnsi="Calibri"/>
                <w:b/>
                <w:bCs/>
                <w:color w:val="1A2332"/>
                <w:sz w:val="21"/>
                <w:szCs w:val="21"/>
              </w:rPr>
              <w:t xml:space="preserve">Complexity lives in the engine, never in a user's path — and no single user sees the whole system. Each role sees only its own slice.</w:t>
            </w:r>
          </w:p>
        </w:tc>
      </w:tr>
    </w:tbl>
    <w:p>
      <w:pPr>
        <w:spacing w:after="80"/>
      </w:pPr>
    </w:p>
    <w:p>
      <w:pPr>
        <w:spacing w:after="120" w:line="276"/>
      </w:pPr>
      <w:r>
        <w:rPr>
          <w:rFonts w:ascii="Calibri" w:cs="Calibri" w:eastAsia="Calibri" w:hAnsi="Calibri"/>
          <w:color w:val="1A2332"/>
          <w:sz w:val="21"/>
          <w:szCs w:val="21"/>
        </w:rPr>
        <w:t xml:space="preserve">Ease of use is not achieved by making the system smaller. It is achieved at the </w:t>
      </w:r>
      <w:r>
        <w:rPr>
          <w:rFonts w:ascii="Calibri" w:cs="Calibri" w:eastAsia="Calibri" w:hAnsi="Calibri"/>
          <w:b/>
          <w:bCs/>
          <w:color w:val="1A2332"/>
          <w:sz w:val="21"/>
          <w:szCs w:val="21"/>
        </w:rPr>
        <w:t xml:space="preserve">interface</w:t>
      </w:r>
      <w:r>
        <w:rPr>
          <w:rFonts w:ascii="Calibri" w:cs="Calibri" w:eastAsia="Calibri" w:hAnsi="Calibri"/>
          <w:color w:val="1A2332"/>
          <w:sz w:val="21"/>
          <w:szCs w:val="21"/>
        </w:rPr>
        <w:t xml:space="preserve">: the system is large, but any individual user's view of it is small. Very few users ever touch the full spectrum of functionality — most have narrow, specific needs — so the design gives each role a purpose-built surface that is genuinely simple because it is genuinely smaller, not because complexity is hidden inside it.</w:t>
      </w:r>
    </w:p>
    <w:p>
      <w:pPr>
        <w:pStyle w:val="Heading2"/>
        <w:spacing w:after="100" w:before="240"/>
      </w:pPr>
      <w:r>
        <w:rPr>
          <w:rFonts w:ascii="Calibri" w:cs="Calibri" w:eastAsia="Calibri" w:hAnsi="Calibri"/>
          <w:b/>
          <w:bCs/>
          <w:color w:val="2C5F7C"/>
          <w:sz w:val="25"/>
          <w:szCs w:val="25"/>
        </w:rPr>
        <w:t xml:space="preserve">2.2 Governing principles</w:t>
      </w:r>
    </w:p>
    <w:p>
      <w:pPr>
        <w:pStyle w:val="ListParagraph"/>
        <w:numPr>
          <w:ilvl w:val="0"/>
          <w:numId w:val="2"/>
        </w:numPr>
        <w:spacing w:after="70" w:line="268"/>
      </w:pPr>
      <w:r>
        <w:rPr>
          <w:rFonts w:ascii="Calibri" w:cs="Calibri" w:eastAsia="Calibri" w:hAnsi="Calibri"/>
          <w:b/>
          <w:bCs/>
          <w:color w:val="1A2332"/>
          <w:sz w:val="21"/>
          <w:szCs w:val="21"/>
        </w:rPr>
        <w:t xml:space="preserve">Role-scoped interfaces</w:t>
      </w:r>
      <w:r>
        <w:rPr>
          <w:rFonts w:ascii="Calibri" w:cs="Calibri" w:eastAsia="Calibri" w:hAnsi="Calibri"/>
          <w:color w:val="1A2332"/>
          <w:sz w:val="21"/>
          <w:szCs w:val="21"/>
        </w:rPr>
        <w:t xml:space="preserve"> — the full spectrum exists only for the rare power user (admin, ops lead). Every other role gets a complete, self-contained tool for its own job. A creative's view is not "the app with things hidden" — it is a small, complete tool for a creative.</w:t>
      </w:r>
    </w:p>
    <w:p>
      <w:pPr>
        <w:pStyle w:val="ListParagraph"/>
        <w:numPr>
          <w:ilvl w:val="0"/>
          <w:numId w:val="2"/>
        </w:numPr>
        <w:spacing w:after="70" w:line="268"/>
      </w:pPr>
      <w:r>
        <w:rPr>
          <w:rFonts w:ascii="Calibri" w:cs="Calibri" w:eastAsia="Calibri" w:hAnsi="Calibri"/>
          <w:b/>
          <w:bCs/>
          <w:color w:val="1A2332"/>
          <w:sz w:val="21"/>
          <w:szCs w:val="21"/>
        </w:rPr>
        <w:t xml:space="preserve">Complexity in the engine</w:t>
      </w:r>
      <w:r>
        <w:rPr>
          <w:rFonts w:ascii="Calibri" w:cs="Calibri" w:eastAsia="Calibri" w:hAnsi="Calibri"/>
          <w:color w:val="1A2332"/>
          <w:sz w:val="21"/>
          <w:szCs w:val="21"/>
        </w:rPr>
        <w:t xml:space="preserve"> — calculations, rules, and workflows live in the system, never in the user's path.</w:t>
      </w:r>
    </w:p>
    <w:p>
      <w:pPr>
        <w:pStyle w:val="ListParagraph"/>
        <w:numPr>
          <w:ilvl w:val="0"/>
          <w:numId w:val="2"/>
        </w:numPr>
        <w:spacing w:after="70" w:line="268"/>
      </w:pPr>
      <w:r>
        <w:rPr>
          <w:rFonts w:ascii="Calibri" w:cs="Calibri" w:eastAsia="Calibri" w:hAnsi="Calibri"/>
          <w:b/>
          <w:bCs/>
          <w:color w:val="1A2332"/>
          <w:sz w:val="21"/>
          <w:szCs w:val="21"/>
        </w:rPr>
        <w:t xml:space="preserve">Derive, don't ask</w:t>
      </w:r>
      <w:r>
        <w:rPr>
          <w:rFonts w:ascii="Calibri" w:cs="Calibri" w:eastAsia="Calibri" w:hAnsi="Calibri"/>
          <w:color w:val="1A2332"/>
          <w:sz w:val="21"/>
          <w:szCs w:val="21"/>
        </w:rPr>
        <w:t xml:space="preserve"> — every value the system can infer is a field the user never sees.</w:t>
      </w:r>
    </w:p>
    <w:p>
      <w:pPr>
        <w:pStyle w:val="ListParagraph"/>
        <w:numPr>
          <w:ilvl w:val="0"/>
          <w:numId w:val="2"/>
        </w:numPr>
        <w:spacing w:after="70" w:line="268"/>
      </w:pPr>
      <w:r>
        <w:rPr>
          <w:rFonts w:ascii="Calibri" w:cs="Calibri" w:eastAsia="Calibri" w:hAnsi="Calibri"/>
          <w:b/>
          <w:bCs/>
          <w:color w:val="1A2332"/>
          <w:sz w:val="21"/>
          <w:szCs w:val="21"/>
        </w:rPr>
        <w:t xml:space="preserve">Default, don't configure</w:t>
      </w:r>
      <w:r>
        <w:rPr>
          <w:rFonts w:ascii="Calibri" w:cs="Calibri" w:eastAsia="Calibri" w:hAnsi="Calibri"/>
          <w:color w:val="1A2332"/>
          <w:sz w:val="21"/>
          <w:szCs w:val="21"/>
        </w:rPr>
        <w:t xml:space="preserve"> — configuration is a one-time admin act, not a daily-user burden. Defaults should be right ~90% of the time.</w:t>
      </w:r>
    </w:p>
    <w:p>
      <w:pPr>
        <w:pStyle w:val="ListParagraph"/>
        <w:numPr>
          <w:ilvl w:val="0"/>
          <w:numId w:val="2"/>
        </w:numPr>
        <w:spacing w:after="70" w:line="268"/>
      </w:pPr>
      <w:r>
        <w:rPr>
          <w:rFonts w:ascii="Calibri" w:cs="Calibri" w:eastAsia="Calibri" w:hAnsi="Calibri"/>
          <w:b/>
          <w:bCs/>
          <w:color w:val="1A2332"/>
          <w:sz w:val="21"/>
          <w:szCs w:val="21"/>
        </w:rPr>
        <w:t xml:space="preserve">Inform, don't obstruct</w:t>
      </w:r>
      <w:r>
        <w:rPr>
          <w:rFonts w:ascii="Calibri" w:cs="Calibri" w:eastAsia="Calibri" w:hAnsi="Calibri"/>
          <w:color w:val="1A2332"/>
          <w:sz w:val="21"/>
          <w:szCs w:val="21"/>
        </w:rPr>
        <w:t xml:space="preserve"> — surface consequences and let the user decide, rather than blocking with hard errors (the warn-and-allow pattern).</w:t>
      </w:r>
    </w:p>
    <w:p>
      <w:pPr>
        <w:pStyle w:val="ListParagraph"/>
        <w:numPr>
          <w:ilvl w:val="0"/>
          <w:numId w:val="2"/>
        </w:numPr>
        <w:spacing w:after="70" w:line="268"/>
      </w:pPr>
      <w:r>
        <w:rPr>
          <w:rFonts w:ascii="Calibri" w:cs="Calibri" w:eastAsia="Calibri" w:hAnsi="Calibri"/>
          <w:b/>
          <w:bCs/>
          <w:color w:val="1A2332"/>
          <w:sz w:val="21"/>
          <w:szCs w:val="21"/>
        </w:rPr>
        <w:t xml:space="preserve">The scheduler is the substrate</w:t>
      </w:r>
      <w:r>
        <w:rPr>
          <w:rFonts w:ascii="Calibri" w:cs="Calibri" w:eastAsia="Calibri" w:hAnsi="Calibri"/>
          <w:color w:val="1A2332"/>
          <w:sz w:val="21"/>
          <w:szCs w:val="21"/>
        </w:rPr>
        <w:t xml:space="preserve"> — the timeline view is best-in-class table stakes to be matched, not the product's headline; accountability is the point (Section 1).</w:t>
      </w:r>
    </w:p>
    <w:p>
      <w:pPr>
        <w:pStyle w:val="Heading2"/>
        <w:spacing w:after="100" w:before="240"/>
      </w:pPr>
      <w:r>
        <w:rPr>
          <w:rFonts w:ascii="Calibri" w:cs="Calibri" w:eastAsia="Calibri" w:hAnsi="Calibri"/>
          <w:b/>
          <w:bCs/>
          <w:color w:val="2C5F7C"/>
          <w:sz w:val="25"/>
          <w:szCs w:val="25"/>
        </w:rPr>
        <w:t xml:space="preserve">2.3 The Surface vs. Engine contract</w:t>
      </w:r>
    </w:p>
    <w:p>
      <w:pPr>
        <w:spacing w:after="120" w:line="276"/>
      </w:pPr>
      <w:r>
        <w:rPr>
          <w:rFonts w:ascii="Calibri" w:cs="Calibri" w:eastAsia="Calibri" w:hAnsi="Calibri"/>
          <w:color w:val="1A2332"/>
          <w:sz w:val="21"/>
          <w:szCs w:val="21"/>
        </w:rPr>
        <w:t xml:space="preserve">Every feature specification in this document carries a note with one engine line and one surface line per relevant role:</w:t>
      </w:r>
    </w:p>
    <w:p>
      <w:pPr>
        <w:spacing w:after="60" w:line="264"/>
      </w:pPr>
      <w:r>
        <w:rPr>
          <w:rFonts w:ascii="Calibri" w:cs="Calibri" w:eastAsia="Calibri" w:hAnsi="Calibri"/>
          <w:b/>
          <w:bCs/>
          <w:color w:val="2C5F7C"/>
          <w:sz w:val="20"/>
          <w:szCs w:val="20"/>
        </w:rPr>
        <w:t xml:space="preserve">Engine: </w:t>
      </w:r>
      <w:r>
        <w:rPr>
          <w:rFonts w:ascii="Calibri" w:cs="Calibri" w:eastAsia="Calibri" w:hAnsi="Calibri"/>
          <w:color w:val="1A2332"/>
          <w:sz w:val="20"/>
          <w:szCs w:val="20"/>
        </w:rPr>
        <w:t xml:space="preserve">the real complexity the system carries — calculations, rules, workflows, state. Shared by all roles.</w:t>
      </w:r>
    </w:p>
    <w:p>
      <w:pPr>
        <w:spacing w:after="60" w:line="264"/>
      </w:pPr>
      <w:r>
        <w:rPr>
          <w:rFonts w:ascii="Calibri" w:cs="Calibri" w:eastAsia="Calibri" w:hAnsi="Calibri"/>
          <w:b/>
          <w:bCs/>
          <w:color w:val="8A5A2B"/>
          <w:sz w:val="20"/>
          <w:szCs w:val="20"/>
        </w:rPr>
        <w:t xml:space="preserve">Surface: </w:t>
      </w:r>
      <w:r>
        <w:rPr>
          <w:rFonts w:ascii="Calibri" w:cs="Calibri" w:eastAsia="Calibri" w:hAnsi="Calibri"/>
          <w:color w:val="1A2332"/>
          <w:sz w:val="20"/>
          <w:szCs w:val="20"/>
        </w:rPr>
        <w:t xml:space="preserve">what each role actually sees and does — described per role, since the same engine presents a different face to a creative, a booker, a team lead, and an admin.</w:t>
      </w:r>
    </w:p>
    <w:p>
      <w:pPr>
        <w:spacing w:after="120" w:line="276"/>
      </w:pPr>
      <w:r>
        <w:rPr>
          <w:rFonts w:ascii="Calibri" w:cs="Calibri" w:eastAsia="Calibri" w:hAnsi="Calibri"/>
          <w:color w:val="1A2332"/>
          <w:sz w:val="21"/>
          <w:szCs w:val="21"/>
        </w:rPr>
        <w:t xml:space="preserve">This makes "which roles see this, and what does each see?" a required field for every feature. If a role's surface cannot be written simply, the role scoping has leaked. The surface lines double as a first-time-user test script per role. Two structural tests of correct design: (1) adding a later-phase feature must </w:t>
      </w:r>
      <w:r>
        <w:rPr>
          <w:rFonts w:ascii="Calibri" w:cs="Calibri" w:eastAsia="Calibri" w:hAnsi="Calibri"/>
          <w:i/>
          <w:iCs/>
          <w:color w:val="1A2332"/>
          <w:sz w:val="21"/>
          <w:szCs w:val="21"/>
        </w:rPr>
        <w:t xml:space="preserve">not</w:t>
      </w:r>
      <w:r>
        <w:rPr>
          <w:rFonts w:ascii="Calibri" w:cs="Calibri" w:eastAsia="Calibri" w:hAnsi="Calibri"/>
          <w:color w:val="1A2332"/>
          <w:sz w:val="21"/>
          <w:szCs w:val="21"/>
        </w:rPr>
        <w:t xml:space="preserve"> force any earlier feature's surface line to be rewritten; (2) </w:t>
      </w:r>
      <w:r>
        <w:rPr>
          <w:rFonts w:ascii="Calibri" w:cs="Calibri" w:eastAsia="Calibri" w:hAnsi="Calibri"/>
          <w:b/>
          <w:bCs/>
          <w:color w:val="1A2332"/>
          <w:sz w:val="21"/>
          <w:szCs w:val="21"/>
        </w:rPr>
        <w:t xml:space="preserve">each role must be able to do its whole job without ever seeing a control that belongs to another role.</w:t>
      </w:r>
      <w:r>
        <w:rPr>
          <w:rFonts w:ascii="Calibri" w:cs="Calibri" w:eastAsia="Calibri" w:hAnsi="Calibri"/>
          <w:color w:val="1A2332"/>
          <w:sz w:val="21"/>
          <w:szCs w:val="21"/>
        </w:rPr>
        <w:t xml:space="preserve"> If a creative must look at a capacity ceiling to get work done, the scoping has failed.</w:t>
      </w:r>
    </w:p>
    <w:p>
      <w:pPr>
        <w:pStyle w:val="Heading2"/>
        <w:spacing w:after="100" w:before="240"/>
      </w:pPr>
      <w:r>
        <w:rPr>
          <w:rFonts w:ascii="Calibri" w:cs="Calibri" w:eastAsia="Calibri" w:hAnsi="Calibri"/>
          <w:b/>
          <w:bCs/>
          <w:color w:val="2C5F7C"/>
          <w:sz w:val="25"/>
          <w:szCs w:val="25"/>
        </w:rPr>
        <w:t xml:space="preserve">2.4 The role surfaces</w:t>
      </w:r>
    </w:p>
    <w:p>
      <w:pPr>
        <w:spacing w:after="120" w:line="276"/>
      </w:pPr>
      <w:r>
        <w:rPr>
          <w:rFonts w:ascii="Calibri" w:cs="Calibri" w:eastAsia="Calibri" w:hAnsi="Calibri"/>
          <w:color w:val="1A2332"/>
          <w:sz w:val="21"/>
          <w:szCs w:val="21"/>
        </w:rPr>
        <w:t xml:space="preserve">Indicative role-to-surface mapping. Roles are illustrative; the point is that each is simple on its own terms.</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1900"/>
        <w:gridCol w:w="7460"/>
      </w:tblGrid>
      <w:tr>
        <w:trPr>
          <w:tblHeader/>
        </w:trPr>
        <w:tc>
          <w:tcPr>
            <w:tcW w:type="dxa" w:w="19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Role</w:t>
            </w:r>
          </w:p>
        </w:tc>
        <w:tc>
          <w:tcPr>
            <w:tcW w:type="dxa" w:w="746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What they see</w:t>
            </w:r>
          </w:p>
        </w:tc>
      </w:tr>
      <w:tr>
        <w:tc>
          <w:tcPr>
            <w:tcW w:type="dxa" w:w="1900"/>
            <w:shd w:fill="FFFFFF" w:val="clear"/>
            <w:tcMar>
              <w:top w:type="dxa" w:w="50"/>
              <w:left w:type="dxa" w:w="100"/>
              <w:bottom w:type="dxa" w:w="50"/>
              <w:right w:type="dxa" w:w="100"/>
            </w:tcMar>
          </w:tcPr>
          <w:p>
            <w:r>
              <w:rPr>
                <w:rFonts w:ascii="Calibri" w:cs="Calibri" w:eastAsia="Calibri" w:hAnsi="Calibri"/>
                <w:color w:val="1A2332"/>
                <w:sz w:val="19"/>
                <w:szCs w:val="19"/>
              </w:rPr>
              <w:t xml:space="preserve">Creative</w:t>
            </w:r>
          </w:p>
        </w:tc>
        <w:tc>
          <w:tcPr>
            <w:tcW w:type="dxa" w:w="7460"/>
            <w:shd w:fill="FFFFFF" w:val="clear"/>
            <w:tcMar>
              <w:top w:type="dxa" w:w="50"/>
              <w:left w:type="dxa" w:w="100"/>
              <w:bottom w:type="dxa" w:w="50"/>
              <w:right w:type="dxa" w:w="100"/>
            </w:tcMar>
          </w:tcPr>
          <w:p>
            <w:r>
              <w:rPr>
                <w:rFonts w:ascii="Calibri" w:cs="Calibri" w:eastAsia="Calibri" w:hAnsi="Calibri"/>
                <w:color w:val="1A2332"/>
                <w:sz w:val="19"/>
                <w:szCs w:val="19"/>
              </w:rPr>
              <w:t xml:space="preserve">Their queue, their deadlines, a way to flag "blocked on client." No capacity math, no billing, no one else's SLAs.</w:t>
            </w:r>
          </w:p>
        </w:tc>
      </w:tr>
      <w:tr>
        <w:tc>
          <w:tcPr>
            <w:tcW w:type="dxa" w:w="1900"/>
            <w:shd w:fill="EEF2F5" w:val="clear"/>
            <w:tcMar>
              <w:top w:type="dxa" w:w="50"/>
              <w:left w:type="dxa" w:w="100"/>
              <w:bottom w:type="dxa" w:w="50"/>
              <w:right w:type="dxa" w:w="100"/>
            </w:tcMar>
          </w:tcPr>
          <w:p>
            <w:r>
              <w:rPr>
                <w:rFonts w:ascii="Calibri" w:cs="Calibri" w:eastAsia="Calibri" w:hAnsi="Calibri"/>
                <w:color w:val="1A2332"/>
                <w:sz w:val="19"/>
                <w:szCs w:val="19"/>
              </w:rPr>
              <w:t xml:space="preserve">Booker / scheduler</w:t>
            </w:r>
          </w:p>
        </w:tc>
        <w:tc>
          <w:tcPr>
            <w:tcW w:type="dxa" w:w="7460"/>
            <w:shd w:fill="EEF2F5" w:val="clear"/>
            <w:tcMar>
              <w:top w:type="dxa" w:w="50"/>
              <w:left w:type="dxa" w:w="100"/>
              <w:bottom w:type="dxa" w:w="50"/>
              <w:right w:type="dxa" w:w="100"/>
            </w:tcMar>
          </w:tcPr>
          <w:p>
            <w:r>
              <w:rPr>
                <w:rFonts w:ascii="Calibri" w:cs="Calibri" w:eastAsia="Calibri" w:hAnsi="Calibri"/>
                <w:color w:val="1A2332"/>
                <w:sz w:val="19"/>
                <w:szCs w:val="19"/>
              </w:rPr>
              <w:t xml:space="preserve">The timeline and availability. Books resources. No performance data.</w:t>
            </w:r>
          </w:p>
        </w:tc>
      </w:tr>
      <w:tr>
        <w:tc>
          <w:tcPr>
            <w:tcW w:type="dxa" w:w="1900"/>
            <w:shd w:fill="FFFFFF" w:val="clear"/>
            <w:tcMar>
              <w:top w:type="dxa" w:w="50"/>
              <w:left w:type="dxa" w:w="100"/>
              <w:bottom w:type="dxa" w:w="50"/>
              <w:right w:type="dxa" w:w="100"/>
            </w:tcMar>
          </w:tcPr>
          <w:p>
            <w:r>
              <w:rPr>
                <w:rFonts w:ascii="Calibri" w:cs="Calibri" w:eastAsia="Calibri" w:hAnsi="Calibri"/>
                <w:color w:val="1A2332"/>
                <w:sz w:val="19"/>
                <w:szCs w:val="19"/>
              </w:rPr>
              <w:t xml:space="preserve">Team lead</w:t>
            </w:r>
          </w:p>
        </w:tc>
        <w:tc>
          <w:tcPr>
            <w:tcW w:type="dxa" w:w="7460"/>
            <w:shd w:fill="FFFFFF" w:val="clear"/>
            <w:tcMar>
              <w:top w:type="dxa" w:w="50"/>
              <w:left w:type="dxa" w:w="100"/>
              <w:bottom w:type="dxa" w:w="50"/>
              <w:right w:type="dxa" w:w="100"/>
            </w:tcMar>
          </w:tcPr>
          <w:p>
            <w:r>
              <w:rPr>
                <w:rFonts w:ascii="Calibri" w:cs="Calibri" w:eastAsia="Calibri" w:hAnsi="Calibri"/>
                <w:color w:val="1A2332"/>
                <w:sz w:val="19"/>
                <w:szCs w:val="19"/>
              </w:rPr>
              <w:t xml:space="preserve">Team load and SLA/breach status — the accountability dashboard. Where discipline is made visible and enforced.</w:t>
            </w:r>
          </w:p>
        </w:tc>
      </w:tr>
      <w:tr>
        <w:tc>
          <w:tcPr>
            <w:tcW w:type="dxa" w:w="1900"/>
            <w:shd w:fill="EEF2F5" w:val="clear"/>
            <w:tcMar>
              <w:top w:type="dxa" w:w="50"/>
              <w:left w:type="dxa" w:w="100"/>
              <w:bottom w:type="dxa" w:w="50"/>
              <w:right w:type="dxa" w:w="100"/>
            </w:tcMar>
          </w:tcPr>
          <w:p>
            <w:r>
              <w:rPr>
                <w:rFonts w:ascii="Calibri" w:cs="Calibri" w:eastAsia="Calibri" w:hAnsi="Calibri"/>
                <w:color w:val="1A2332"/>
                <w:sz w:val="19"/>
                <w:szCs w:val="19"/>
              </w:rPr>
              <w:t xml:space="preserve">Support / sales / event</w:t>
            </w:r>
          </w:p>
        </w:tc>
        <w:tc>
          <w:tcPr>
            <w:tcW w:type="dxa" w:w="7460"/>
            <w:shd w:fill="EEF2F5" w:val="clear"/>
            <w:tcMar>
              <w:top w:type="dxa" w:w="50"/>
              <w:left w:type="dxa" w:w="100"/>
              <w:bottom w:type="dxa" w:w="50"/>
              <w:right w:type="dxa" w:w="100"/>
            </w:tcMar>
          </w:tcPr>
          <w:p>
            <w:r>
              <w:rPr>
                <w:rFonts w:ascii="Calibri" w:cs="Calibri" w:eastAsia="Calibri" w:hAnsi="Calibri"/>
                <w:color w:val="1A2332"/>
                <w:sz w:val="19"/>
                <w:szCs w:val="19"/>
              </w:rPr>
              <w:t xml:space="preserve">A thin surface matched to their accountability type — which may be close to nothing.</w:t>
            </w:r>
          </w:p>
        </w:tc>
      </w:tr>
      <w:tr>
        <w:tc>
          <w:tcPr>
            <w:tcW w:type="dxa" w:w="1900"/>
            <w:shd w:fill="FFFFFF" w:val="clear"/>
            <w:tcMar>
              <w:top w:type="dxa" w:w="50"/>
              <w:left w:type="dxa" w:w="100"/>
              <w:bottom w:type="dxa" w:w="50"/>
              <w:right w:type="dxa" w:w="100"/>
            </w:tcMar>
          </w:tcPr>
          <w:p>
            <w:r>
              <w:rPr>
                <w:rFonts w:ascii="Calibri" w:cs="Calibri" w:eastAsia="Calibri" w:hAnsi="Calibri"/>
                <w:color w:val="1A2332"/>
                <w:sz w:val="19"/>
                <w:szCs w:val="19"/>
              </w:rPr>
              <w:t xml:space="preserve">Admin</w:t>
            </w:r>
          </w:p>
        </w:tc>
        <w:tc>
          <w:tcPr>
            <w:tcW w:type="dxa" w:w="7460"/>
            <w:shd w:fill="FFFFFF" w:val="clear"/>
            <w:tcMar>
              <w:top w:type="dxa" w:w="50"/>
              <w:left w:type="dxa" w:w="100"/>
              <w:bottom w:type="dxa" w:w="50"/>
              <w:right w:type="dxa" w:w="100"/>
            </w:tcMar>
          </w:tcPr>
          <w:p>
            <w:r>
              <w:rPr>
                <w:rFonts w:ascii="Calibri" w:cs="Calibri" w:eastAsia="Calibri" w:hAnsi="Calibri"/>
                <w:color w:val="1A2332"/>
                <w:sz w:val="19"/>
                <w:szCs w:val="19"/>
              </w:rPr>
              <w:t xml:space="preserve">The only role touching the full configuration surface, once, at setup.</w:t>
            </w:r>
          </w:p>
        </w:tc>
      </w:tr>
    </w:tbl>
    <w:p>
      <w:pPr>
        <w:spacing w:after="80"/>
      </w:pPr>
    </w:p>
    <w:p>
      <w:pPr>
        <w:spacing w:after="120" w:line="276"/>
      </w:pPr>
      <w:r>
        <w:rPr>
          <w:rFonts w:ascii="Calibri" w:cs="Calibri" w:eastAsia="Calibri" w:hAnsi="Calibri"/>
          <w:color w:val="1A2332"/>
          <w:sz w:val="21"/>
          <w:szCs w:val="21"/>
        </w:rPr>
        <w:t xml:space="preserve">Design direction: implement role scoping as </w:t>
      </w:r>
      <w:r>
        <w:rPr>
          <w:rFonts w:ascii="Calibri" w:cs="Calibri" w:eastAsia="Calibri" w:hAnsi="Calibri"/>
          <w:b/>
          <w:bCs/>
          <w:color w:val="1A2332"/>
          <w:sz w:val="21"/>
          <w:szCs w:val="21"/>
        </w:rPr>
        <w:t xml:space="preserve">fixed role-based views</w:t>
      </w:r>
      <w:r>
        <w:rPr>
          <w:rFonts w:ascii="Calibri" w:cs="Calibri" w:eastAsia="Calibri" w:hAnsi="Calibri"/>
          <w:color w:val="1A2332"/>
          <w:sz w:val="21"/>
          <w:szCs w:val="21"/>
        </w:rPr>
        <w:t xml:space="preserve"> for v1 (each role gets a designed screen), structured so they are the first expression of a model that can later become </w:t>
      </w:r>
      <w:r>
        <w:rPr>
          <w:rFonts w:ascii="Calibri" w:cs="Calibri" w:eastAsia="Calibri" w:hAnsi="Calibri"/>
          <w:b/>
          <w:bCs/>
          <w:color w:val="1A2332"/>
          <w:sz w:val="21"/>
          <w:szCs w:val="21"/>
        </w:rPr>
        <w:t xml:space="preserve">configurable per-customer role surfaces</w:t>
      </w:r>
      <w:r>
        <w:rPr>
          <w:rFonts w:ascii="Calibri" w:cs="Calibri" w:eastAsia="Calibri" w:hAnsi="Calibri"/>
          <w:color w:val="1A2332"/>
          <w:sz w:val="21"/>
          <w:szCs w:val="21"/>
        </w:rPr>
        <w:t xml:space="preserve"> — the same reasoning as multi-tenancy (Section 10). Fixed views suffice for internal use; configurability matters for commercialization, where customers have different role structures.</w:t>
      </w:r>
    </w:p>
    <w:p>
      <w:pPr>
        <w:pStyle w:val="Heading1"/>
        <w:spacing w:after="140" w:before="360"/>
      </w:pPr>
      <w:r>
        <w:rPr>
          <w:rFonts w:ascii="Calibri" w:cs="Calibri" w:eastAsia="Calibri" w:hAnsi="Calibri"/>
          <w:b/>
          <w:bCs/>
          <w:color w:val="1A2332"/>
          <w:sz w:val="30"/>
          <w:szCs w:val="30"/>
        </w:rPr>
        <w:t xml:space="preserve">3. Architecture &amp; Technology Stack</w:t>
      </w:r>
    </w:p>
    <w:p>
      <w:pPr>
        <w:spacing w:after="120" w:line="276"/>
      </w:pPr>
      <w:r>
        <w:rPr>
          <w:rFonts w:ascii="Calibri" w:cs="Calibri" w:eastAsia="Calibri" w:hAnsi="Calibri"/>
          <w:color w:val="1A2332"/>
          <w:sz w:val="21"/>
          <w:szCs w:val="21"/>
        </w:rPr>
        <w:t xml:space="preserve">The stack is chosen for solo-developer velocity with heavy AI assistance, low running cost, and full ownership of the codebase (a hard requirement given commercialization).</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1500"/>
        <w:gridCol w:w="2900"/>
        <w:gridCol w:w="4960"/>
      </w:tblGrid>
      <w:tr>
        <w:trPr>
          <w:tblHeader/>
        </w:trPr>
        <w:tc>
          <w:tcPr>
            <w:tcW w:type="dxa" w:w="15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29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Choice</w:t>
            </w:r>
          </w:p>
        </w:tc>
        <w:tc>
          <w:tcPr>
            <w:tcW w:type="dxa" w:w="496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Rationale</w:t>
            </w:r>
          </w:p>
        </w:tc>
      </w:tr>
      <w:tr>
        <w:tc>
          <w:tcPr>
            <w:tcW w:type="dxa" w:w="1500"/>
            <w:shd w:fill="FFFFFF" w:val="clear"/>
            <w:tcMar>
              <w:top w:type="dxa" w:w="50"/>
              <w:left w:type="dxa" w:w="100"/>
              <w:bottom w:type="dxa" w:w="50"/>
              <w:right w:type="dxa" w:w="100"/>
            </w:tcMar>
          </w:tcPr>
          <w:p>
            <w:r>
              <w:rPr>
                <w:rFonts w:ascii="Calibri" w:cs="Calibri" w:eastAsia="Calibri" w:hAnsi="Calibri"/>
                <w:color w:val="1A2332"/>
                <w:sz w:val="19"/>
                <w:szCs w:val="19"/>
              </w:rPr>
              <w:t xml:space="preserve">Frontend</w:t>
            </w:r>
          </w:p>
        </w:tc>
        <w:tc>
          <w:tcPr>
            <w:tcW w:type="dxa" w:w="2900"/>
            <w:shd w:fill="FFFFFF" w:val="clear"/>
            <w:tcMar>
              <w:top w:type="dxa" w:w="50"/>
              <w:left w:type="dxa" w:w="100"/>
              <w:bottom w:type="dxa" w:w="50"/>
              <w:right w:type="dxa" w:w="100"/>
            </w:tcMar>
          </w:tcPr>
          <w:p>
            <w:r>
              <w:rPr>
                <w:rFonts w:ascii="Calibri" w:cs="Calibri" w:eastAsia="Calibri" w:hAnsi="Calibri"/>
                <w:color w:val="1A2332"/>
                <w:sz w:val="19"/>
                <w:szCs w:val="19"/>
              </w:rPr>
              <w:t xml:space="preserve">React + TypeScript (Vite)</w:t>
            </w:r>
          </w:p>
        </w:tc>
        <w:tc>
          <w:tcPr>
            <w:tcW w:type="dxa" w:w="4960"/>
            <w:shd w:fill="FFFFFF" w:val="clear"/>
            <w:tcMar>
              <w:top w:type="dxa" w:w="50"/>
              <w:left w:type="dxa" w:w="100"/>
              <w:bottom w:type="dxa" w:w="50"/>
              <w:right w:type="dxa" w:w="100"/>
            </w:tcMar>
          </w:tcPr>
          <w:p>
            <w:r>
              <w:rPr>
                <w:rFonts w:ascii="Calibri" w:cs="Calibri" w:eastAsia="Calibri" w:hAnsi="Calibri"/>
                <w:color w:val="1A2332"/>
                <w:sz w:val="19"/>
                <w:szCs w:val="19"/>
              </w:rPr>
              <w:t xml:space="preserve">Fast, well-supported, shared language with backend</w:t>
            </w:r>
          </w:p>
        </w:tc>
      </w:tr>
      <w:tr>
        <w:tc>
          <w:tcPr>
            <w:tcW w:type="dxa" w:w="1500"/>
            <w:shd w:fill="EEF2F5" w:val="clear"/>
            <w:tcMar>
              <w:top w:type="dxa" w:w="50"/>
              <w:left w:type="dxa" w:w="100"/>
              <w:bottom w:type="dxa" w:w="50"/>
              <w:right w:type="dxa" w:w="100"/>
            </w:tcMar>
          </w:tcPr>
          <w:p>
            <w:r>
              <w:rPr>
                <w:rFonts w:ascii="Calibri" w:cs="Calibri" w:eastAsia="Calibri" w:hAnsi="Calibri"/>
                <w:color w:val="1A2332"/>
                <w:sz w:val="19"/>
                <w:szCs w:val="19"/>
              </w:rPr>
              <w:t xml:space="preserve">Data grids</w:t>
            </w:r>
          </w:p>
        </w:tc>
        <w:tc>
          <w:tcPr>
            <w:tcW w:type="dxa" w:w="2900"/>
            <w:shd w:fill="EEF2F5" w:val="clear"/>
            <w:tcMar>
              <w:top w:type="dxa" w:w="50"/>
              <w:left w:type="dxa" w:w="100"/>
              <w:bottom w:type="dxa" w:w="50"/>
              <w:right w:type="dxa" w:w="100"/>
            </w:tcMar>
          </w:tcPr>
          <w:p>
            <w:r>
              <w:rPr>
                <w:rFonts w:ascii="Calibri" w:cs="Calibri" w:eastAsia="Calibri" w:hAnsi="Calibri"/>
                <w:color w:val="1A2332"/>
                <w:sz w:val="19"/>
                <w:szCs w:val="19"/>
              </w:rPr>
              <w:t xml:space="preserve">TanStack Query + TanStack Table</w:t>
            </w:r>
          </w:p>
        </w:tc>
        <w:tc>
          <w:tcPr>
            <w:tcW w:type="dxa" w:w="4960"/>
            <w:shd w:fill="EEF2F5" w:val="clear"/>
            <w:tcMar>
              <w:top w:type="dxa" w:w="50"/>
              <w:left w:type="dxa" w:w="100"/>
              <w:bottom w:type="dxa" w:w="50"/>
              <w:right w:type="dxa" w:w="100"/>
            </w:tcMar>
          </w:tcPr>
          <w:p>
            <w:r>
              <w:rPr>
                <w:rFonts w:ascii="Calibri" w:cs="Calibri" w:eastAsia="Calibri" w:hAnsi="Calibri"/>
                <w:color w:val="1A2332"/>
                <w:sz w:val="19"/>
                <w:szCs w:val="19"/>
              </w:rPr>
              <w:t xml:space="preserve">Server-state and the dense tables the app needs</w:t>
            </w:r>
          </w:p>
        </w:tc>
      </w:tr>
      <w:tr>
        <w:tc>
          <w:tcPr>
            <w:tcW w:type="dxa" w:w="1500"/>
            <w:shd w:fill="FFFFFF" w:val="clear"/>
            <w:tcMar>
              <w:top w:type="dxa" w:w="50"/>
              <w:left w:type="dxa" w:w="100"/>
              <w:bottom w:type="dxa" w:w="50"/>
              <w:right w:type="dxa" w:w="100"/>
            </w:tcMar>
          </w:tcPr>
          <w:p>
            <w:r>
              <w:rPr>
                <w:rFonts w:ascii="Calibri" w:cs="Calibri" w:eastAsia="Calibri" w:hAnsi="Calibri"/>
                <w:color w:val="1A2332"/>
                <w:sz w:val="19"/>
                <w:szCs w:val="19"/>
              </w:rPr>
              <w:t xml:space="preserve">Scheduler UI</w:t>
            </w:r>
          </w:p>
        </w:tc>
        <w:tc>
          <w:tcPr>
            <w:tcW w:type="dxa" w:w="2900"/>
            <w:shd w:fill="FFFFFF" w:val="clear"/>
            <w:tcMar>
              <w:top w:type="dxa" w:w="50"/>
              <w:left w:type="dxa" w:w="100"/>
              <w:bottom w:type="dxa" w:w="50"/>
              <w:right w:type="dxa" w:w="100"/>
            </w:tcMar>
          </w:tcPr>
          <w:p>
            <w:r>
              <w:rPr>
                <w:rFonts w:ascii="Calibri" w:cs="Calibri" w:eastAsia="Calibri" w:hAnsi="Calibri"/>
                <w:color w:val="1A2332"/>
                <w:sz w:val="19"/>
                <w:szCs w:val="19"/>
              </w:rPr>
              <w:t xml:space="preserve">FullCalendar (resource-timeline)</w:t>
            </w:r>
          </w:p>
        </w:tc>
        <w:tc>
          <w:tcPr>
            <w:tcW w:type="dxa" w:w="4960"/>
            <w:shd w:fill="FFFFFF" w:val="clear"/>
            <w:tcMar>
              <w:top w:type="dxa" w:w="50"/>
              <w:left w:type="dxa" w:w="100"/>
              <w:bottom w:type="dxa" w:w="50"/>
              <w:right w:type="dxa" w:w="100"/>
            </w:tcMar>
          </w:tcPr>
          <w:p>
            <w:r>
              <w:rPr>
                <w:rFonts w:ascii="Calibri" w:cs="Calibri" w:eastAsia="Calibri" w:hAnsi="Calibri"/>
                <w:color w:val="1A2332"/>
                <w:sz w:val="19"/>
                <w:szCs w:val="19"/>
              </w:rPr>
              <w:t xml:space="preserve">Purpose-built for resource rows + drag booking; not hand-rolled</w:t>
            </w:r>
          </w:p>
        </w:tc>
      </w:tr>
      <w:tr>
        <w:tc>
          <w:tcPr>
            <w:tcW w:type="dxa" w:w="1500"/>
            <w:shd w:fill="EEF2F5" w:val="clear"/>
            <w:tcMar>
              <w:top w:type="dxa" w:w="50"/>
              <w:left w:type="dxa" w:w="100"/>
              <w:bottom w:type="dxa" w:w="50"/>
              <w:right w:type="dxa" w:w="100"/>
            </w:tcMar>
          </w:tcPr>
          <w:p>
            <w:r>
              <w:rPr>
                <w:rFonts w:ascii="Calibri" w:cs="Calibri" w:eastAsia="Calibri" w:hAnsi="Calibri"/>
                <w:color w:val="1A2332"/>
                <w:sz w:val="19"/>
                <w:szCs w:val="19"/>
              </w:rPr>
              <w:t xml:space="preserve">Backend / data</w:t>
            </w:r>
          </w:p>
        </w:tc>
        <w:tc>
          <w:tcPr>
            <w:tcW w:type="dxa" w:w="2900"/>
            <w:shd w:fill="EEF2F5" w:val="clear"/>
            <w:tcMar>
              <w:top w:type="dxa" w:w="50"/>
              <w:left w:type="dxa" w:w="100"/>
              <w:bottom w:type="dxa" w:w="50"/>
              <w:right w:type="dxa" w:w="100"/>
            </w:tcMar>
          </w:tcPr>
          <w:p>
            <w:r>
              <w:rPr>
                <w:rFonts w:ascii="Calibri" w:cs="Calibri" w:eastAsia="Calibri" w:hAnsi="Calibri"/>
                <w:color w:val="1A2332"/>
                <w:sz w:val="19"/>
                <w:szCs w:val="19"/>
              </w:rPr>
              <w:t xml:space="preserve">Supabase (Postgres, Auth, RLS, realtime, storage)</w:t>
            </w:r>
          </w:p>
        </w:tc>
        <w:tc>
          <w:tcPr>
            <w:tcW w:type="dxa" w:w="4960"/>
            <w:shd w:fill="EEF2F5" w:val="clear"/>
            <w:tcMar>
              <w:top w:type="dxa" w:w="50"/>
              <w:left w:type="dxa" w:w="100"/>
              <w:bottom w:type="dxa" w:w="50"/>
              <w:right w:type="dxa" w:w="100"/>
            </w:tcMar>
          </w:tcPr>
          <w:p>
            <w:r>
              <w:rPr>
                <w:rFonts w:ascii="Calibri" w:cs="Calibri" w:eastAsia="Calibri" w:hAnsi="Calibri"/>
                <w:color w:val="1A2332"/>
                <w:sz w:val="19"/>
                <w:szCs w:val="19"/>
              </w:rPr>
              <w:t xml:space="preserve">Fastest solo path; managed Postgres with full temporal power</w:t>
            </w:r>
          </w:p>
        </w:tc>
      </w:tr>
      <w:tr>
        <w:tc>
          <w:tcPr>
            <w:tcW w:type="dxa" w:w="1500"/>
            <w:shd w:fill="FFFFFF" w:val="clear"/>
            <w:tcMar>
              <w:top w:type="dxa" w:w="50"/>
              <w:left w:type="dxa" w:w="100"/>
              <w:bottom w:type="dxa" w:w="50"/>
              <w:right w:type="dxa" w:w="100"/>
            </w:tcMar>
          </w:tcPr>
          <w:p>
            <w:r>
              <w:rPr>
                <w:rFonts w:ascii="Calibri" w:cs="Calibri" w:eastAsia="Calibri" w:hAnsi="Calibri"/>
                <w:color w:val="1A2332"/>
                <w:sz w:val="19"/>
                <w:szCs w:val="19"/>
              </w:rPr>
              <w:t xml:space="preserve">Schema &amp; migrations</w:t>
            </w:r>
          </w:p>
        </w:tc>
        <w:tc>
          <w:tcPr>
            <w:tcW w:type="dxa" w:w="2900"/>
            <w:shd w:fill="FFFFFF" w:val="clear"/>
            <w:tcMar>
              <w:top w:type="dxa" w:w="50"/>
              <w:left w:type="dxa" w:w="100"/>
              <w:bottom w:type="dxa" w:w="50"/>
              <w:right w:type="dxa" w:w="100"/>
            </w:tcMar>
          </w:tcPr>
          <w:p>
            <w:r>
              <w:rPr>
                <w:rFonts w:ascii="Calibri" w:cs="Calibri" w:eastAsia="Calibri" w:hAnsi="Calibri"/>
                <w:color w:val="1A2332"/>
                <w:sz w:val="19"/>
                <w:szCs w:val="19"/>
              </w:rPr>
              <w:t xml:space="preserve">Supabase CLI (SQL-first)</w:t>
            </w:r>
          </w:p>
        </w:tc>
        <w:tc>
          <w:tcPr>
            <w:tcW w:type="dxa" w:w="4960"/>
            <w:shd w:fill="FFFFFF" w:val="clear"/>
            <w:tcMar>
              <w:top w:type="dxa" w:w="50"/>
              <w:left w:type="dxa" w:w="100"/>
              <w:bottom w:type="dxa" w:w="50"/>
              <w:right w:type="dxa" w:w="100"/>
            </w:tcMar>
          </w:tcPr>
          <w:p>
            <w:r>
              <w:rPr>
                <w:rFonts w:ascii="Calibri" w:cs="Calibri" w:eastAsia="Calibri" w:hAnsi="Calibri"/>
                <w:color w:val="1A2332"/>
                <w:sz w:val="19"/>
                <w:szCs w:val="19"/>
              </w:rPr>
              <w:t xml:space="preserve">Versioned SQL migrations; no ORM abstraction over temporal logic</w:t>
            </w:r>
          </w:p>
        </w:tc>
      </w:tr>
      <w:tr>
        <w:tc>
          <w:tcPr>
            <w:tcW w:type="dxa" w:w="1500"/>
            <w:shd w:fill="EEF2F5" w:val="clear"/>
            <w:tcMar>
              <w:top w:type="dxa" w:w="50"/>
              <w:left w:type="dxa" w:w="100"/>
              <w:bottom w:type="dxa" w:w="50"/>
              <w:right w:type="dxa" w:w="100"/>
            </w:tcMar>
          </w:tcPr>
          <w:p>
            <w:r>
              <w:rPr>
                <w:rFonts w:ascii="Calibri" w:cs="Calibri" w:eastAsia="Calibri" w:hAnsi="Calibri"/>
                <w:color w:val="1A2332"/>
                <w:sz w:val="19"/>
                <w:szCs w:val="19"/>
              </w:rPr>
              <w:t xml:space="preserve">Types</w:t>
            </w:r>
          </w:p>
        </w:tc>
        <w:tc>
          <w:tcPr>
            <w:tcW w:type="dxa" w:w="2900"/>
            <w:shd w:fill="EEF2F5" w:val="clear"/>
            <w:tcMar>
              <w:top w:type="dxa" w:w="50"/>
              <w:left w:type="dxa" w:w="100"/>
              <w:bottom w:type="dxa" w:w="50"/>
              <w:right w:type="dxa" w:w="100"/>
            </w:tcMar>
          </w:tcPr>
          <w:p>
            <w:r>
              <w:rPr>
                <w:rFonts w:ascii="Calibri" w:cs="Calibri" w:eastAsia="Calibri" w:hAnsi="Calibri"/>
                <w:color w:val="1A2332"/>
                <w:sz w:val="19"/>
                <w:szCs w:val="19"/>
              </w:rPr>
              <w:t xml:space="preserve">supabase gen types typescript</w:t>
            </w:r>
          </w:p>
        </w:tc>
        <w:tc>
          <w:tcPr>
            <w:tcW w:type="dxa" w:w="4960"/>
            <w:shd w:fill="EEF2F5" w:val="clear"/>
            <w:tcMar>
              <w:top w:type="dxa" w:w="50"/>
              <w:left w:type="dxa" w:w="100"/>
              <w:bottom w:type="dxa" w:w="50"/>
              <w:right w:type="dxa" w:w="100"/>
            </w:tcMar>
          </w:tcPr>
          <w:p>
            <w:r>
              <w:rPr>
                <w:rFonts w:ascii="Calibri" w:cs="Calibri" w:eastAsia="Calibri" w:hAnsi="Calibri"/>
                <w:color w:val="1A2332"/>
                <w:sz w:val="19"/>
                <w:szCs w:val="19"/>
              </w:rPr>
              <w:t xml:space="preserve">End-to-end type safety without an ORM</w:t>
            </w:r>
          </w:p>
        </w:tc>
      </w:tr>
      <w:tr>
        <w:tc>
          <w:tcPr>
            <w:tcW w:type="dxa" w:w="1500"/>
            <w:shd w:fill="FFFFFF" w:val="clear"/>
            <w:tcMar>
              <w:top w:type="dxa" w:w="50"/>
              <w:left w:type="dxa" w:w="100"/>
              <w:bottom w:type="dxa" w:w="50"/>
              <w:right w:type="dxa" w:w="100"/>
            </w:tcMar>
          </w:tcPr>
          <w:p>
            <w:r>
              <w:rPr>
                <w:rFonts w:ascii="Calibri" w:cs="Calibri" w:eastAsia="Calibri" w:hAnsi="Calibri"/>
                <w:color w:val="1A2332"/>
                <w:sz w:val="19"/>
                <w:szCs w:val="19"/>
              </w:rPr>
              <w:t xml:space="preserve">Business logic</w:t>
            </w:r>
          </w:p>
        </w:tc>
        <w:tc>
          <w:tcPr>
            <w:tcW w:type="dxa" w:w="2900"/>
            <w:shd w:fill="FFFFFF" w:val="clear"/>
            <w:tcMar>
              <w:top w:type="dxa" w:w="50"/>
              <w:left w:type="dxa" w:w="100"/>
              <w:bottom w:type="dxa" w:w="50"/>
              <w:right w:type="dxa" w:w="100"/>
            </w:tcMar>
          </w:tcPr>
          <w:p>
            <w:r>
              <w:rPr>
                <w:rFonts w:ascii="Calibri" w:cs="Calibri" w:eastAsia="Calibri" w:hAnsi="Calibri"/>
                <w:color w:val="1A2332"/>
                <w:sz w:val="19"/>
                <w:szCs w:val="19"/>
              </w:rPr>
              <w:t xml:space="preserve">Edge Functions (Deno/TS)</w:t>
            </w:r>
          </w:p>
        </w:tc>
        <w:tc>
          <w:tcPr>
            <w:tcW w:type="dxa" w:w="4960"/>
            <w:shd w:fill="FFFFFF" w:val="clear"/>
            <w:tcMar>
              <w:top w:type="dxa" w:w="50"/>
              <w:left w:type="dxa" w:w="100"/>
              <w:bottom w:type="dxa" w:w="50"/>
              <w:right w:type="dxa" w:w="100"/>
            </w:tcMar>
          </w:tcPr>
          <w:p>
            <w:r>
              <w:rPr>
                <w:rFonts w:ascii="Calibri" w:cs="Calibri" w:eastAsia="Calibri" w:hAnsi="Calibri"/>
                <w:color w:val="1A2332"/>
                <w:sz w:val="19"/>
                <w:szCs w:val="19"/>
              </w:rPr>
              <w:t xml:space="preserve">Testable, versioned workflows and calculations</w:t>
            </w:r>
          </w:p>
        </w:tc>
      </w:tr>
    </w:tbl>
    <w:p>
      <w:pPr>
        <w:pStyle w:val="Heading2"/>
        <w:spacing w:after="100" w:before="240"/>
      </w:pPr>
      <w:r>
        <w:rPr>
          <w:rFonts w:ascii="Calibri" w:cs="Calibri" w:eastAsia="Calibri" w:hAnsi="Calibri"/>
          <w:b/>
          <w:bCs/>
          <w:color w:val="2C5F7C"/>
          <w:sz w:val="25"/>
          <w:szCs w:val="25"/>
        </w:rPr>
        <w:t xml:space="preserve">3.1 Where logic lives</w:t>
      </w:r>
    </w:p>
    <w:p>
      <w:pPr>
        <w:spacing w:after="120" w:line="276"/>
      </w:pPr>
      <w:r>
        <w:rPr>
          <w:rFonts w:ascii="Calibri" w:cs="Calibri" w:eastAsia="Calibri" w:hAnsi="Calibri"/>
          <w:color w:val="1A2332"/>
          <w:sz w:val="21"/>
          <w:szCs w:val="21"/>
        </w:rPr>
        <w:t xml:space="preserve">With no ORM, three layers can hold logic. Disciplined separation is the main safeguard against an unmaintainable system:</w:t>
      </w:r>
    </w:p>
    <w:p>
      <w:pPr>
        <w:pStyle w:val="ListParagraph"/>
        <w:numPr>
          <w:ilvl w:val="0"/>
          <w:numId w:val="3"/>
        </w:numPr>
        <w:spacing w:after="70" w:line="268"/>
      </w:pPr>
      <w:r>
        <w:rPr>
          <w:rFonts w:ascii="Calibri" w:cs="Calibri" w:eastAsia="Calibri" w:hAnsi="Calibri"/>
          <w:b/>
          <w:bCs/>
          <w:color w:val="1A2332"/>
          <w:sz w:val="21"/>
          <w:szCs w:val="21"/>
        </w:rPr>
        <w:t xml:space="preserve">Database</w:t>
      </w:r>
      <w:r>
        <w:rPr>
          <w:rFonts w:ascii="Calibri" w:cs="Calibri" w:eastAsia="Calibri" w:hAnsi="Calibri"/>
          <w:color w:val="1A2332"/>
          <w:sz w:val="21"/>
          <w:szCs w:val="21"/>
        </w:rPr>
        <w:t xml:space="preserve"> (constraints, RLS, generated columns) — invariants that must hold no matter what calls the DB: no double-booking of exclusive resources, row-access rules, referential integrity.</w:t>
      </w:r>
    </w:p>
    <w:p>
      <w:pPr>
        <w:pStyle w:val="ListParagraph"/>
        <w:numPr>
          <w:ilvl w:val="0"/>
          <w:numId w:val="3"/>
        </w:numPr>
        <w:spacing w:after="70" w:line="268"/>
      </w:pPr>
      <w:r>
        <w:rPr>
          <w:rFonts w:ascii="Calibri" w:cs="Calibri" w:eastAsia="Calibri" w:hAnsi="Calibri"/>
          <w:b/>
          <w:bCs/>
          <w:color w:val="1A2332"/>
          <w:sz w:val="21"/>
          <w:szCs w:val="21"/>
        </w:rPr>
        <w:t xml:space="preserve">Edge Functions</w:t>
      </w:r>
      <w:r>
        <w:rPr>
          <w:rFonts w:ascii="Calibri" w:cs="Calibri" w:eastAsia="Calibri" w:hAnsi="Calibri"/>
          <w:color w:val="1A2332"/>
          <w:sz w:val="21"/>
          <w:szCs w:val="21"/>
        </w:rPr>
        <w:t xml:space="preserve"> — workflows and calculations: approval routing, SLA evaluation, invoice generation. Explicit, testable, versioned.</w:t>
      </w:r>
    </w:p>
    <w:p>
      <w:pPr>
        <w:pStyle w:val="ListParagraph"/>
        <w:numPr>
          <w:ilvl w:val="0"/>
          <w:numId w:val="3"/>
        </w:numPr>
        <w:spacing w:after="70" w:line="268"/>
      </w:pPr>
      <w:r>
        <w:rPr>
          <w:rFonts w:ascii="Calibri" w:cs="Calibri" w:eastAsia="Calibri" w:hAnsi="Calibri"/>
          <w:b/>
          <w:bCs/>
          <w:color w:val="1A2332"/>
          <w:sz w:val="21"/>
          <w:szCs w:val="21"/>
        </w:rPr>
        <w:t xml:space="preserve">Frontend</w:t>
      </w:r>
      <w:r>
        <w:rPr>
          <w:rFonts w:ascii="Calibri" w:cs="Calibri" w:eastAsia="Calibri" w:hAnsi="Calibri"/>
          <w:color w:val="1A2332"/>
          <w:sz w:val="21"/>
          <w:szCs w:val="21"/>
        </w:rPr>
        <w:t xml:space="preserve"> — presentation only. No billing math, no SLA rules, ever.</w:t>
      </w:r>
    </w:p>
    <w:p>
      <w:pPr>
        <w:spacing w:after="120" w:line="276"/>
      </w:pPr>
      <w:r>
        <w:rPr>
          <w:rFonts w:ascii="Calibri" w:cs="Calibri" w:eastAsia="Calibri" w:hAnsi="Calibri"/>
          <w:color w:val="1A2332"/>
          <w:sz w:val="21"/>
          <w:szCs w:val="21"/>
        </w:rPr>
        <w:t xml:space="preserve">The trap to avoid: billing or SLA logic buried in Postgres triggers that cannot be easily unit-tested, or in the client where it is unverifiable. Hard invariants go in the database; computed rules go in Edge Functions. </w:t>
      </w:r>
      <w:r>
        <w:rPr>
          <w:rFonts w:ascii="Calibri" w:cs="Calibri" w:eastAsia="Calibri" w:hAnsi="Calibri"/>
          <w:i/>
          <w:iCs/>
          <w:color w:val="1A2332"/>
          <w:sz w:val="21"/>
          <w:szCs w:val="21"/>
        </w:rPr>
        <w:t xml:space="preserve">This is a deliberate divergence from the reference systems (see Section 9), which lean more heavily on database-resident logic.</w:t>
      </w:r>
    </w:p>
    <w:p>
      <w:pPr>
        <w:pStyle w:val="Heading2"/>
        <w:spacing w:after="100" w:before="240"/>
      </w:pPr>
      <w:r>
        <w:rPr>
          <w:rFonts w:ascii="Calibri" w:cs="Calibri" w:eastAsia="Calibri" w:hAnsi="Calibri"/>
          <w:b/>
          <w:bCs/>
          <w:color w:val="2C5F7C"/>
          <w:sz w:val="25"/>
          <w:szCs w:val="25"/>
        </w:rPr>
        <w:t xml:space="preserve">3.2 Why SQL-first rather than an ORM</w:t>
      </w:r>
    </w:p>
    <w:p>
      <w:pPr>
        <w:spacing w:after="120" w:line="276"/>
      </w:pPr>
      <w:r>
        <w:rPr>
          <w:rFonts w:ascii="Calibri" w:cs="Calibri" w:eastAsia="Calibri" w:hAnsi="Calibri"/>
          <w:color w:val="1A2332"/>
          <w:sz w:val="21"/>
          <w:szCs w:val="21"/>
        </w:rPr>
        <w:t xml:space="preserve">The hardest logic in this platform is relational and temporal: overlap detection, SLA clocks, billing calculations. These are natural in SQL (range types, exclusion constraints, window functions) and awkward through an ORM. SQL-first migrations keep the schema as the source of truth — versioned and reviewable — and Postgres SQL is written fluently with AI assistance. Nothing of value is lost; direct access to Postgres's temporal features is gained.</w:t>
      </w:r>
    </w:p>
    <w:p>
      <w:pPr>
        <w:pStyle w:val="Heading2"/>
        <w:spacing w:after="100" w:before="240"/>
      </w:pPr>
      <w:r>
        <w:rPr>
          <w:rFonts w:ascii="Calibri" w:cs="Calibri" w:eastAsia="Calibri" w:hAnsi="Calibri"/>
          <w:b/>
          <w:bCs/>
          <w:color w:val="2C5F7C"/>
          <w:sz w:val="25"/>
          <w:szCs w:val="25"/>
        </w:rPr>
        <w:t xml:space="preserve">3.3 Running cost (indicative)</w:t>
      </w:r>
    </w:p>
    <w:p>
      <w:pPr>
        <w:spacing w:after="120" w:line="276"/>
      </w:pPr>
      <w:r>
        <w:rPr>
          <w:rFonts w:ascii="Calibri" w:cs="Calibri" w:eastAsia="Calibri" w:hAnsi="Calibri"/>
          <w:color w:val="1A2332"/>
          <w:sz w:val="21"/>
          <w:szCs w:val="21"/>
        </w:rPr>
        <w:t xml:space="preserve">At the intended scale (roughly 25–30 users, a larger resource pool), infrastructure sits in the region of $50–150/month on a managed Supabase-style stack. The larger cost of a bespoke build is developer time, not hosting. Because per-resource marginal cost is effectively zero, the economic case strengthens as the resource pool grows. </w:t>
      </w:r>
      <w:r>
        <w:rPr>
          <w:rFonts w:ascii="Calibri" w:cs="Calibri" w:eastAsia="Calibri" w:hAnsi="Calibri"/>
          <w:i/>
          <w:iCs/>
          <w:color w:val="5A6472"/>
          <w:sz w:val="21"/>
          <w:szCs w:val="21"/>
        </w:rPr>
        <w:t xml:space="preserve">These figures are indicative and should be confirmed against the chosen deployment.</w:t>
      </w:r>
    </w:p>
    <w:p>
      <w:pPr>
        <w:pStyle w:val="Heading1"/>
        <w:spacing w:after="140" w:before="360"/>
      </w:pPr>
      <w:r>
        <w:rPr>
          <w:rFonts w:ascii="Calibri" w:cs="Calibri" w:eastAsia="Calibri" w:hAnsi="Calibri"/>
          <w:b/>
          <w:bCs/>
          <w:color w:val="1A2332"/>
          <w:sz w:val="30"/>
          <w:szCs w:val="30"/>
        </w:rPr>
        <w:t xml:space="preserve">4. Resource Model &amp; Capacity</w:t>
      </w:r>
    </w:p>
    <w:p>
      <w:pPr>
        <w:spacing w:after="120" w:line="276"/>
      </w:pPr>
      <w:r>
        <w:rPr>
          <w:rFonts w:ascii="Calibri" w:cs="Calibri" w:eastAsia="Calibri" w:hAnsi="Calibri"/>
          <w:color w:val="1A2332"/>
          <w:sz w:val="21"/>
          <w:szCs w:val="21"/>
        </w:rPr>
        <w:t xml:space="preserve">Resources are the spine of the system (resource-first, not project-first). The key modeling insight is that two concerns which are easy to conflate must be kept separate:</w:t>
      </w:r>
    </w:p>
    <w:p>
      <w:pPr>
        <w:pStyle w:val="ListParagraph"/>
        <w:numPr>
          <w:ilvl w:val="0"/>
          <w:numId w:val="2"/>
        </w:numPr>
        <w:spacing w:after="70" w:line="268"/>
      </w:pPr>
      <w:r>
        <w:rPr>
          <w:rFonts w:ascii="Calibri" w:cs="Calibri" w:eastAsia="Calibri" w:hAnsi="Calibri"/>
          <w:b/>
          <w:bCs/>
          <w:color w:val="1A2332"/>
          <w:sz w:val="21"/>
          <w:szCs w:val="21"/>
        </w:rPr>
        <w:t xml:space="preserve">Capacity model</w:t>
      </w:r>
      <w:r>
        <w:rPr>
          <w:rFonts w:ascii="Calibri" w:cs="Calibri" w:eastAsia="Calibri" w:hAnsi="Calibri"/>
          <w:color w:val="1A2332"/>
          <w:sz w:val="21"/>
          <w:szCs w:val="21"/>
        </w:rPr>
        <w:t xml:space="preserve"> — a property of the resource. Governs scheduling and overbooking. Universal across resource kinds.</w:t>
      </w:r>
    </w:p>
    <w:p>
      <w:pPr>
        <w:pStyle w:val="ListParagraph"/>
        <w:numPr>
          <w:ilvl w:val="0"/>
          <w:numId w:val="2"/>
        </w:numPr>
        <w:spacing w:after="70" w:line="268"/>
      </w:pPr>
      <w:r>
        <w:rPr>
          <w:rFonts w:ascii="Calibri" w:cs="Calibri" w:eastAsia="Calibri" w:hAnsi="Calibri"/>
          <w:b/>
          <w:bCs/>
          <w:color w:val="1A2332"/>
          <w:sz w:val="21"/>
          <w:szCs w:val="21"/>
        </w:rPr>
        <w:t xml:space="preserve">Accountability model</w:t>
      </w:r>
      <w:r>
        <w:rPr>
          <w:rFonts w:ascii="Calibri" w:cs="Calibri" w:eastAsia="Calibri" w:hAnsi="Calibri"/>
          <w:color w:val="1A2332"/>
          <w:sz w:val="21"/>
          <w:szCs w:val="21"/>
        </w:rPr>
        <w:t xml:space="preserve"> — a property of the work / booking, and optional. Governs SLAs and performance. Fragments by role (see Section 5).</w:t>
      </w:r>
    </w:p>
    <w:p>
      <w:pPr>
        <w:pStyle w:val="Heading2"/>
        <w:spacing w:after="100" w:before="240"/>
      </w:pPr>
      <w:r>
        <w:rPr>
          <w:rFonts w:ascii="Calibri" w:cs="Calibri" w:eastAsia="Calibri" w:hAnsi="Calibri"/>
          <w:b/>
          <w:bCs/>
          <w:color w:val="2C5F7C"/>
          <w:sz w:val="25"/>
          <w:szCs w:val="25"/>
        </w:rPr>
        <w:t xml:space="preserve">4.1 Capacity models</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2900"/>
        <w:gridCol w:w="3360"/>
        <w:gridCol w:w="3100"/>
      </w:tblGrid>
      <w:tr>
        <w:trPr>
          <w:tblHeader/>
        </w:trPr>
        <w:tc>
          <w:tcPr>
            <w:tcW w:type="dxa" w:w="29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Capacity model</w:t>
            </w:r>
          </w:p>
        </w:tc>
        <w:tc>
          <w:tcPr>
            <w:tcW w:type="dxa" w:w="336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Applies to</w:t>
            </w:r>
          </w:p>
        </w:tc>
        <w:tc>
          <w:tcPr>
            <w:tcW w:type="dxa" w:w="31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Overlap behavior</w:t>
            </w:r>
          </w:p>
        </w:tc>
      </w:tr>
      <w:tr>
        <w:tc>
          <w:tcPr>
            <w:tcW w:type="dxa" w:w="2900"/>
            <w:shd w:fill="FFFFFF" w:val="clear"/>
            <w:tcMar>
              <w:top w:type="dxa" w:w="50"/>
              <w:left w:type="dxa" w:w="100"/>
              <w:bottom w:type="dxa" w:w="50"/>
              <w:right w:type="dxa" w:w="100"/>
            </w:tcMar>
          </w:tcPr>
          <w:p>
            <w:r>
              <w:rPr>
                <w:rFonts w:ascii="Calibri" w:cs="Calibri" w:eastAsia="Calibri" w:hAnsi="Calibri"/>
                <w:color w:val="1A2332"/>
                <w:sz w:val="19"/>
                <w:szCs w:val="19"/>
              </w:rPr>
              <w:t xml:space="preserve">Exclusive</w:t>
            </w:r>
          </w:p>
        </w:tc>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Equipment, rooms</w:t>
            </w:r>
          </w:p>
        </w:tc>
        <w:tc>
          <w:tcPr>
            <w:tcW w:type="dxa" w:w="3100"/>
            <w:shd w:fill="FFFFFF" w:val="clear"/>
            <w:tcMar>
              <w:top w:type="dxa" w:w="50"/>
              <w:left w:type="dxa" w:w="100"/>
              <w:bottom w:type="dxa" w:w="50"/>
              <w:right w:type="dxa" w:w="100"/>
            </w:tcMar>
          </w:tcPr>
          <w:p>
            <w:r>
              <w:rPr>
                <w:rFonts w:ascii="Calibri" w:cs="Calibri" w:eastAsia="Calibri" w:hAnsi="Calibri"/>
                <w:color w:val="1A2332"/>
                <w:sz w:val="19"/>
                <w:szCs w:val="19"/>
              </w:rPr>
              <w:t xml:space="preserve">Booked or not; overlap = hard conflict</w:t>
            </w:r>
          </w:p>
        </w:tc>
      </w:tr>
      <w:tr>
        <w:tc>
          <w:tcPr>
            <w:tcW w:type="dxa" w:w="2900"/>
            <w:shd w:fill="EEF2F5" w:val="clear"/>
            <w:tcMar>
              <w:top w:type="dxa" w:w="50"/>
              <w:left w:type="dxa" w:w="100"/>
              <w:bottom w:type="dxa" w:w="50"/>
              <w:right w:type="dxa" w:w="100"/>
            </w:tcMar>
          </w:tcPr>
          <w:p>
            <w:r>
              <w:rPr>
                <w:rFonts w:ascii="Calibri" w:cs="Calibri" w:eastAsia="Calibri" w:hAnsi="Calibri"/>
                <w:color w:val="1A2332"/>
                <w:sz w:val="19"/>
                <w:szCs w:val="19"/>
              </w:rPr>
              <w:t xml:space="preserve">Pooled (n)</w:t>
            </w:r>
          </w:p>
        </w:tc>
        <w:tc>
          <w:tcPr>
            <w:tcW w:type="dxa" w:w="3360"/>
            <w:shd w:fill="EEF2F5" w:val="clear"/>
            <w:tcMar>
              <w:top w:type="dxa" w:w="50"/>
              <w:left w:type="dxa" w:w="100"/>
              <w:bottom w:type="dxa" w:w="50"/>
              <w:right w:type="dxa" w:w="100"/>
            </w:tcMar>
          </w:tcPr>
          <w:p>
            <w:r>
              <w:rPr>
                <w:rFonts w:ascii="Calibri" w:cs="Calibri" w:eastAsia="Calibri" w:hAnsi="Calibri"/>
                <w:color w:val="1A2332"/>
                <w:sz w:val="19"/>
                <w:szCs w:val="19"/>
              </w:rPr>
              <w:t xml:space="preserve">Interchangeable equipment (e.g. 4 identical lenses)</w:t>
            </w:r>
          </w:p>
        </w:tc>
        <w:tc>
          <w:tcPr>
            <w:tcW w:type="dxa" w:w="3100"/>
            <w:shd w:fill="EEF2F5" w:val="clear"/>
            <w:tcMar>
              <w:top w:type="dxa" w:w="50"/>
              <w:left w:type="dxa" w:w="100"/>
              <w:bottom w:type="dxa" w:w="50"/>
              <w:right w:type="dxa" w:w="100"/>
            </w:tcMar>
          </w:tcPr>
          <w:p>
            <w:r>
              <w:rPr>
                <w:rFonts w:ascii="Calibri" w:cs="Calibri" w:eastAsia="Calibri" w:hAnsi="Calibri"/>
                <w:color w:val="1A2332"/>
                <w:sz w:val="19"/>
                <w:szCs w:val="19"/>
              </w:rPr>
              <w:t xml:space="preserve">Up to n concurrent bookings, then full</w:t>
            </w:r>
          </w:p>
        </w:tc>
      </w:tr>
      <w:tr>
        <w:tc>
          <w:tcPr>
            <w:tcW w:type="dxa" w:w="2900"/>
            <w:shd w:fill="FFFFFF" w:val="clear"/>
            <w:tcMar>
              <w:top w:type="dxa" w:w="50"/>
              <w:left w:type="dxa" w:w="100"/>
              <w:bottom w:type="dxa" w:w="50"/>
              <w:right w:type="dxa" w:w="100"/>
            </w:tcMar>
          </w:tcPr>
          <w:p>
            <w:r>
              <w:rPr>
                <w:rFonts w:ascii="Calibri" w:cs="Calibri" w:eastAsia="Calibri" w:hAnsi="Calibri"/>
                <w:color w:val="1A2332"/>
                <w:sz w:val="19"/>
                <w:szCs w:val="19"/>
              </w:rPr>
              <w:t xml:space="preserve">Load-based (ceiling, warn-at)</w:t>
            </w:r>
          </w:p>
        </w:tc>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All human resources</w:t>
            </w:r>
          </w:p>
        </w:tc>
        <w:tc>
          <w:tcPr>
            <w:tcW w:type="dxa" w:w="3100"/>
            <w:shd w:fill="FFFFFF" w:val="clear"/>
            <w:tcMar>
              <w:top w:type="dxa" w:w="50"/>
              <w:left w:type="dxa" w:w="100"/>
              <w:bottom w:type="dxa" w:w="50"/>
              <w:right w:type="dxa" w:w="100"/>
            </w:tcMar>
          </w:tcPr>
          <w:p>
            <w:r>
              <w:rPr>
                <w:rFonts w:ascii="Calibri" w:cs="Calibri" w:eastAsia="Calibri" w:hAnsi="Calibri"/>
                <w:color w:val="1A2332"/>
                <w:sz w:val="19"/>
                <w:szCs w:val="19"/>
              </w:rPr>
              <w:t xml:space="preserve">Bookings accumulate % load; overlap allowed; warn past ceiling</w:t>
            </w:r>
          </w:p>
        </w:tc>
      </w:tr>
    </w:tbl>
    <w:p>
      <w:pPr>
        <w:spacing w:after="100"/>
      </w:pPr>
    </w:p>
    <w:p>
      <w:pPr>
        <w:spacing w:after="120" w:line="276"/>
      </w:pPr>
      <w:r>
        <w:rPr>
          <w:rFonts w:ascii="Calibri" w:cs="Calibri" w:eastAsia="Calibri" w:hAnsi="Calibri"/>
          <w:color w:val="1A2332"/>
          <w:sz w:val="21"/>
          <w:szCs w:val="21"/>
        </w:rPr>
        <w:t xml:space="preserve">Humans are never truly at a clean 100% and routinely multi-task, so human resources use </w:t>
      </w:r>
      <w:r>
        <w:rPr>
          <w:rFonts w:ascii="Calibri" w:cs="Calibri" w:eastAsia="Calibri" w:hAnsi="Calibri"/>
          <w:b/>
          <w:bCs/>
          <w:color w:val="1A2332"/>
          <w:sz w:val="21"/>
          <w:szCs w:val="21"/>
        </w:rPr>
        <w:t xml:space="preserve">load-based capacity with warn-and-allow</w:t>
      </w:r>
      <w:r>
        <w:rPr>
          <w:rFonts w:ascii="Calibri" w:cs="Calibri" w:eastAsia="Calibri" w:hAnsi="Calibri"/>
          <w:color w:val="1A2332"/>
          <w:sz w:val="21"/>
          <w:szCs w:val="21"/>
        </w:rPr>
        <w:t xml:space="preserve">: a booking consumes a percentage of availability, overlaps are permitted, and crossing the ceiling raises a visible warning but never blocks. Equipment uses hard ceilings. Ceilings are per-resource attributes (a senior resource may tolerate a higher ceiling than a new one), not a global constant.</w:t>
      </w:r>
    </w:p>
    <w:p>
      <w:pPr>
        <w:spacing w:after="60" w:line="264"/>
      </w:pPr>
      <w:r>
        <w:rPr>
          <w:rFonts w:ascii="Calibri" w:cs="Calibri" w:eastAsia="Calibri" w:hAnsi="Calibri"/>
          <w:b/>
          <w:bCs/>
          <w:color w:val="2C5F7C"/>
          <w:sz w:val="20"/>
          <w:szCs w:val="20"/>
        </w:rPr>
        <w:t xml:space="preserve">Engine: </w:t>
      </w:r>
      <w:r>
        <w:rPr>
          <w:rFonts w:ascii="Calibri" w:cs="Calibri" w:eastAsia="Calibri" w:hAnsi="Calibri"/>
          <w:color w:val="1A2332"/>
          <w:sz w:val="20"/>
          <w:szCs w:val="20"/>
        </w:rPr>
        <w:t xml:space="preserve">per-resource capacity model, fractional load accumulation, per-person ceilings and warn thresholds.</w:t>
      </w:r>
    </w:p>
    <w:p>
      <w:pPr>
        <w:spacing w:after="60" w:line="264"/>
      </w:pPr>
      <w:r>
        <w:rPr>
          <w:rFonts w:ascii="Calibri" w:cs="Calibri" w:eastAsia="Calibri" w:hAnsi="Calibri"/>
          <w:b/>
          <w:bCs/>
          <w:color w:val="8A5A2B"/>
          <w:sz w:val="20"/>
          <w:szCs w:val="20"/>
        </w:rPr>
        <w:t xml:space="preserve">Surface — booker: </w:t>
      </w:r>
      <w:r>
        <w:rPr>
          <w:rFonts w:ascii="Calibri" w:cs="Calibri" w:eastAsia="Calibri" w:hAnsi="Calibri"/>
          <w:color w:val="1A2332"/>
          <w:sz w:val="20"/>
          <w:szCs w:val="20"/>
        </w:rPr>
        <w:t xml:space="preserve">a booking either goes through cleanly or shows one gentle warning with a proceed option (e.g. "this puts Sarah at 115% — proceed?"). No percentage math shown unless requested.</w:t>
      </w:r>
    </w:p>
    <w:p>
      <w:pPr>
        <w:spacing w:after="60" w:line="264"/>
      </w:pPr>
      <w:r>
        <w:rPr>
          <w:rFonts w:ascii="Calibri" w:cs="Calibri" w:eastAsia="Calibri" w:hAnsi="Calibri"/>
          <w:b/>
          <w:bCs/>
          <w:color w:val="8A5A2B"/>
          <w:sz w:val="20"/>
          <w:szCs w:val="20"/>
        </w:rPr>
        <w:t xml:space="preserve">Surface — team lead: </w:t>
      </w:r>
      <w:r>
        <w:rPr>
          <w:rFonts w:ascii="Calibri" w:cs="Calibri" w:eastAsia="Calibri" w:hAnsi="Calibri"/>
          <w:color w:val="1A2332"/>
          <w:sz w:val="20"/>
          <w:szCs w:val="20"/>
        </w:rPr>
        <w:t xml:space="preserve">team load at a glance, with over-ceiling resources flagged. The capacity picture is their tool, not the booker's.</w:t>
      </w:r>
    </w:p>
    <w:p>
      <w:pPr>
        <w:spacing w:after="60" w:line="264"/>
      </w:pPr>
      <w:r>
        <w:rPr>
          <w:rFonts w:ascii="Calibri" w:cs="Calibri" w:eastAsia="Calibri" w:hAnsi="Calibri"/>
          <w:b/>
          <w:bCs/>
          <w:color w:val="8A5A2B"/>
          <w:sz w:val="20"/>
          <w:szCs w:val="20"/>
        </w:rPr>
        <w:t xml:space="preserve">Surface — the resource: </w:t>
      </w:r>
      <w:r>
        <w:rPr>
          <w:rFonts w:ascii="Calibri" w:cs="Calibri" w:eastAsia="Calibri" w:hAnsi="Calibri"/>
          <w:color w:val="1A2332"/>
          <w:sz w:val="20"/>
          <w:szCs w:val="20"/>
        </w:rPr>
        <w:t xml:space="preserve">does not see capacity mechanics at all.</w:t>
      </w:r>
    </w:p>
    <w:p>
      <w:pPr>
        <w:pStyle w:val="Heading2"/>
        <w:spacing w:after="100" w:before="240"/>
      </w:pPr>
      <w:r>
        <w:rPr>
          <w:rFonts w:ascii="Calibri" w:cs="Calibri" w:eastAsia="Calibri" w:hAnsi="Calibri"/>
          <w:b/>
          <w:bCs/>
          <w:color w:val="2C5F7C"/>
          <w:sz w:val="25"/>
          <w:szCs w:val="25"/>
        </w:rPr>
        <w:t xml:space="preserve">4.2 Booking states (design direction)</w:t>
      </w:r>
    </w:p>
    <w:p>
      <w:pPr>
        <w:spacing w:after="120" w:line="276"/>
      </w:pPr>
      <w:r>
        <w:rPr>
          <w:rFonts w:ascii="Calibri" w:cs="Calibri" w:eastAsia="Calibri" w:hAnsi="Calibri"/>
          <w:color w:val="1A2332"/>
          <w:sz w:val="21"/>
          <w:szCs w:val="21"/>
        </w:rPr>
        <w:t xml:space="preserve">Booking states are governed by application logic (Edge Functions) so that flexible states can coexist by rule, while a hard invariant is still enforced at the database level for correctness.</w:t>
      </w:r>
    </w:p>
    <w:p>
      <w:pPr>
        <w:pStyle w:val="ListParagraph"/>
        <w:numPr>
          <w:ilvl w:val="0"/>
          <w:numId w:val="2"/>
        </w:numPr>
        <w:spacing w:after="70" w:line="268"/>
      </w:pPr>
      <w:r>
        <w:rPr>
          <w:rFonts w:ascii="Calibri" w:cs="Calibri" w:eastAsia="Calibri" w:hAnsi="Calibri"/>
          <w:b/>
          <w:bCs/>
          <w:color w:val="1A2332"/>
          <w:sz w:val="21"/>
          <w:szCs w:val="21"/>
        </w:rPr>
        <w:t xml:space="preserve">soft_hold</w:t>
      </w:r>
      <w:r>
        <w:rPr>
          <w:rFonts w:ascii="Calibri" w:cs="Calibri" w:eastAsia="Calibri" w:hAnsi="Calibri"/>
          <w:color w:val="1A2332"/>
          <w:sz w:val="21"/>
          <w:szCs w:val="21"/>
        </w:rPr>
        <w:t xml:space="preserve"> — a short-lived reservation while a user decides; expires automatically.</w:t>
      </w:r>
    </w:p>
    <w:p>
      <w:pPr>
        <w:pStyle w:val="ListParagraph"/>
        <w:numPr>
          <w:ilvl w:val="0"/>
          <w:numId w:val="2"/>
        </w:numPr>
        <w:spacing w:after="70" w:line="268"/>
      </w:pPr>
      <w:r>
        <w:rPr>
          <w:rFonts w:ascii="Calibri" w:cs="Calibri" w:eastAsia="Calibri" w:hAnsi="Calibri"/>
          <w:b/>
          <w:bCs/>
          <w:color w:val="1A2332"/>
          <w:sz w:val="21"/>
          <w:szCs w:val="21"/>
        </w:rPr>
        <w:t xml:space="preserve">tentative</w:t>
      </w:r>
      <w:r>
        <w:rPr>
          <w:rFonts w:ascii="Calibri" w:cs="Calibri" w:eastAsia="Calibri" w:hAnsi="Calibri"/>
          <w:color w:val="1A2332"/>
          <w:sz w:val="21"/>
          <w:szCs w:val="21"/>
        </w:rPr>
        <w:t xml:space="preserve"> — pending approval; may coexist with other tentatives.</w:t>
      </w:r>
    </w:p>
    <w:p>
      <w:pPr>
        <w:pStyle w:val="ListParagraph"/>
        <w:numPr>
          <w:ilvl w:val="0"/>
          <w:numId w:val="2"/>
        </w:numPr>
        <w:spacing w:after="70" w:line="268"/>
      </w:pPr>
      <w:r>
        <w:rPr>
          <w:rFonts w:ascii="Calibri" w:cs="Calibri" w:eastAsia="Calibri" w:hAnsi="Calibri"/>
          <w:b/>
          <w:bCs/>
          <w:color w:val="1A2332"/>
          <w:sz w:val="21"/>
          <w:szCs w:val="21"/>
        </w:rPr>
        <w:t xml:space="preserve">confirmed</w:t>
      </w:r>
      <w:r>
        <w:rPr>
          <w:rFonts w:ascii="Calibri" w:cs="Calibri" w:eastAsia="Calibri" w:hAnsi="Calibri"/>
          <w:color w:val="1A2332"/>
          <w:sz w:val="21"/>
          <w:szCs w:val="21"/>
        </w:rPr>
        <w:t xml:space="preserve"> — approved; consumes capacity.</w:t>
      </w:r>
    </w:p>
    <w:p>
      <w:pPr>
        <w:pStyle w:val="ListParagraph"/>
        <w:numPr>
          <w:ilvl w:val="0"/>
          <w:numId w:val="2"/>
        </w:numPr>
        <w:spacing w:after="70" w:line="268"/>
      </w:pPr>
      <w:r>
        <w:rPr>
          <w:rFonts w:ascii="Calibri" w:cs="Calibri" w:eastAsia="Calibri" w:hAnsi="Calibri"/>
          <w:b/>
          <w:bCs/>
          <w:color w:val="1A2332"/>
          <w:sz w:val="21"/>
          <w:szCs w:val="21"/>
        </w:rPr>
        <w:t xml:space="preserve">cancelled / expired</w:t>
      </w:r>
      <w:r>
        <w:rPr>
          <w:rFonts w:ascii="Calibri" w:cs="Calibri" w:eastAsia="Calibri" w:hAnsi="Calibri"/>
          <w:color w:val="1A2332"/>
          <w:sz w:val="21"/>
          <w:szCs w:val="21"/>
        </w:rPr>
        <w:t xml:space="preserve"> — ignored for availability.</w:t>
      </w:r>
    </w:p>
    <w:p>
      <w:pPr>
        <w:spacing w:after="120" w:line="276"/>
      </w:pPr>
      <w:r>
        <w:rPr>
          <w:rFonts w:ascii="Calibri" w:cs="Calibri" w:eastAsia="Calibri" w:hAnsi="Calibri"/>
          <w:color w:val="1A2332"/>
          <w:sz w:val="21"/>
          <w:szCs w:val="21"/>
        </w:rPr>
        <w:t xml:space="preserve">Design direction: use </w:t>
      </w:r>
      <w:r>
        <w:rPr>
          <w:rFonts w:ascii="Calibri" w:cs="Calibri" w:eastAsia="Calibri" w:hAnsi="Calibri"/>
          <w:b/>
          <w:bCs/>
          <w:color w:val="1A2332"/>
          <w:sz w:val="21"/>
          <w:szCs w:val="21"/>
        </w:rPr>
        <w:t xml:space="preserve">application logic for the flexible states</w:t>
      </w:r>
      <w:r>
        <w:rPr>
          <w:rFonts w:ascii="Calibri" w:cs="Calibri" w:eastAsia="Calibri" w:hAnsi="Calibri"/>
          <w:color w:val="1A2332"/>
          <w:sz w:val="21"/>
          <w:szCs w:val="21"/>
        </w:rPr>
        <w:t xml:space="preserve"> (soft-holds, tentatives, approvals) and a </w:t>
      </w:r>
      <w:r>
        <w:rPr>
          <w:rFonts w:ascii="Calibri" w:cs="Calibri" w:eastAsia="Calibri" w:hAnsi="Calibri"/>
          <w:b/>
          <w:bCs/>
          <w:color w:val="1A2332"/>
          <w:sz w:val="21"/>
          <w:szCs w:val="21"/>
        </w:rPr>
        <w:t xml:space="preserve">partial database constraint for the one hard invariant</w:t>
      </w:r>
      <w:r>
        <w:rPr>
          <w:rFonts w:ascii="Calibri" w:cs="Calibri" w:eastAsia="Calibri" w:hAnsi="Calibri"/>
          <w:color w:val="1A2332"/>
          <w:sz w:val="21"/>
          <w:szCs w:val="21"/>
        </w:rPr>
        <w:t xml:space="preserve"> — no two confirmed bookings may overlap for an exclusive resource. This gives flexibility where wanted and a physical guarantee (including against race conditions) where it matters. Load-based resources are governed entirely by application logic, since overlap is expected.</w:t>
      </w:r>
    </w:p>
    <w:p>
      <w:pPr>
        <w:pStyle w:val="Heading2"/>
        <w:spacing w:after="100" w:before="240"/>
      </w:pPr>
      <w:r>
        <w:rPr>
          <w:rFonts w:ascii="Calibri" w:cs="Calibri" w:eastAsia="Calibri" w:hAnsi="Calibri"/>
          <w:b/>
          <w:bCs/>
          <w:color w:val="2C5F7C"/>
          <w:sz w:val="25"/>
          <w:szCs w:val="25"/>
        </w:rPr>
        <w:t xml:space="preserve">4.3 Blackout / unavailability</w:t>
      </w:r>
    </w:p>
    <w:p>
      <w:pPr>
        <w:spacing w:after="120" w:line="276"/>
      </w:pPr>
      <w:r>
        <w:rPr>
          <w:rFonts w:ascii="Calibri" w:cs="Calibri" w:eastAsia="Calibri" w:hAnsi="Calibri"/>
          <w:color w:val="1A2332"/>
          <w:sz w:val="21"/>
          <w:szCs w:val="21"/>
        </w:rPr>
        <w:t xml:space="preserve">Resource unavailability (leave, maintenance, holidays) is modeled separately from bookings. This is distinct from capacity load and must be represented as its own concept.</w:t>
      </w:r>
    </w:p>
    <w:p>
      <w:pPr>
        <w:pStyle w:val="Heading1"/>
        <w:spacing w:after="140" w:before="360"/>
      </w:pPr>
      <w:r>
        <w:rPr>
          <w:rFonts w:ascii="Calibri" w:cs="Calibri" w:eastAsia="Calibri" w:hAnsi="Calibri"/>
          <w:b/>
          <w:bCs/>
          <w:color w:val="1A2332"/>
          <w:sz w:val="30"/>
          <w:szCs w:val="30"/>
        </w:rPr>
        <w:t xml:space="preserve">5. Accountability, Work Types &amp; SLAs</w:t>
      </w:r>
    </w:p>
    <w:p>
      <w:pPr>
        <w:spacing w:after="120" w:line="276"/>
      </w:pPr>
      <w:r>
        <w:rPr>
          <w:rFonts w:ascii="Calibri" w:cs="Calibri" w:eastAsia="Calibri" w:hAnsi="Calibri"/>
          <w:color w:val="1A2332"/>
          <w:sz w:val="21"/>
          <w:szCs w:val="21"/>
        </w:rPr>
        <w:t xml:space="preserve">This is the most nuanced area of the design and contains the platform's primary differentiators. The essential realization: accountability is not uniform across human resources. "Work type with an SLA" applies to creative, deliverable-producing resources — not to all humans.</w:t>
      </w:r>
    </w:p>
    <w:p>
      <w:pPr>
        <w:pStyle w:val="Heading2"/>
        <w:spacing w:after="100" w:before="240"/>
      </w:pPr>
      <w:r>
        <w:rPr>
          <w:rFonts w:ascii="Calibri" w:cs="Calibri" w:eastAsia="Calibri" w:hAnsi="Calibri"/>
          <w:b/>
          <w:bCs/>
          <w:color w:val="2C5F7C"/>
          <w:sz w:val="25"/>
          <w:szCs w:val="25"/>
        </w:rPr>
        <w:t xml:space="preserve">5.1 Accountability is a spectrum</w:t>
      </w:r>
    </w:p>
    <w:p>
      <w:pPr>
        <w:spacing w:after="120" w:line="276"/>
      </w:pPr>
      <w:r>
        <w:rPr>
          <w:rFonts w:ascii="Calibri" w:cs="Calibri" w:eastAsia="Calibri" w:hAnsi="Calibri"/>
          <w:color w:val="1A2332"/>
          <w:sz w:val="21"/>
          <w:szCs w:val="21"/>
        </w:rPr>
        <w:t xml:space="preserve">Different human resource types are measured in fundamentally different ways. Forcing them all through a single SLA engine would be wrong. Meridian's real department structure (from the org chart) grounds the roles and their accountability shapes:</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3600"/>
        <w:gridCol w:w="5760"/>
      </w:tblGrid>
      <w:tr>
        <w:trPr>
          <w:tblHeader/>
        </w:trPr>
        <w:tc>
          <w:tcPr>
            <w:tcW w:type="dxa" w:w="36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Meridian department / role</w:t>
            </w:r>
          </w:p>
        </w:tc>
        <w:tc>
          <w:tcPr>
            <w:tcW w:type="dxa" w:w="576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Accountability shape</w:t>
            </w:r>
          </w:p>
        </w:tc>
      </w:tr>
      <w:tr>
        <w:tc>
          <w:tcPr>
            <w:tcW w:type="dxa" w:w="3600"/>
            <w:shd w:fill="FFFFFF" w:val="clear"/>
            <w:tcMar>
              <w:top w:type="dxa" w:w="50"/>
              <w:left w:type="dxa" w:w="100"/>
              <w:bottom w:type="dxa" w:w="50"/>
              <w:right w:type="dxa" w:w="100"/>
            </w:tcMar>
          </w:tcPr>
          <w:p>
            <w:r>
              <w:rPr>
                <w:rFonts w:ascii="Calibri" w:cs="Calibri" w:eastAsia="Calibri" w:hAnsi="Calibri"/>
                <w:color w:val="1A2332"/>
                <w:sz w:val="19"/>
                <w:szCs w:val="19"/>
              </w:rPr>
              <w:t xml:space="preserve">Creative (Art &amp; Video; Copy, Social &amp; Content)</w:t>
            </w:r>
          </w:p>
        </w:tc>
        <w:tc>
          <w:tcPr>
            <w:tcW w:type="dxa" w:w="5760"/>
            <w:shd w:fill="FFFFFF" w:val="clear"/>
            <w:tcMar>
              <w:top w:type="dxa" w:w="50"/>
              <w:left w:type="dxa" w:w="100"/>
              <w:bottom w:type="dxa" w:w="50"/>
              <w:right w:type="dxa" w:w="100"/>
            </w:tcMar>
          </w:tcPr>
          <w:p>
            <w:r>
              <w:rPr>
                <w:rFonts w:ascii="Calibri" w:cs="Calibri" w:eastAsia="Calibri" w:hAnsi="Calibri"/>
                <w:color w:val="1A2332"/>
                <w:sz w:val="19"/>
                <w:szCs w:val="19"/>
              </w:rPr>
              <w:t xml:space="preserve">Deliverable SLAs — turnaround on outputs, revision-bounded, quality-linked</w:t>
            </w:r>
          </w:p>
        </w:tc>
      </w:tr>
      <w:tr>
        <w:tc>
          <w:tcPr>
            <w:tcW w:type="dxa" w:w="3600"/>
            <w:shd w:fill="EEF2F5" w:val="clear"/>
            <w:tcMar>
              <w:top w:type="dxa" w:w="50"/>
              <w:left w:type="dxa" w:w="100"/>
              <w:bottom w:type="dxa" w:w="50"/>
              <w:right w:type="dxa" w:w="100"/>
            </w:tcMar>
          </w:tcPr>
          <w:p>
            <w:r>
              <w:rPr>
                <w:rFonts w:ascii="Calibri" w:cs="Calibri" w:eastAsia="Calibri" w:hAnsi="Calibri"/>
                <w:color w:val="1A2332"/>
                <w:sz w:val="19"/>
                <w:szCs w:val="19"/>
              </w:rPr>
              <w:t xml:space="preserve">Production (Pre-Prod → On-Set → Post-Prod pipeline)</w:t>
            </w:r>
          </w:p>
        </w:tc>
        <w:tc>
          <w:tcPr>
            <w:tcW w:type="dxa" w:w="5760"/>
            <w:shd w:fill="EEF2F5" w:val="clear"/>
            <w:tcMar>
              <w:top w:type="dxa" w:w="50"/>
              <w:left w:type="dxa" w:w="100"/>
              <w:bottom w:type="dxa" w:w="50"/>
              <w:right w:type="dxa" w:w="100"/>
            </w:tcMar>
          </w:tcPr>
          <w:p>
            <w:r>
              <w:rPr>
                <w:rFonts w:ascii="Calibri" w:cs="Calibri" w:eastAsia="Calibri" w:hAnsi="Calibri"/>
                <w:color w:val="1A2332"/>
                <w:sz w:val="19"/>
                <w:szCs w:val="19"/>
              </w:rPr>
              <w:t xml:space="preserve">Stage-gated deliverable SLAs — milestone dates per stage (shoot, first cut, final)</w:t>
            </w:r>
          </w:p>
        </w:tc>
      </w:tr>
      <w:tr>
        <w:tc>
          <w:tcPr>
            <w:tcW w:type="dxa" w:w="3600"/>
            <w:shd w:fill="FFFFFF" w:val="clear"/>
            <w:tcMar>
              <w:top w:type="dxa" w:w="50"/>
              <w:left w:type="dxa" w:w="100"/>
              <w:bottom w:type="dxa" w:w="50"/>
              <w:right w:type="dxa" w:w="100"/>
            </w:tcMar>
          </w:tcPr>
          <w:p>
            <w:r>
              <w:rPr>
                <w:rFonts w:ascii="Calibri" w:cs="Calibri" w:eastAsia="Calibri" w:hAnsi="Calibri"/>
                <w:color w:val="1A2332"/>
                <w:sz w:val="19"/>
                <w:szCs w:val="19"/>
              </w:rPr>
              <w:t xml:space="preserve">Performance Marketing</w:t>
            </w:r>
          </w:p>
        </w:tc>
        <w:tc>
          <w:tcPr>
            <w:tcW w:type="dxa" w:w="5760"/>
            <w:shd w:fill="FFFFFF" w:val="clear"/>
            <w:tcMar>
              <w:top w:type="dxa" w:w="50"/>
              <w:left w:type="dxa" w:w="100"/>
              <w:bottom w:type="dxa" w:w="50"/>
              <w:right w:type="dxa" w:w="100"/>
            </w:tcMar>
          </w:tcPr>
          <w:p>
            <w:r>
              <w:rPr>
                <w:rFonts w:ascii="Calibri" w:cs="Calibri" w:eastAsia="Calibri" w:hAnsi="Calibri"/>
                <w:color w:val="1A2332"/>
                <w:sz w:val="19"/>
                <w:szCs w:val="19"/>
              </w:rPr>
              <w:t xml:space="preserve">Outcome-based — ROAS, CPA/CPL against spend; campaign-flight deadlines</w:t>
            </w:r>
          </w:p>
        </w:tc>
      </w:tr>
      <w:tr>
        <w:tc>
          <w:tcPr>
            <w:tcW w:type="dxa" w:w="3600"/>
            <w:shd w:fill="EEF2F5" w:val="clear"/>
            <w:tcMar>
              <w:top w:type="dxa" w:w="50"/>
              <w:left w:type="dxa" w:w="100"/>
              <w:bottom w:type="dxa" w:w="50"/>
              <w:right w:type="dxa" w:w="100"/>
            </w:tcMar>
          </w:tcPr>
          <w:p>
            <w:r>
              <w:rPr>
                <w:rFonts w:ascii="Calibri" w:cs="Calibri" w:eastAsia="Calibri" w:hAnsi="Calibri"/>
                <w:color w:val="1A2332"/>
                <w:sz w:val="19"/>
                <w:szCs w:val="19"/>
              </w:rPr>
              <w:t xml:space="preserve">Influencers</w:t>
            </w:r>
          </w:p>
        </w:tc>
        <w:tc>
          <w:tcPr>
            <w:tcW w:type="dxa" w:w="5760"/>
            <w:shd w:fill="EEF2F5" w:val="clear"/>
            <w:tcMar>
              <w:top w:type="dxa" w:w="50"/>
              <w:left w:type="dxa" w:w="100"/>
              <w:bottom w:type="dxa" w:w="50"/>
              <w:right w:type="dxa" w:w="100"/>
            </w:tcMar>
          </w:tcPr>
          <w:p>
            <w:r>
              <w:rPr>
                <w:rFonts w:ascii="Calibri" w:cs="Calibri" w:eastAsia="Calibri" w:hAnsi="Calibri"/>
                <w:color w:val="1A2332"/>
                <w:sz w:val="19"/>
                <w:szCs w:val="19"/>
              </w:rPr>
              <w:t xml:space="preserve">Coverage &amp; delivery — creator briefing, drafts, go-live milestones</w:t>
            </w:r>
          </w:p>
        </w:tc>
      </w:tr>
      <w:tr>
        <w:tc>
          <w:tcPr>
            <w:tcW w:type="dxa" w:w="3600"/>
            <w:shd w:fill="FFFFFF" w:val="clear"/>
            <w:tcMar>
              <w:top w:type="dxa" w:w="50"/>
              <w:left w:type="dxa" w:w="100"/>
              <w:bottom w:type="dxa" w:w="50"/>
              <w:right w:type="dxa" w:w="100"/>
            </w:tcMar>
          </w:tcPr>
          <w:p>
            <w:r>
              <w:rPr>
                <w:rFonts w:ascii="Calibri" w:cs="Calibri" w:eastAsia="Calibri" w:hAnsi="Calibri"/>
                <w:color w:val="1A2332"/>
                <w:sz w:val="19"/>
                <w:szCs w:val="19"/>
              </w:rPr>
              <w:t xml:space="preserve">Client Services (Account Mgmt)</w:t>
            </w:r>
          </w:p>
        </w:tc>
        <w:tc>
          <w:tcPr>
            <w:tcW w:type="dxa" w:w="5760"/>
            <w:shd w:fill="FFFFFF" w:val="clear"/>
            <w:tcMar>
              <w:top w:type="dxa" w:w="50"/>
              <w:left w:type="dxa" w:w="100"/>
              <w:bottom w:type="dxa" w:w="50"/>
              <w:right w:type="dxa" w:w="100"/>
            </w:tcMar>
          </w:tcPr>
          <w:p>
            <w:r>
              <w:rPr>
                <w:rFonts w:ascii="Calibri" w:cs="Calibri" w:eastAsia="Calibri" w:hAnsi="Calibri"/>
                <w:color w:val="1A2332"/>
                <w:sz w:val="19"/>
                <w:szCs w:val="19"/>
              </w:rPr>
              <w:t xml:space="preserve">Ownership/coordination — owns intake and client relationship, not deliverable SLAs</w:t>
            </w:r>
          </w:p>
        </w:tc>
      </w:tr>
      <w:tr>
        <w:tc>
          <w:tcPr>
            <w:tcW w:type="dxa" w:w="3600"/>
            <w:shd w:fill="EEF2F5" w:val="clear"/>
            <w:tcMar>
              <w:top w:type="dxa" w:w="50"/>
              <w:left w:type="dxa" w:w="100"/>
              <w:bottom w:type="dxa" w:w="50"/>
              <w:right w:type="dxa" w:w="100"/>
            </w:tcMar>
          </w:tcPr>
          <w:p>
            <w:r>
              <w:rPr>
                <w:rFonts w:ascii="Calibri" w:cs="Calibri" w:eastAsia="Calibri" w:hAnsi="Calibri"/>
                <w:color w:val="1A2332"/>
                <w:sz w:val="19"/>
                <w:szCs w:val="19"/>
              </w:rPr>
              <w:t xml:space="preserve">Support functions (Accounting, P&amp;C, IT)</w:t>
            </w:r>
          </w:p>
        </w:tc>
        <w:tc>
          <w:tcPr>
            <w:tcW w:type="dxa" w:w="5760"/>
            <w:shd w:fill="EEF2F5" w:val="clear"/>
            <w:tcMar>
              <w:top w:type="dxa" w:w="50"/>
              <w:left w:type="dxa" w:w="100"/>
              <w:bottom w:type="dxa" w:w="50"/>
              <w:right w:type="dxa" w:w="100"/>
            </w:tcMar>
          </w:tcPr>
          <w:p>
            <w:r>
              <w:rPr>
                <w:rFonts w:ascii="Calibri" w:cs="Calibri" w:eastAsia="Calibri" w:hAnsi="Calibri"/>
                <w:color w:val="1A2332"/>
                <w:sz w:val="19"/>
                <w:szCs w:val="19"/>
              </w:rPr>
              <w:t xml:space="preserve">Capacity + hours, or response-time SLAs — not creative deliverable SLAs</w:t>
            </w:r>
          </w:p>
        </w:tc>
      </w:tr>
    </w:tbl>
    <w:p>
      <w:pPr>
        <w:spacing w:after="60"/>
      </w:pPr>
    </w:p>
    <w:p>
      <w:pPr>
        <w:spacing w:after="120" w:line="276"/>
      </w:pPr>
      <w:r>
        <w:rPr>
          <w:rFonts w:ascii="Calibri" w:cs="Calibri" w:eastAsia="Calibri" w:hAnsi="Calibri"/>
          <w:i/>
          <w:iCs/>
          <w:color w:val="5A6472"/>
          <w:sz w:val="21"/>
          <w:szCs w:val="21"/>
        </w:rPr>
        <w:t xml:space="preserve">The structure confirms the design's core claim: accountability is role- and work-type-specific, not uniform. It also confirms Production is a genuine multi-stage pipeline — reinforcing stage-gated SLAs for production work — and that Meridian is multi-office (Baghdad, Dubai, Cairo) and bilingual (English/Arabic, RTL), both designed-in requirements rather than assumptions.</w:t>
      </w:r>
    </w:p>
    <w:p>
      <w:pPr>
        <w:spacing w:after="100"/>
      </w:pPr>
    </w:p>
    <w:p>
      <w:pPr>
        <w:pStyle w:val="Heading2"/>
        <w:spacing w:after="100" w:before="240"/>
      </w:pPr>
      <w:r>
        <w:rPr>
          <w:rFonts w:ascii="Calibri" w:cs="Calibri" w:eastAsia="Calibri" w:hAnsi="Calibri"/>
          <w:b/>
          <w:bCs/>
          <w:color w:val="2C5F7C"/>
          <w:sz w:val="25"/>
          <w:szCs w:val="25"/>
        </w:rPr>
        <w:t xml:space="preserve">5.2 The separation that keeps this clean</w:t>
      </w:r>
    </w:p>
    <w:p>
      <w:pPr>
        <w:spacing w:after="120" w:line="276"/>
      </w:pPr>
      <w:r>
        <w:rPr>
          <w:rFonts w:ascii="Calibri" w:cs="Calibri" w:eastAsia="Calibri" w:hAnsi="Calibri"/>
          <w:color w:val="1A2332"/>
          <w:sz w:val="21"/>
          <w:szCs w:val="21"/>
        </w:rPr>
        <w:t xml:space="preserve">Three concerns are separated so that adding a new role never disturbs scheduling or billing:</w:t>
      </w:r>
    </w:p>
    <w:p>
      <w:pPr>
        <w:pStyle w:val="ListParagraph"/>
        <w:numPr>
          <w:ilvl w:val="0"/>
          <w:numId w:val="3"/>
        </w:numPr>
        <w:spacing w:after="70" w:line="268"/>
      </w:pPr>
      <w:r>
        <w:rPr>
          <w:rFonts w:ascii="Calibri" w:cs="Calibri" w:eastAsia="Calibri" w:hAnsi="Calibri"/>
          <w:b/>
          <w:bCs/>
          <w:color w:val="1A2332"/>
          <w:sz w:val="21"/>
          <w:szCs w:val="21"/>
        </w:rPr>
        <w:t xml:space="preserve">Capacity / scheduling</w:t>
      </w:r>
      <w:r>
        <w:rPr>
          <w:rFonts w:ascii="Calibri" w:cs="Calibri" w:eastAsia="Calibri" w:hAnsi="Calibri"/>
          <w:color w:val="1A2332"/>
          <w:sz w:val="21"/>
          <w:szCs w:val="21"/>
        </w:rPr>
        <w:t xml:space="preserve"> — universal. Every human is load-based-with-ceiling; equipment is exclusive/pooled.</w:t>
      </w:r>
    </w:p>
    <w:p>
      <w:pPr>
        <w:pStyle w:val="ListParagraph"/>
        <w:numPr>
          <w:ilvl w:val="0"/>
          <w:numId w:val="3"/>
        </w:numPr>
        <w:spacing w:after="70" w:line="268"/>
      </w:pPr>
      <w:r>
        <w:rPr>
          <w:rFonts w:ascii="Calibri" w:cs="Calibri" w:eastAsia="Calibri" w:hAnsi="Calibri"/>
          <w:b/>
          <w:bCs/>
          <w:color w:val="1A2332"/>
          <w:sz w:val="21"/>
          <w:szCs w:val="21"/>
        </w:rPr>
        <w:t xml:space="preserve">Billing</w:t>
      </w:r>
      <w:r>
        <w:rPr>
          <w:rFonts w:ascii="Calibri" w:cs="Calibri" w:eastAsia="Calibri" w:hAnsi="Calibri"/>
          <w:color w:val="1A2332"/>
          <w:sz w:val="21"/>
          <w:szCs w:val="21"/>
        </w:rPr>
        <w:t xml:space="preserve"> — largely universal (rate × time, or fixed-price), varying by configuration.</w:t>
      </w:r>
    </w:p>
    <w:p>
      <w:pPr>
        <w:pStyle w:val="ListParagraph"/>
        <w:numPr>
          <w:ilvl w:val="0"/>
          <w:numId w:val="3"/>
        </w:numPr>
        <w:spacing w:after="70" w:line="268"/>
      </w:pPr>
      <w:r>
        <w:rPr>
          <w:rFonts w:ascii="Calibri" w:cs="Calibri" w:eastAsia="Calibri" w:hAnsi="Calibri"/>
          <w:b/>
          <w:bCs/>
          <w:color w:val="1A2332"/>
          <w:sz w:val="21"/>
          <w:szCs w:val="21"/>
        </w:rPr>
        <w:t xml:space="preserve">Accountability / performance</w:t>
      </w:r>
      <w:r>
        <w:rPr>
          <w:rFonts w:ascii="Calibri" w:cs="Calibri" w:eastAsia="Calibri" w:hAnsi="Calibri"/>
          <w:color w:val="1A2332"/>
          <w:sz w:val="21"/>
          <w:szCs w:val="21"/>
        </w:rPr>
        <w:t xml:space="preserve"> — the dimension that fragments by role.</w:t>
      </w:r>
    </w:p>
    <w:p>
      <w:pPr>
        <w:spacing w:after="120" w:line="276"/>
      </w:pPr>
      <w:r>
        <w:rPr>
          <w:rFonts w:ascii="Calibri" w:cs="Calibri" w:eastAsia="Calibri" w:hAnsi="Calibri"/>
          <w:color w:val="1A2332"/>
          <w:sz w:val="21"/>
          <w:szCs w:val="21"/>
        </w:rPr>
        <w:t xml:space="preserve">Design move: treat </w:t>
      </w:r>
      <w:r>
        <w:rPr>
          <w:rFonts w:ascii="Calibri" w:cs="Calibri" w:eastAsia="Calibri" w:hAnsi="Calibri"/>
          <w:b/>
          <w:bCs/>
          <w:color w:val="1A2332"/>
          <w:sz w:val="21"/>
          <w:szCs w:val="21"/>
        </w:rPr>
        <w:t xml:space="preserve">accountability as a pluggable profile attached to a resource type</w:t>
      </w:r>
      <w:r>
        <w:rPr>
          <w:rFonts w:ascii="Calibri" w:cs="Calibri" w:eastAsia="Calibri" w:hAnsi="Calibri"/>
          <w:color w:val="1A2332"/>
          <w:sz w:val="21"/>
          <w:szCs w:val="21"/>
        </w:rPr>
        <w:t xml:space="preserve">, where "creative-deliverable-SLA" is one profile among several — alongside "sales-target", "event-coverage", "response-time-SLA", and "none". Capacity and billing stay common; only the accountability profile swaps out. Adding "sales rep" later becomes a new profile plugged into a resource type that already schedules and bills correctly.</w:t>
      </w:r>
    </w:p>
    <w:p>
      <w:pPr>
        <w:pStyle w:val="Heading2"/>
        <w:spacing w:after="100" w:before="240"/>
      </w:pPr>
      <w:r>
        <w:rPr>
          <w:rFonts w:ascii="Calibri" w:cs="Calibri" w:eastAsia="Calibri" w:hAnsi="Calibri"/>
          <w:b/>
          <w:bCs/>
          <w:color w:val="2C5F7C"/>
          <w:sz w:val="25"/>
          <w:szCs w:val="25"/>
        </w:rPr>
        <w:t xml:space="preserve">5.3 Work type as a first-class entity</w:t>
      </w:r>
    </w:p>
    <w:p>
      <w:pPr>
        <w:spacing w:after="120" w:line="276"/>
      </w:pPr>
      <w:r>
        <w:rPr>
          <w:rFonts w:ascii="Calibri" w:cs="Calibri" w:eastAsia="Calibri" w:hAnsi="Calibri"/>
          <w:color w:val="1A2332"/>
          <w:sz w:val="21"/>
          <w:szCs w:val="21"/>
        </w:rPr>
        <w:t xml:space="preserve">For resources whose accountability is deliverable-SLA (principally creatives), work type is the spine that ties scheduling, SLAs, and billing together. A booking optionally references a work type; when it does, that work type carries a default SLA profile, a default billing model, and a default capacity expectation. Bookings for non-SLA resources (e.g. support coverage) simply leave the work-type dimension null and never enter the SLA/performance machinery.</w:t>
      </w:r>
    </w:p>
    <w:p>
      <w:pPr>
        <w:pStyle w:val="Heading2"/>
        <w:spacing w:after="100" w:before="240"/>
      </w:pPr>
      <w:r>
        <w:rPr>
          <w:rFonts w:ascii="Calibri" w:cs="Calibri" w:eastAsia="Calibri" w:hAnsi="Calibri"/>
          <w:b/>
          <w:bCs/>
          <w:color w:val="2C5F7C"/>
          <w:sz w:val="25"/>
          <w:szCs w:val="25"/>
        </w:rPr>
        <w:t xml:space="preserve">5.4 SLA engine — design direction</w:t>
      </w:r>
    </w:p>
    <w:p>
      <w:pPr>
        <w:spacing w:after="120" w:line="276"/>
      </w:pPr>
      <w:r>
        <w:rPr>
          <w:rFonts w:ascii="Calibri" w:cs="Calibri" w:eastAsia="Calibri" w:hAnsi="Calibri"/>
          <w:color w:val="1A2332"/>
          <w:sz w:val="21"/>
          <w:szCs w:val="21"/>
        </w:rPr>
        <w:t xml:space="preserve">Work is predominantly deadline-driven: most work has a hard deadline. Variability lies in how the deadline is set, not whether one exists.</w:t>
      </w:r>
    </w:p>
    <w:p>
      <w:pPr>
        <w:pStyle w:val="ListParagraph"/>
        <w:numPr>
          <w:ilvl w:val="0"/>
          <w:numId w:val="2"/>
        </w:numPr>
        <w:spacing w:after="70" w:line="268"/>
      </w:pPr>
      <w:r>
        <w:rPr>
          <w:rFonts w:ascii="Calibri" w:cs="Calibri" w:eastAsia="Calibri" w:hAnsi="Calibri"/>
          <w:b/>
          <w:bCs/>
          <w:color w:val="1A2332"/>
          <w:sz w:val="21"/>
          <w:szCs w:val="21"/>
        </w:rPr>
        <w:t xml:space="preserve">Standardized work</w:t>
      </w:r>
      <w:r>
        <w:rPr>
          <w:rFonts w:ascii="Calibri" w:cs="Calibri" w:eastAsia="Calibri" w:hAnsi="Calibri"/>
          <w:color w:val="1A2332"/>
          <w:sz w:val="21"/>
          <w:szCs w:val="21"/>
        </w:rPr>
        <w:t xml:space="preserve"> (e.g. social posts, streaming) — deadline auto-calculated from the work type.</w:t>
      </w:r>
    </w:p>
    <w:p>
      <w:pPr>
        <w:pStyle w:val="ListParagraph"/>
        <w:numPr>
          <w:ilvl w:val="0"/>
          <w:numId w:val="2"/>
        </w:numPr>
        <w:spacing w:after="70" w:line="268"/>
      </w:pPr>
      <w:r>
        <w:rPr>
          <w:rFonts w:ascii="Calibri" w:cs="Calibri" w:eastAsia="Calibri" w:hAnsi="Calibri"/>
          <w:b/>
          <w:bCs/>
          <w:color w:val="1A2332"/>
          <w:sz w:val="21"/>
          <w:szCs w:val="21"/>
        </w:rPr>
        <w:t xml:space="preserve">Bespoke work</w:t>
      </w:r>
      <w:r>
        <w:rPr>
          <w:rFonts w:ascii="Calibri" w:cs="Calibri" w:eastAsia="Calibri" w:hAnsi="Calibri"/>
          <w:color w:val="1A2332"/>
          <w:sz w:val="21"/>
          <w:szCs w:val="21"/>
        </w:rPr>
        <w:t xml:space="preserve"> (e.g. brand identity) — deadline negotiated and set explicitly at intake, then treated as just as hard.</w:t>
      </w:r>
    </w:p>
    <w:p>
      <w:pPr>
        <w:spacing w:after="120" w:line="276"/>
      </w:pPr>
      <w:r>
        <w:rPr>
          <w:rFonts w:ascii="Calibri" w:cs="Calibri" w:eastAsia="Calibri" w:hAnsi="Calibri"/>
          <w:color w:val="1A2332"/>
          <w:sz w:val="21"/>
          <w:szCs w:val="21"/>
        </w:rPr>
        <w:t xml:space="preserve">Common machinery across work types, configured per profile:</w:t>
      </w:r>
    </w:p>
    <w:p>
      <w:pPr>
        <w:pStyle w:val="ListParagraph"/>
        <w:numPr>
          <w:ilvl w:val="0"/>
          <w:numId w:val="2"/>
        </w:numPr>
        <w:spacing w:after="70" w:line="268"/>
      </w:pPr>
      <w:r>
        <w:rPr>
          <w:rFonts w:ascii="Calibri" w:cs="Calibri" w:eastAsia="Calibri" w:hAnsi="Calibri"/>
          <w:color w:val="1A2332"/>
          <w:sz w:val="21"/>
          <w:szCs w:val="21"/>
        </w:rPr>
        <w:t xml:space="preserve">Which points are measured (end-to-end, stage transitions, or handoffs).</w:t>
      </w:r>
    </w:p>
    <w:p>
      <w:pPr>
        <w:pStyle w:val="ListParagraph"/>
        <w:numPr>
          <w:ilvl w:val="0"/>
          <w:numId w:val="2"/>
        </w:numPr>
        <w:spacing w:after="70" w:line="268"/>
      </w:pPr>
      <w:r>
        <w:rPr>
          <w:rFonts w:ascii="Calibri" w:cs="Calibri" w:eastAsia="Calibri" w:hAnsi="Calibri"/>
          <w:color w:val="1A2332"/>
          <w:sz w:val="21"/>
          <w:szCs w:val="21"/>
        </w:rPr>
        <w:t xml:space="preserve">Whether completion is committed (default) or, rarely, estimated.</w:t>
      </w:r>
    </w:p>
    <w:p>
      <w:pPr>
        <w:pStyle w:val="ListParagraph"/>
        <w:numPr>
          <w:ilvl w:val="0"/>
          <w:numId w:val="2"/>
        </w:numPr>
        <w:spacing w:after="70" w:line="268"/>
      </w:pPr>
      <w:r>
        <w:rPr>
          <w:rFonts w:ascii="Calibri" w:cs="Calibri" w:eastAsia="Calibri" w:hAnsi="Calibri"/>
          <w:b/>
          <w:bCs/>
          <w:color w:val="1A2332"/>
          <w:sz w:val="21"/>
          <w:szCs w:val="21"/>
        </w:rPr>
        <w:t xml:space="preserve">A pausable, attributable clock</w:t>
      </w:r>
      <w:r>
        <w:rPr>
          <w:rFonts w:ascii="Calibri" w:cs="Calibri" w:eastAsia="Calibri" w:hAnsi="Calibri"/>
          <w:color w:val="1A2332"/>
          <w:sz w:val="21"/>
          <w:szCs w:val="21"/>
        </w:rPr>
        <w:t xml:space="preserve"> — the clock pauses when work is genuinely blocked on the client (awaiting feedback, assets, approvals). Essential for fairness, and load-bearing once SLAs feed performance.</w:t>
      </w:r>
    </w:p>
    <w:p>
      <w:pPr>
        <w:pStyle w:val="ListParagraph"/>
        <w:numPr>
          <w:ilvl w:val="0"/>
          <w:numId w:val="2"/>
        </w:numPr>
        <w:spacing w:after="70" w:line="268"/>
      </w:pPr>
      <w:r>
        <w:rPr>
          <w:rFonts w:ascii="Calibri" w:cs="Calibri" w:eastAsia="Calibri" w:hAnsi="Calibri"/>
          <w:color w:val="1A2332"/>
          <w:sz w:val="21"/>
          <w:szCs w:val="21"/>
        </w:rPr>
        <w:t xml:space="preserve">Revision allowance before the deadline renegotiates (bounding otherwise-unbounded revision cycles).</w:t>
      </w:r>
    </w:p>
    <w:p>
      <w:pPr>
        <w:pStyle w:val="ListParagraph"/>
        <w:numPr>
          <w:ilvl w:val="0"/>
          <w:numId w:val="2"/>
        </w:numPr>
        <w:spacing w:after="70" w:line="268"/>
      </w:pPr>
      <w:r>
        <w:rPr>
          <w:rFonts w:ascii="Calibri" w:cs="Calibri" w:eastAsia="Calibri" w:hAnsi="Calibri"/>
          <w:color w:val="1A2332"/>
          <w:sz w:val="21"/>
          <w:szCs w:val="21"/>
        </w:rPr>
        <w:t xml:space="preserve">Breach handling (hard breach vs. warning vs. queue-priority effect).</w:t>
      </w:r>
    </w:p>
    <w:p>
      <w:pPr>
        <w:pStyle w:val="ListParagraph"/>
        <w:numPr>
          <w:ilvl w:val="0"/>
          <w:numId w:val="2"/>
        </w:numPr>
        <w:spacing w:after="70" w:line="268"/>
      </w:pPr>
      <w:r>
        <w:rPr>
          <w:rFonts w:ascii="Calibri" w:cs="Calibri" w:eastAsia="Calibri" w:hAnsi="Calibri"/>
          <w:color w:val="1A2332"/>
          <w:sz w:val="21"/>
          <w:szCs w:val="21"/>
        </w:rPr>
        <w:t xml:space="preserve">Billing linkage (fixed-price vs. time-and-materials).</w:t>
      </w:r>
    </w:p>
    <w:p>
      <w:pPr>
        <w:spacing w:after="60" w:line="264"/>
      </w:pPr>
      <w:r>
        <w:rPr>
          <w:rFonts w:ascii="Calibri" w:cs="Calibri" w:eastAsia="Calibri" w:hAnsi="Calibri"/>
          <w:b/>
          <w:bCs/>
          <w:color w:val="2C5F7C"/>
          <w:sz w:val="20"/>
          <w:szCs w:val="20"/>
        </w:rPr>
        <w:t xml:space="preserve">Engine: </w:t>
      </w:r>
      <w:r>
        <w:rPr>
          <w:rFonts w:ascii="Calibri" w:cs="Calibri" w:eastAsia="Calibri" w:hAnsi="Calibri"/>
          <w:color w:val="1A2332"/>
          <w:sz w:val="20"/>
          <w:szCs w:val="20"/>
        </w:rPr>
        <w:t xml:space="preserve">categorized SLA profiles, deadline derivation, pausable/attributable clock, revision bounding, breach handling.</w:t>
      </w:r>
    </w:p>
    <w:p>
      <w:pPr>
        <w:spacing w:after="60" w:line="264"/>
      </w:pPr>
      <w:r>
        <w:rPr>
          <w:rFonts w:ascii="Calibri" w:cs="Calibri" w:eastAsia="Calibri" w:hAnsi="Calibri"/>
          <w:b/>
          <w:bCs/>
          <w:color w:val="8A5A2B"/>
          <w:sz w:val="20"/>
          <w:szCs w:val="20"/>
        </w:rPr>
        <w:t xml:space="preserve">Surface — creative: </w:t>
      </w:r>
      <w:r>
        <w:rPr>
          <w:rFonts w:ascii="Calibri" w:cs="Calibri" w:eastAsia="Calibri" w:hAnsi="Calibri"/>
          <w:color w:val="1A2332"/>
          <w:sz w:val="20"/>
          <w:szCs w:val="20"/>
        </w:rPr>
        <w:t xml:space="preserve">sees a due date, already filled in, and a way to flag "blocked on client." SLA configuration is invisible.</w:t>
      </w:r>
    </w:p>
    <w:p>
      <w:pPr>
        <w:spacing w:after="60" w:line="264"/>
      </w:pPr>
      <w:r>
        <w:rPr>
          <w:rFonts w:ascii="Calibri" w:cs="Calibri" w:eastAsia="Calibri" w:hAnsi="Calibri"/>
          <w:b/>
          <w:bCs/>
          <w:color w:val="8A5A2B"/>
          <w:sz w:val="20"/>
          <w:szCs w:val="20"/>
        </w:rPr>
        <w:t xml:space="preserve">Surface — team lead: </w:t>
      </w:r>
      <w:r>
        <w:rPr>
          <w:rFonts w:ascii="Calibri" w:cs="Calibri" w:eastAsia="Calibri" w:hAnsi="Calibri"/>
          <w:color w:val="1A2332"/>
          <w:sz w:val="20"/>
          <w:szCs w:val="20"/>
        </w:rPr>
        <w:t xml:space="preserve">sees SLA and breach status across the team — this is where the clock becomes an accountability tool.</w:t>
      </w:r>
    </w:p>
    <w:p>
      <w:pPr>
        <w:spacing w:after="60" w:line="264"/>
      </w:pPr>
      <w:r>
        <w:rPr>
          <w:rFonts w:ascii="Calibri" w:cs="Calibri" w:eastAsia="Calibri" w:hAnsi="Calibri"/>
          <w:b/>
          <w:bCs/>
          <w:color w:val="8A5A2B"/>
          <w:sz w:val="20"/>
          <w:szCs w:val="20"/>
        </w:rPr>
        <w:t xml:space="preserve">Surface — booker: </w:t>
      </w:r>
      <w:r>
        <w:rPr>
          <w:rFonts w:ascii="Calibri" w:cs="Calibri" w:eastAsia="Calibri" w:hAnsi="Calibri"/>
          <w:color w:val="1A2332"/>
          <w:sz w:val="20"/>
          <w:szCs w:val="20"/>
        </w:rPr>
        <w:t xml:space="preserve">sees nothing SLA-related; the due date is derived automatically at booking.</w:t>
      </w:r>
    </w:p>
    <w:p>
      <w:pPr>
        <w:spacing w:after="60" w:line="264"/>
      </w:pPr>
      <w:r>
        <w:rPr>
          <w:rFonts w:ascii="Calibri" w:cs="Calibri" w:eastAsia="Calibri" w:hAnsi="Calibri"/>
          <w:b/>
          <w:bCs/>
          <w:color w:val="8A5A2B"/>
          <w:sz w:val="20"/>
          <w:szCs w:val="20"/>
        </w:rPr>
        <w:t xml:space="preserve">Surface — admin: </w:t>
      </w:r>
      <w:r>
        <w:rPr>
          <w:rFonts w:ascii="Calibri" w:cs="Calibri" w:eastAsia="Calibri" w:hAnsi="Calibri"/>
          <w:color w:val="1A2332"/>
          <w:sz w:val="20"/>
          <w:szCs w:val="20"/>
        </w:rPr>
        <w:t xml:space="preserve">configures SLA profiles once, at setup.</w:t>
      </w:r>
    </w:p>
    <w:p>
      <w:pPr>
        <w:pStyle w:val="Heading2"/>
        <w:spacing w:after="100" w:before="240"/>
      </w:pPr>
      <w:r>
        <w:rPr>
          <w:rFonts w:ascii="Calibri" w:cs="Calibri" w:eastAsia="Calibri" w:hAnsi="Calibri"/>
          <w:b/>
          <w:bCs/>
          <w:color w:val="2C5F7C"/>
          <w:sz w:val="25"/>
          <w:szCs w:val="25"/>
        </w:rPr>
        <w:t xml:space="preserve">5.5 SLA → performance &amp; rewards</w:t>
      </w:r>
    </w:p>
    <w:p>
      <w:pPr>
        <w:spacing w:after="120" w:line="276"/>
      </w:pPr>
      <w:r>
        <w:rPr>
          <w:rFonts w:ascii="Calibri" w:cs="Calibri" w:eastAsia="Calibri" w:hAnsi="Calibri"/>
          <w:color w:val="1A2332"/>
          <w:sz w:val="21"/>
          <w:szCs w:val="21"/>
        </w:rPr>
        <w:t xml:space="preserve">SLA outcomes are intended to feed the employee performance and rewards system. This raises the stakes on the data model and imposes requirements the operational-only version would not have:</w:t>
      </w:r>
    </w:p>
    <w:p>
      <w:pPr>
        <w:pStyle w:val="ListParagraph"/>
        <w:numPr>
          <w:ilvl w:val="0"/>
          <w:numId w:val="2"/>
        </w:numPr>
        <w:spacing w:after="70" w:line="268"/>
      </w:pPr>
      <w:r>
        <w:rPr>
          <w:rFonts w:ascii="Calibri" w:cs="Calibri" w:eastAsia="Calibri" w:hAnsi="Calibri"/>
          <w:b/>
          <w:bCs/>
          <w:color w:val="1A2332"/>
          <w:sz w:val="21"/>
          <w:szCs w:val="21"/>
        </w:rPr>
        <w:t xml:space="preserve">Clean, fair attribution</w:t>
      </w:r>
      <w:r>
        <w:rPr>
          <w:rFonts w:ascii="Calibri" w:cs="Calibri" w:eastAsia="Calibri" w:hAnsi="Calibri"/>
          <w:color w:val="1A2332"/>
          <w:sz w:val="21"/>
          <w:szCs w:val="21"/>
        </w:rPr>
        <w:t xml:space="preserve"> — every unit of elapsed time on a job must be attributable to a responsible party (assignee / client / dependency / approver). Performance scoring counts only time genuinely in the assignee's court. This is why the pausable clock matters more, not less, once pay is involved.</w:t>
      </w:r>
    </w:p>
    <w:p>
      <w:pPr>
        <w:pStyle w:val="ListParagraph"/>
        <w:numPr>
          <w:ilvl w:val="0"/>
          <w:numId w:val="2"/>
        </w:numPr>
        <w:spacing w:after="70" w:line="268"/>
      </w:pPr>
      <w:r>
        <w:rPr>
          <w:rFonts w:ascii="Calibri" w:cs="Calibri" w:eastAsia="Calibri" w:hAnsi="Calibri"/>
          <w:b/>
          <w:bCs/>
          <w:color w:val="1A2332"/>
          <w:sz w:val="21"/>
          <w:szCs w:val="21"/>
        </w:rPr>
        <w:t xml:space="preserve">Immutability &amp; auditability</w:t>
      </w:r>
      <w:r>
        <w:rPr>
          <w:rFonts w:ascii="Calibri" w:cs="Calibri" w:eastAsia="Calibri" w:hAnsi="Calibri"/>
          <w:color w:val="1A2332"/>
          <w:sz w:val="21"/>
          <w:szCs w:val="21"/>
        </w:rPr>
        <w:t xml:space="preserve"> — once outcomes affect rewards, records become contestable. SLA events likely need to be an append-only log: when the deadline was set and by whom, whether it changed, when the clock paused and why, when delivery occurred.</w:t>
      </w:r>
    </w:p>
    <w:p>
      <w:pPr>
        <w:pStyle w:val="ListParagraph"/>
        <w:numPr>
          <w:ilvl w:val="0"/>
          <w:numId w:val="2"/>
        </w:numPr>
        <w:spacing w:after="70" w:line="268"/>
      </w:pPr>
      <w:r>
        <w:rPr>
          <w:rFonts w:ascii="Calibri" w:cs="Calibri" w:eastAsia="Calibri" w:hAnsi="Calibri"/>
          <w:b/>
          <w:bCs/>
          <w:color w:val="1A2332"/>
          <w:sz w:val="21"/>
          <w:szCs w:val="21"/>
        </w:rPr>
        <w:t xml:space="preserve">Aggregation model (policy, not engineering)</w:t>
      </w:r>
      <w:r>
        <w:rPr>
          <w:rFonts w:ascii="Calibri" w:cs="Calibri" w:eastAsia="Calibri" w:hAnsi="Calibri"/>
          <w:color w:val="1A2332"/>
          <w:sz w:val="21"/>
          <w:szCs w:val="21"/>
        </w:rPr>
        <w:t xml:space="preserve"> — how individual outcomes roll into a performance metric (% met, weighted by importance, near-miss vs. severe miss, whether beating a deadline earns credit). The data model must be granular enough to support whatever policy is chosen.</w:t>
      </w:r>
    </w:p>
    <w:p>
      <w:pPr>
        <w:pStyle w:val="ListParagraph"/>
        <w:numPr>
          <w:ilvl w:val="0"/>
          <w:numId w:val="2"/>
        </w:numPr>
        <w:spacing w:after="70" w:line="268"/>
      </w:pPr>
      <w:r>
        <w:rPr>
          <w:rFonts w:ascii="Calibri" w:cs="Calibri" w:eastAsia="Calibri" w:hAnsi="Calibri"/>
          <w:b/>
          <w:bCs/>
          <w:color w:val="1A2332"/>
          <w:sz w:val="21"/>
          <w:szCs w:val="21"/>
        </w:rPr>
        <w:t xml:space="preserve">Anti-gaming counterweights</w:t>
      </w:r>
      <w:r>
        <w:rPr>
          <w:rFonts w:ascii="Calibri" w:cs="Calibri" w:eastAsia="Calibri" w:hAnsi="Calibri"/>
          <w:color w:val="1A2332"/>
          <w:sz w:val="21"/>
          <w:szCs w:val="21"/>
        </w:rPr>
        <w:t xml:space="preserve"> — measuring on a metric invites optimizing the metric (padded estimates, gamed pause states, avoiding hard jobs, rushing quality). The system should make gaming visible even where it cannot prevent it; pause-state changes and deadline changes should be logged as visible, reversible claims rather than silent edits.</w:t>
      </w:r>
    </w:p>
    <w:tbl>
      <w:tblPr>
        <w:tblW w:type="dxa" w:w="9360"/>
        <w:tblBorders>
          <w:top w:val="single" w:color="FBEEE6" w:sz="2"/>
          <w:left w:val="single" w:color="8A5A2B" w:sz="24"/>
          <w:bottom w:val="single" w:color="FBEEE6" w:sz="2"/>
          <w:right w:val="single" w:color="FBEEE6" w:sz="2"/>
          <w:insideH w:val="none"/>
          <w:insideV w:val="none"/>
        </w:tblBorders>
      </w:tblPr>
      <w:tblGrid>
        <w:gridCol w:w="9360"/>
      </w:tblGrid>
      <w:tr>
        <w:tc>
          <w:tcPr>
            <w:tcW w:type="dxa" w:w="9360"/>
            <w:shd w:fill="FBEE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Open decision — deadline authority &amp; pause states</w:t>
            </w:r>
          </w:p>
          <w:p>
            <w:pPr>
              <w:spacing w:after="120" w:line="276"/>
            </w:pPr>
            <w:r>
              <w:rPr>
                <w:rFonts w:ascii="Calibri" w:cs="Calibri" w:eastAsia="Calibri" w:hAnsi="Calibri"/>
                <w:color w:val="1A2332"/>
                <w:sz w:val="20"/>
                <w:szCs w:val="20"/>
              </w:rPr>
              <w:t xml:space="preserve">For bespoke jobs, who may set or change the deadline, and does a change after work starts get recorded as a scope-change event (protecting the assignee's score) rather than a silent edit? And are pause states self-service, or do they require approval/evidence? Direction leaned toward: self-service to log, but logged as a visible, reversible claim a manager can override.</w:t>
            </w:r>
          </w:p>
        </w:tc>
      </w:tr>
    </w:tbl>
    <w:p>
      <w:pPr>
        <w:pStyle w:val="Heading1"/>
        <w:spacing w:after="140" w:before="360"/>
      </w:pPr>
      <w:r>
        <w:rPr>
          <w:rFonts w:ascii="Calibri" w:cs="Calibri" w:eastAsia="Calibri" w:hAnsi="Calibri"/>
          <w:b/>
          <w:bCs/>
          <w:color w:val="1A2332"/>
          <w:sz w:val="30"/>
          <w:szCs w:val="30"/>
        </w:rPr>
        <w:t xml:space="preserve">6. Dashboards &amp; Workflow Surfaces</w:t>
      </w:r>
    </w:p>
    <w:p>
      <w:pPr>
        <w:spacing w:after="120" w:line="276"/>
      </w:pPr>
      <w:r>
        <w:rPr>
          <w:rFonts w:ascii="Calibri" w:cs="Calibri" w:eastAsia="Calibri" w:hAnsi="Calibri"/>
          <w:color w:val="1A2332"/>
          <w:sz w:val="21"/>
          <w:szCs w:val="21"/>
        </w:rPr>
        <w:t xml:space="preserve">Dashboards are how the accountability engine becomes visible and actionable. They are not primarily reporting screens; for most users they are action surfaces — the place each person starts, telling them what needs doing and who to talk to. This is the role-scoped-interfaces principle (Section 2) expressed as the day-to-day entry point to the system.</w:t>
      </w:r>
    </w:p>
    <w:p>
      <w:pPr>
        <w:pStyle w:val="Heading2"/>
        <w:spacing w:after="100" w:before="240"/>
      </w:pPr>
      <w:r>
        <w:rPr>
          <w:rFonts w:ascii="Calibri" w:cs="Calibri" w:eastAsia="Calibri" w:hAnsi="Calibri"/>
          <w:b/>
          <w:bCs/>
          <w:color w:val="2C5F7C"/>
          <w:sz w:val="25"/>
          <w:szCs w:val="25"/>
        </w:rPr>
        <w:t xml:space="preserve">6.1 Three tiers of dashboard</w:t>
      </w:r>
    </w:p>
    <w:p>
      <w:pPr>
        <w:spacing w:after="120" w:line="276"/>
      </w:pPr>
      <w:r>
        <w:rPr>
          <w:rFonts w:ascii="Calibri" w:cs="Calibri" w:eastAsia="Calibri" w:hAnsi="Calibri"/>
          <w:color w:val="1A2332"/>
          <w:sz w:val="21"/>
          <w:szCs w:val="21"/>
        </w:rPr>
        <w:t xml:space="preserve">All three tiers are the same underlying data at different altitudes. Nothing is separately tracked or entered; each tier is a different view of the same bookings, SLA clocks, and attribution.</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2100"/>
        <w:gridCol w:w="3060"/>
        <w:gridCol w:w="4200"/>
      </w:tblGrid>
      <w:tr>
        <w:trPr>
          <w:tblHeader/>
        </w:trPr>
        <w:tc>
          <w:tcPr>
            <w:tcW w:type="dxa" w:w="21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Tier</w:t>
            </w:r>
          </w:p>
        </w:tc>
        <w:tc>
          <w:tcPr>
            <w:tcW w:type="dxa" w:w="306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For</w:t>
            </w:r>
          </w:p>
        </w:tc>
        <w:tc>
          <w:tcPr>
            <w:tcW w:type="dxa" w:w="42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Answers</w:t>
            </w:r>
          </w:p>
        </w:tc>
      </w:tr>
      <w:tr>
        <w:tc>
          <w:tcPr>
            <w:tcW w:type="dxa" w:w="2100"/>
            <w:shd w:fill="FFFFFF" w:val="clear"/>
            <w:tcMar>
              <w:top w:type="dxa" w:w="50"/>
              <w:left w:type="dxa" w:w="100"/>
              <w:bottom w:type="dxa" w:w="50"/>
              <w:right w:type="dxa" w:w="100"/>
            </w:tcMar>
          </w:tcPr>
          <w:p>
            <w:r>
              <w:rPr>
                <w:rFonts w:ascii="Calibri" w:cs="Calibri" w:eastAsia="Calibri" w:hAnsi="Calibri"/>
                <w:color w:val="1A2332"/>
                <w:sz w:val="19"/>
                <w:szCs w:val="19"/>
              </w:rPr>
              <w:t xml:space="preserve">Action surface</w:t>
            </w:r>
          </w:p>
        </w:tc>
        <w:tc>
          <w:tcPr>
            <w:tcW w:type="dxa" w:w="3060"/>
            <w:shd w:fill="FFFFFF" w:val="clear"/>
            <w:tcMar>
              <w:top w:type="dxa" w:w="50"/>
              <w:left w:type="dxa" w:w="100"/>
              <w:bottom w:type="dxa" w:w="50"/>
              <w:right w:type="dxa" w:w="100"/>
            </w:tcMar>
          </w:tcPr>
          <w:p>
            <w:r>
              <w:rPr>
                <w:rFonts w:ascii="Calibri" w:cs="Calibri" w:eastAsia="Calibri" w:hAnsi="Calibri"/>
                <w:color w:val="1A2332"/>
                <w:sz w:val="19"/>
                <w:szCs w:val="19"/>
              </w:rPr>
              <w:t xml:space="preserve">The individual doing the work</w:t>
            </w:r>
          </w:p>
        </w:tc>
        <w:tc>
          <w:tcPr>
            <w:tcW w:type="dxa" w:w="4200"/>
            <w:shd w:fill="FFFFFF" w:val="clear"/>
            <w:tcMar>
              <w:top w:type="dxa" w:w="50"/>
              <w:left w:type="dxa" w:w="100"/>
              <w:bottom w:type="dxa" w:w="50"/>
              <w:right w:type="dxa" w:w="100"/>
            </w:tcMar>
          </w:tcPr>
          <w:p>
            <w:r>
              <w:rPr>
                <w:rFonts w:ascii="Calibri" w:cs="Calibri" w:eastAsia="Calibri" w:hAnsi="Calibri"/>
                <w:color w:val="1A2332"/>
                <w:sz w:val="19"/>
                <w:szCs w:val="19"/>
              </w:rPr>
              <w:t xml:space="preserve">What is on my plate, in what order, and what is at risk?</w:t>
            </w:r>
          </w:p>
        </w:tc>
      </w:tr>
      <w:tr>
        <w:tc>
          <w:tcPr>
            <w:tcW w:type="dxa" w:w="2100"/>
            <w:shd w:fill="EEF2F5" w:val="clear"/>
            <w:tcMar>
              <w:top w:type="dxa" w:w="50"/>
              <w:left w:type="dxa" w:w="100"/>
              <w:bottom w:type="dxa" w:w="50"/>
              <w:right w:type="dxa" w:w="100"/>
            </w:tcMar>
          </w:tcPr>
          <w:p>
            <w:r>
              <w:rPr>
                <w:rFonts w:ascii="Calibri" w:cs="Calibri" w:eastAsia="Calibri" w:hAnsi="Calibri"/>
                <w:color w:val="1A2332"/>
                <w:sz w:val="19"/>
                <w:szCs w:val="19"/>
              </w:rPr>
              <w:t xml:space="preserve">Exception feed</w:t>
            </w:r>
          </w:p>
        </w:tc>
        <w:tc>
          <w:tcPr>
            <w:tcW w:type="dxa" w:w="3060"/>
            <w:shd w:fill="EEF2F5" w:val="clear"/>
            <w:tcMar>
              <w:top w:type="dxa" w:w="50"/>
              <w:left w:type="dxa" w:w="100"/>
              <w:bottom w:type="dxa" w:w="50"/>
              <w:right w:type="dxa" w:w="100"/>
            </w:tcMar>
          </w:tcPr>
          <w:p>
            <w:r>
              <w:rPr>
                <w:rFonts w:ascii="Calibri" w:cs="Calibri" w:eastAsia="Calibri" w:hAnsi="Calibri"/>
                <w:color w:val="1A2332"/>
                <w:sz w:val="19"/>
                <w:szCs w:val="19"/>
              </w:rPr>
              <w:t xml:space="preserve">Team leads (oversight)</w:t>
            </w:r>
          </w:p>
        </w:tc>
        <w:tc>
          <w:tcPr>
            <w:tcW w:type="dxa" w:w="4200"/>
            <w:shd w:fill="EEF2F5" w:val="clear"/>
            <w:tcMar>
              <w:top w:type="dxa" w:w="50"/>
              <w:left w:type="dxa" w:w="100"/>
              <w:bottom w:type="dxa" w:w="50"/>
              <w:right w:type="dxa" w:w="100"/>
            </w:tcMar>
          </w:tcPr>
          <w:p>
            <w:r>
              <w:rPr>
                <w:rFonts w:ascii="Calibri" w:cs="Calibri" w:eastAsia="Calibri" w:hAnsi="Calibri"/>
                <w:color w:val="1A2332"/>
                <w:sz w:val="19"/>
                <w:szCs w:val="19"/>
              </w:rPr>
              <w:t xml:space="preserve">What needs my attention now, and who do I talk to?</w:t>
            </w:r>
          </w:p>
        </w:tc>
      </w:tr>
      <w:tr>
        <w:tc>
          <w:tcPr>
            <w:tcW w:type="dxa" w:w="2100"/>
            <w:shd w:fill="FFFFFF" w:val="clear"/>
            <w:tcMar>
              <w:top w:type="dxa" w:w="50"/>
              <w:left w:type="dxa" w:w="100"/>
              <w:bottom w:type="dxa" w:w="50"/>
              <w:right w:type="dxa" w:w="100"/>
            </w:tcMar>
          </w:tcPr>
          <w:p>
            <w:r>
              <w:rPr>
                <w:rFonts w:ascii="Calibri" w:cs="Calibri" w:eastAsia="Calibri" w:hAnsi="Calibri"/>
                <w:color w:val="1A2332"/>
                <w:sz w:val="19"/>
                <w:szCs w:val="19"/>
              </w:rPr>
              <w:t xml:space="preserve">Health view</w:t>
            </w:r>
          </w:p>
        </w:tc>
        <w:tc>
          <w:tcPr>
            <w:tcW w:type="dxa" w:w="3060"/>
            <w:shd w:fill="FFFFFF" w:val="clear"/>
            <w:tcMar>
              <w:top w:type="dxa" w:w="50"/>
              <w:left w:type="dxa" w:w="100"/>
              <w:bottom w:type="dxa" w:w="50"/>
              <w:right w:type="dxa" w:w="100"/>
            </w:tcMar>
          </w:tcPr>
          <w:p>
            <w:r>
              <w:rPr>
                <w:rFonts w:ascii="Calibri" w:cs="Calibri" w:eastAsia="Calibri" w:hAnsi="Calibri"/>
                <w:color w:val="1A2332"/>
                <w:sz w:val="19"/>
                <w:szCs w:val="19"/>
              </w:rPr>
              <w:t xml:space="preserve">Department &amp; senior management</w:t>
            </w:r>
          </w:p>
        </w:tc>
        <w:tc>
          <w:tcPr>
            <w:tcW w:type="dxa" w:w="4200"/>
            <w:shd w:fill="FFFFFF" w:val="clear"/>
            <w:tcMar>
              <w:top w:type="dxa" w:w="50"/>
              <w:left w:type="dxa" w:w="100"/>
              <w:bottom w:type="dxa" w:w="50"/>
              <w:right w:type="dxa" w:w="100"/>
            </w:tcMar>
          </w:tcPr>
          <w:p>
            <w:r>
              <w:rPr>
                <w:rFonts w:ascii="Calibri" w:cs="Calibri" w:eastAsia="Calibri" w:hAnsi="Calibri"/>
                <w:color w:val="1A2332"/>
                <w:sz w:val="19"/>
                <w:szCs w:val="19"/>
              </w:rPr>
              <w:t xml:space="preserve">How are we doing overall, and where are the structural problems?</w:t>
            </w:r>
          </w:p>
        </w:tc>
      </w:tr>
    </w:tbl>
    <w:p>
      <w:pPr>
        <w:pStyle w:val="Heading2"/>
        <w:spacing w:after="100" w:before="240"/>
      </w:pPr>
      <w:r>
        <w:rPr>
          <w:rFonts w:ascii="Calibri" w:cs="Calibri" w:eastAsia="Calibri" w:hAnsi="Calibri"/>
          <w:b/>
          <w:bCs/>
          <w:color w:val="2C5F7C"/>
          <w:sz w:val="25"/>
          <w:szCs w:val="25"/>
        </w:rPr>
        <w:t xml:space="preserve">6.2 Tier 1 — the individual action surface</w:t>
      </w:r>
    </w:p>
    <w:p>
      <w:pPr>
        <w:spacing w:after="120" w:line="276"/>
      </w:pPr>
      <w:r>
        <w:rPr>
          <w:rFonts w:ascii="Calibri" w:cs="Calibri" w:eastAsia="Calibri" w:hAnsi="Calibri"/>
          <w:color w:val="1A2332"/>
          <w:sz w:val="21"/>
          <w:szCs w:val="21"/>
        </w:rPr>
        <w:t xml:space="preserve">Each contributor's active work, ordered by urgency: approaching deadlines, anything they have flagged as blocked, and items waiting on them (an approval to give, feedback to return). The engine already knows all of this from the SLA clock and capacity model; the dashboard presents the person's slice and nothing else.</w:t>
      </w:r>
    </w:p>
    <w:p>
      <w:pPr>
        <w:spacing w:after="60" w:line="264"/>
      </w:pPr>
      <w:r>
        <w:rPr>
          <w:rFonts w:ascii="Calibri" w:cs="Calibri" w:eastAsia="Calibri" w:hAnsi="Calibri"/>
          <w:b/>
          <w:bCs/>
          <w:color w:val="2C5F7C"/>
          <w:sz w:val="20"/>
          <w:szCs w:val="20"/>
        </w:rPr>
        <w:t xml:space="preserve">Engine: </w:t>
      </w:r>
      <w:r>
        <w:rPr>
          <w:rFonts w:ascii="Calibri" w:cs="Calibri" w:eastAsia="Calibri" w:hAnsi="Calibri"/>
          <w:color w:val="1A2332"/>
          <w:sz w:val="20"/>
          <w:szCs w:val="20"/>
        </w:rPr>
        <w:t xml:space="preserve">per-person aggregation of active work, deadline proximity, block states, and pending items owned by this user.</w:t>
      </w:r>
    </w:p>
    <w:p>
      <w:pPr>
        <w:spacing w:after="60" w:line="264"/>
      </w:pPr>
      <w:r>
        <w:rPr>
          <w:rFonts w:ascii="Calibri" w:cs="Calibri" w:eastAsia="Calibri" w:hAnsi="Calibri"/>
          <w:b/>
          <w:bCs/>
          <w:color w:val="8A5A2B"/>
          <w:sz w:val="20"/>
          <w:szCs w:val="20"/>
        </w:rPr>
        <w:t xml:space="preserve">Surface: </w:t>
      </w:r>
      <w:r>
        <w:rPr>
          <w:rFonts w:ascii="Calibri" w:cs="Calibri" w:eastAsia="Calibri" w:hAnsi="Calibri"/>
          <w:color w:val="1A2332"/>
          <w:sz w:val="20"/>
          <w:szCs w:val="20"/>
        </w:rPr>
        <w:t xml:space="preserve">a short, ranked list of what to do next. Healthy, not-yet-urgent work stays quiet.</w:t>
      </w:r>
    </w:p>
    <w:p>
      <w:pPr>
        <w:pStyle w:val="Heading2"/>
        <w:spacing w:after="100" w:before="240"/>
      </w:pPr>
      <w:r>
        <w:rPr>
          <w:rFonts w:ascii="Calibri" w:cs="Calibri" w:eastAsia="Calibri" w:hAnsi="Calibri"/>
          <w:b/>
          <w:bCs/>
          <w:color w:val="2C5F7C"/>
          <w:sz w:val="25"/>
          <w:szCs w:val="25"/>
        </w:rPr>
        <w:t xml:space="preserve">6.3 Tier 2 — the oversight exception feed</w:t>
      </w:r>
    </w:p>
    <w:p>
      <w:pPr>
        <w:spacing w:after="120" w:line="276"/>
      </w:pPr>
      <w:r>
        <w:rPr>
          <w:rFonts w:ascii="Calibri" w:cs="Calibri" w:eastAsia="Calibri" w:hAnsi="Calibri"/>
          <w:color w:val="1A2332"/>
          <w:sz w:val="21"/>
          <w:szCs w:val="21"/>
        </w:rPr>
        <w:t xml:space="preserve">For team leads, the dashboard is an exception feed, not a wall of everything. Its job is to compress many live items into the few that are off-track or waiting on the lead. Healthy work stays invisible; only amber and red surface.</w:t>
      </w:r>
    </w:p>
    <w:p>
      <w:pPr>
        <w:spacing w:after="120" w:line="276"/>
      </w:pPr>
      <w:r>
        <w:rPr>
          <w:rFonts w:ascii="Calibri" w:cs="Calibri" w:eastAsia="Calibri" w:hAnsi="Calibri"/>
          <w:color w:val="1A2332"/>
          <w:sz w:val="21"/>
          <w:szCs w:val="21"/>
        </w:rPr>
        <w:t xml:space="preserve">What surfaces: approaching or breached deadlines, pending approvals in the queue, people over their capacity ceiling, work stalled in a blocked state, and unassigned work. </w:t>
      </w:r>
      <w:r>
        <w:rPr>
          <w:rFonts w:ascii="Calibri" w:cs="Calibri" w:eastAsia="Calibri" w:hAnsi="Calibri"/>
          <w:b/>
          <w:bCs/>
          <w:color w:val="1A2332"/>
          <w:sz w:val="21"/>
          <w:szCs w:val="21"/>
        </w:rPr>
        <w:t xml:space="preserve">Every concern names a person and a next action.</w:t>
      </w:r>
      <w:r>
        <w:rPr>
          <w:rFonts w:ascii="Calibri" w:cs="Calibri" w:eastAsia="Calibri" w:hAnsi="Calibri"/>
          <w:color w:val="1A2332"/>
          <w:sz w:val="21"/>
          <w:szCs w:val="21"/>
        </w:rPr>
        <w:t xml:space="preserve"> Not “this is late” but “this is late, waiting on X's approval, [open].” The attribution built for fair performance measurement (Section 5.5) is exactly what powers “who to talk to” — the same data, a second use.</w:t>
      </w:r>
    </w:p>
    <w:p>
      <w:pPr>
        <w:spacing w:after="120" w:line="276"/>
      </w:pPr>
      <w:r>
        <w:rPr>
          <w:rFonts w:ascii="Calibri" w:cs="Calibri" w:eastAsia="Calibri" w:hAnsi="Calibri"/>
          <w:color w:val="1A2332"/>
          <w:sz w:val="21"/>
          <w:szCs w:val="21"/>
        </w:rPr>
        <w:t xml:space="preserve">Items are ranked by </w:t>
      </w:r>
      <w:r>
        <w:rPr>
          <w:rFonts w:ascii="Calibri" w:cs="Calibri" w:eastAsia="Calibri" w:hAnsi="Calibri"/>
          <w:i/>
          <w:iCs/>
          <w:color w:val="1A2332"/>
          <w:sz w:val="21"/>
          <w:szCs w:val="21"/>
        </w:rPr>
        <w:t xml:space="preserve">how much attention they need now</w:t>
      </w:r>
      <w:r>
        <w:rPr>
          <w:rFonts w:ascii="Calibri" w:cs="Calibri" w:eastAsia="Calibri" w:hAnsi="Calibri"/>
          <w:color w:val="1A2332"/>
          <w:sz w:val="21"/>
          <w:szCs w:val="21"/>
        </w:rPr>
        <w:t xml:space="preserve"> — severity and time, not chronology. A breached hard deadline for a key client outranks a soft internal one. This ranking is a real design decision and a place where defaults matter.</w:t>
      </w:r>
    </w:p>
    <w:tbl>
      <w:tblPr>
        <w:tblW w:type="dxa" w:w="9360"/>
        <w:tblBorders>
          <w:top w:val="single" w:color="EEF2F5" w:sz="2"/>
          <w:left w:val="single" w:color="2C5F7C" w:sz="24"/>
          <w:bottom w:val="single" w:color="EEF2F5" w:sz="2"/>
          <w:right w:val="single" w:color="EEF2F5" w:sz="2"/>
          <w:insideH w:val="none"/>
          <w:insideV w:val="none"/>
        </w:tblBorders>
      </w:tblPr>
      <w:tblGrid>
        <w:gridCol w:w="9360"/>
      </w:tblGrid>
      <w:tr>
        <w:tc>
          <w:tcPr>
            <w:tcW w:type="dxa" w:w="9360"/>
            <w:shd w:fill="EEF2F5" w:val="clear"/>
            <w:tcMar>
              <w:top w:type="dxa" w:w="120"/>
              <w:left w:type="dxa" w:w="200"/>
              <w:bottom w:type="dxa" w:w="120"/>
              <w:right w:type="dxa" w:w="200"/>
            </w:tcMar>
          </w:tcPr>
          <w:p>
            <w:pPr>
              <w:spacing w:after="60"/>
            </w:pPr>
            <w:r>
              <w:rPr>
                <w:rFonts w:ascii="Calibri" w:cs="Calibri" w:eastAsia="Calibri" w:hAnsi="Calibri"/>
                <w:b/>
                <w:bCs/>
                <w:caps/>
                <w:color w:val="2C5F7C"/>
                <w:sz w:val="20"/>
                <w:szCs w:val="20"/>
              </w:rPr>
              <w:t xml:space="preserve">The principle that makes this usable</w:t>
            </w:r>
          </w:p>
          <w:p>
            <w:pPr>
              <w:spacing w:after="120" w:line="276"/>
            </w:pPr>
            <w:r>
              <w:rPr>
                <w:rFonts w:ascii="Calibri" w:cs="Calibri" w:eastAsia="Calibri" w:hAnsi="Calibri"/>
                <w:color w:val="1A2332"/>
                <w:sz w:val="20"/>
                <w:szCs w:val="20"/>
              </w:rPr>
              <w:t xml:space="preserve">Exception-first, not everything-first. Health is the quiet default; the dashboard earns attention only for what is off-track. If a lead's dashboard ever shows all their team's work rather than just the exceptions, it collapses into noise. “Comprehensive” for oversight roles means comprehensive coverage of problems, not comprehensive display of everything.</w:t>
            </w:r>
          </w:p>
        </w:tc>
      </w:tr>
    </w:tbl>
    <w:p>
      <w:pPr>
        <w:spacing w:after="60" w:line="264"/>
      </w:pPr>
      <w:r>
        <w:rPr>
          <w:rFonts w:ascii="Calibri" w:cs="Calibri" w:eastAsia="Calibri" w:hAnsi="Calibri"/>
          <w:b/>
          <w:bCs/>
          <w:color w:val="2C5F7C"/>
          <w:sz w:val="20"/>
          <w:szCs w:val="20"/>
        </w:rPr>
        <w:t xml:space="preserve">Engine: </w:t>
      </w:r>
      <w:r>
        <w:rPr>
          <w:rFonts w:ascii="Calibri" w:cs="Calibri" w:eastAsia="Calibri" w:hAnsi="Calibri"/>
          <w:color w:val="1A2332"/>
          <w:sz w:val="20"/>
          <w:szCs w:val="20"/>
        </w:rPr>
        <w:t xml:space="preserve">exception detection across the team (deadline proximity, approval age, capacity breach, block state, unassigned), with attribution and severity ranking.</w:t>
      </w:r>
    </w:p>
    <w:p>
      <w:pPr>
        <w:spacing w:after="60" w:line="264"/>
      </w:pPr>
      <w:r>
        <w:rPr>
          <w:rFonts w:ascii="Calibri" w:cs="Calibri" w:eastAsia="Calibri" w:hAnsi="Calibri"/>
          <w:b/>
          <w:bCs/>
          <w:color w:val="8A5A2B"/>
          <w:sz w:val="20"/>
          <w:szCs w:val="20"/>
        </w:rPr>
        <w:t xml:space="preserve">Surface: </w:t>
      </w:r>
      <w:r>
        <w:rPr>
          <w:rFonts w:ascii="Calibri" w:cs="Calibri" w:eastAsia="Calibri" w:hAnsi="Calibri"/>
          <w:color w:val="1A2332"/>
          <w:sz w:val="20"/>
          <w:szCs w:val="20"/>
        </w:rPr>
        <w:t xml:space="preserve">a ranked feed of only the items needing the lead's attention, each with the responsible person and a direct action.</w:t>
      </w:r>
    </w:p>
    <w:p>
      <w:pPr>
        <w:pStyle w:val="Heading2"/>
        <w:spacing w:after="100" w:before="240"/>
      </w:pPr>
      <w:r>
        <w:rPr>
          <w:rFonts w:ascii="Calibri" w:cs="Calibri" w:eastAsia="Calibri" w:hAnsi="Calibri"/>
          <w:b/>
          <w:bCs/>
          <w:color w:val="2C5F7C"/>
          <w:sz w:val="25"/>
          <w:szCs w:val="25"/>
        </w:rPr>
        <w:t xml:space="preserve">6.4 Tier 3 — department &amp; company health</w:t>
      </w:r>
    </w:p>
    <w:p>
      <w:pPr>
        <w:spacing w:after="120" w:line="276"/>
      </w:pPr>
      <w:r>
        <w:rPr>
          <w:rFonts w:ascii="Calibri" w:cs="Calibri" w:eastAsia="Calibri" w:hAnsi="Calibri"/>
          <w:color w:val="1A2332"/>
          <w:sz w:val="21"/>
          <w:szCs w:val="21"/>
        </w:rPr>
        <w:t xml:space="preserve">The one genuinely dashboard-like surface in the reporting sense: a standing picture of how things are, not just what is on fire. Persistent and diagnostic where the exception feed is transient and action-oriented. Health is an aggregation of the same signals rolling up from below, not a new dataset.</w:t>
      </w:r>
    </w:p>
    <w:p>
      <w:pPr>
        <w:pStyle w:val="Heading3"/>
        <w:spacing w:after="80" w:before="180"/>
      </w:pPr>
      <w:r>
        <w:rPr>
          <w:rFonts w:ascii="Calibri" w:cs="Calibri" w:eastAsia="Calibri" w:hAnsi="Calibri"/>
          <w:b/>
          <w:bCs/>
          <w:color w:val="1A2332"/>
          <w:sz w:val="22"/>
          <w:szCs w:val="22"/>
        </w:rPr>
        <w:t xml:space="preserve">Department health</w:t>
      </w:r>
    </w:p>
    <w:p>
      <w:pPr>
        <w:spacing w:after="120" w:line="276"/>
      </w:pPr>
      <w:r>
        <w:rPr>
          <w:rFonts w:ascii="Calibri" w:cs="Calibri" w:eastAsia="Calibri" w:hAnsi="Calibri"/>
          <w:color w:val="1A2332"/>
          <w:sz w:val="21"/>
          <w:szCs w:val="21"/>
        </w:rPr>
        <w:t xml:space="preserve">On-time delivery rate, proportion of work at-risk or breached, approval throughput (are approvals moving or bottlenecking), capacity load across the team (chronic overload vs. slack), and volume of blocked or stalled work. A department reads green when these sit in healthy ranges, amber/red as they drift.</w:t>
      </w:r>
    </w:p>
    <w:p>
      <w:pPr>
        <w:pStyle w:val="Heading3"/>
        <w:spacing w:after="80" w:before="180"/>
      </w:pPr>
      <w:r>
        <w:rPr>
          <w:rFonts w:ascii="Calibri" w:cs="Calibri" w:eastAsia="Calibri" w:hAnsi="Calibri"/>
          <w:b/>
          <w:bCs/>
          <w:color w:val="1A2332"/>
          <w:sz w:val="22"/>
          <w:szCs w:val="22"/>
        </w:rPr>
        <w:t xml:space="preserve">Company health</w:t>
      </w:r>
    </w:p>
    <w:p>
      <w:pPr>
        <w:spacing w:after="120" w:line="276"/>
      </w:pPr>
      <w:r>
        <w:rPr>
          <w:rFonts w:ascii="Calibri" w:cs="Calibri" w:eastAsia="Calibri" w:hAnsi="Calibri"/>
          <w:color w:val="1A2332"/>
          <w:sz w:val="21"/>
          <w:szCs w:val="21"/>
        </w:rPr>
        <w:t xml:space="preserve">The same indicators aggregated across departments, plus cross-department patterns: which departments are consistently at risk, where the systemic bottlenecks are, whether the organization as a whole is meeting its commitments. One screen answering “is the organization delivering, and where are the structural problems?”</w:t>
      </w:r>
    </w:p>
    <w:p>
      <w:pPr>
        <w:pStyle w:val="Heading2"/>
        <w:spacing w:after="100" w:before="240"/>
      </w:pPr>
      <w:r>
        <w:rPr>
          <w:rFonts w:ascii="Calibri" w:cs="Calibri" w:eastAsia="Calibri" w:hAnsi="Calibri"/>
          <w:b/>
          <w:bCs/>
          <w:color w:val="2C5F7C"/>
          <w:sz w:val="25"/>
          <w:szCs w:val="25"/>
        </w:rPr>
        <w:t xml:space="preserve">6.5 The unifying principle — same data, different altitudes</w:t>
      </w:r>
    </w:p>
    <w:p>
      <w:pPr>
        <w:spacing w:after="120" w:line="276"/>
      </w:pPr>
      <w:r>
        <w:rPr>
          <w:rFonts w:ascii="Calibri" w:cs="Calibri" w:eastAsia="Calibri" w:hAnsi="Calibri"/>
          <w:color w:val="1A2332"/>
          <w:sz w:val="21"/>
          <w:szCs w:val="21"/>
        </w:rPr>
        <w:t xml:space="preserve">An individual's blocked task becomes an exception on their team lead's feed, becomes a data point in that department's “% work blocked” health metric, and rolls into the company's overall delivery-health picture. One event, surfaced appropriately at every level. Because every tier reads from the same source — the individual bookings and SLA clocks — the CEO's health view and the contributor's task list can never disagree. Drill-down runs the whole way: from company health, into the department driving an amber reading, into the specific exceptions behind it, down to a single blocked task and the person responsible. That end-to-end drill-down through the same attribution is what makes health actionable rather than merely informational.</w:t>
      </w:r>
    </w:p>
    <w:p>
      <w:pPr>
        <w:pStyle w:val="Heading2"/>
        <w:spacing w:after="100" w:before="240"/>
      </w:pPr>
      <w:r>
        <w:rPr>
          <w:rFonts w:ascii="Calibri" w:cs="Calibri" w:eastAsia="Calibri" w:hAnsi="Calibri"/>
          <w:b/>
          <w:bCs/>
          <w:color w:val="2C5F7C"/>
          <w:sz w:val="25"/>
          <w:szCs w:val="25"/>
        </w:rPr>
        <w:t xml:space="preserve">6.6 Keeping health honest</w:t>
      </w:r>
    </w:p>
    <w:p>
      <w:pPr>
        <w:spacing w:after="120" w:line="276"/>
      </w:pPr>
      <w:r>
        <w:rPr>
          <w:rFonts w:ascii="Calibri" w:cs="Calibri" w:eastAsia="Calibri" w:hAnsi="Calibri"/>
          <w:color w:val="1A2332"/>
          <w:sz w:val="21"/>
          <w:szCs w:val="21"/>
        </w:rPr>
        <w:t xml:space="preserve">Health must stay diagnostic, not a vanity metric. The value is in showing amber and red truthfully so problems get addressed; the temptation is to make everything look green. There is also a governance risk that mirrors the SLA-to-rewards caution (Section 5.5): once department and company health are visible to leadership, they become a </w:t>
      </w:r>
      <w:r>
        <w:rPr>
          <w:rFonts w:ascii="Calibri" w:cs="Calibri" w:eastAsia="Calibri" w:hAnsi="Calibri"/>
          <w:i/>
          <w:iCs/>
          <w:color w:val="1A2332"/>
          <w:sz w:val="21"/>
          <w:szCs w:val="21"/>
        </w:rPr>
        <w:t xml:space="preserve">de facto</w:t>
      </w:r>
      <w:r>
        <w:rPr>
          <w:rFonts w:ascii="Calibri" w:cs="Calibri" w:eastAsia="Calibri" w:hAnsi="Calibri"/>
          <w:color w:val="1A2332"/>
          <w:sz w:val="21"/>
          <w:szCs w:val="21"/>
        </w:rPr>
        <w:t xml:space="preserve"> measure of leads and departments, which invites optimizing for green rather than for honest delivery. The health view should therefore be designed to make hidden problems </w:t>
      </w:r>
      <w:r>
        <w:rPr>
          <w:rFonts w:ascii="Calibri" w:cs="Calibri" w:eastAsia="Calibri" w:hAnsi="Calibri"/>
          <w:i/>
          <w:iCs/>
          <w:color w:val="1A2332"/>
          <w:sz w:val="21"/>
          <w:szCs w:val="21"/>
        </w:rPr>
        <w:t xml:space="preserve">more</w:t>
      </w:r>
      <w:r>
        <w:rPr>
          <w:rFonts w:ascii="Calibri" w:cs="Calibri" w:eastAsia="Calibri" w:hAnsi="Calibri"/>
          <w:color w:val="1A2332"/>
          <w:sz w:val="21"/>
          <w:szCs w:val="21"/>
        </w:rPr>
        <w:t xml:space="preserve"> visible, not less, and leadership norms should treat an honest amber as better than a fake green.</w:t>
      </w:r>
    </w:p>
    <w:tbl>
      <w:tblPr>
        <w:tblW w:type="dxa" w:w="9360"/>
        <w:tblBorders>
          <w:top w:val="single" w:color="FBEEE6" w:sz="2"/>
          <w:left w:val="single" w:color="8A5A2B" w:sz="24"/>
          <w:bottom w:val="single" w:color="FBEEE6" w:sz="2"/>
          <w:right w:val="single" w:color="FBEEE6" w:sz="2"/>
          <w:insideH w:val="none"/>
          <w:insideV w:val="none"/>
        </w:tblBorders>
      </w:tblPr>
      <w:tblGrid>
        <w:gridCol w:w="9360"/>
      </w:tblGrid>
      <w:tr>
        <w:tc>
          <w:tcPr>
            <w:tcW w:type="dxa" w:w="9360"/>
            <w:shd w:fill="FBEE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Open decision — how exceptions are triggered</w:t>
            </w:r>
          </w:p>
          <w:p>
            <w:pPr>
              <w:spacing w:after="120" w:line="276"/>
            </w:pPr>
            <w:r>
              <w:rPr>
                <w:rFonts w:ascii="Calibri" w:cs="Calibri" w:eastAsia="Calibri" w:hAnsi="Calibri"/>
                <w:color w:val="1A2332"/>
                <w:sz w:val="20"/>
                <w:szCs w:val="20"/>
              </w:rPr>
              <w:t xml:space="preserve">Some triggers are objective and automatic (deadline within X hours, approval pending &gt; Y hours, capacity over ceiling). Others are judgment calls — can a person manually flag something as at-risk before the clock says so? Direction leaned toward both: automatic triggers as the baseline, plus a manual flag that itself becomes an exception on the lead's feed, since people often know something is going wrong before the metrics do.</w:t>
            </w:r>
          </w:p>
        </w:tc>
      </w:tr>
    </w:tbl>
    <w:p>
      <w:pPr>
        <w:pStyle w:val="Heading1"/>
        <w:spacing w:after="140" w:before="360"/>
      </w:pPr>
      <w:r>
        <w:rPr>
          <w:rFonts w:ascii="Calibri" w:cs="Calibri" w:eastAsia="Calibri" w:hAnsi="Calibri"/>
          <w:b/>
          <w:bCs/>
          <w:color w:val="1A2332"/>
          <w:sz w:val="30"/>
          <w:szCs w:val="30"/>
        </w:rPr>
        <w:t xml:space="preserve">7. Real-Time Collaboration, Chat &amp; Huddles</w:t>
      </w:r>
    </w:p>
    <w:p>
      <w:pPr>
        <w:spacing w:after="120" w:line="276"/>
      </w:pPr>
      <w:r>
        <w:rPr>
          <w:rFonts w:ascii="Calibri" w:cs="Calibri" w:eastAsia="Calibri" w:hAnsi="Calibri"/>
          <w:color w:val="1A2332"/>
          <w:sz w:val="21"/>
          <w:szCs w:val="21"/>
        </w:rPr>
        <w:t xml:space="preserve">Chat in this platform is contextual, not generic: a conversation is attached to the work it concerns — a booking, a job, an approval, an SLA breach. This turns the dashboard's “who do I talk to about this?” into “talk to them, here, on the thing itself,” and the conversation about a delay becomes part of that item's history. Generic chat is a commodity; chat bound to the accountable object is the differentiator.</w:t>
      </w:r>
    </w:p>
    <w:p>
      <w:pPr>
        <w:pStyle w:val="Heading2"/>
        <w:spacing w:after="100" w:before="240"/>
      </w:pPr>
      <w:r>
        <w:rPr>
          <w:rFonts w:ascii="Calibri" w:cs="Calibri" w:eastAsia="Calibri" w:hAnsi="Calibri"/>
          <w:b/>
          <w:bCs/>
          <w:color w:val="2C5F7C"/>
          <w:sz w:val="25"/>
          <w:szCs w:val="25"/>
        </w:rPr>
        <w:t xml:space="preserve">7.1 Delivery approach — Supabase Realtime, consolidated</w:t>
      </w:r>
    </w:p>
    <w:p>
      <w:pPr>
        <w:spacing w:after="120" w:line="276"/>
      </w:pPr>
      <w:r>
        <w:rPr>
          <w:rFonts w:ascii="Calibri" w:cs="Calibri" w:eastAsia="Calibri" w:hAnsi="Calibri"/>
          <w:color w:val="1A2332"/>
          <w:sz w:val="21"/>
          <w:szCs w:val="21"/>
        </w:rPr>
        <w:t xml:space="preserve">The direction is to build real-time chat on Supabase rather than introduce a second backend. Two known Supabase Realtime pitfalls are addressed head-on by design:</w:t>
      </w:r>
    </w:p>
    <w:p>
      <w:pPr>
        <w:pStyle w:val="ListParagraph"/>
        <w:numPr>
          <w:ilvl w:val="0"/>
          <w:numId w:val="2"/>
        </w:numPr>
        <w:spacing w:after="70" w:line="268"/>
      </w:pPr>
      <w:r>
        <w:rPr>
          <w:rFonts w:ascii="Calibri" w:cs="Calibri" w:eastAsia="Calibri" w:hAnsi="Calibri"/>
          <w:b/>
          <w:bCs/>
          <w:color w:val="1A2332"/>
          <w:sz w:val="21"/>
          <w:szCs w:val="21"/>
        </w:rPr>
        <w:t xml:space="preserve">Subscription fan-out / cost</w:t>
      </w:r>
      <w:r>
        <w:rPr>
          <w:rFonts w:ascii="Calibri" w:cs="Calibri" w:eastAsia="Calibri" w:hAnsi="Calibri"/>
          <w:color w:val="1A2332"/>
          <w:sz w:val="21"/>
          <w:szCs w:val="21"/>
        </w:rPr>
        <w:t xml:space="preserve"> — the failure mode is one subscription per booking/job/thread, which grows connection count and cost rapidly for a dashboard-driven app with threads everywhere. The design instead consolidates: a small, roughly constant number of channels (per tenant or per active project) carry many threads, filtered client-side by which item a message belongs to. Aligning the real-time boundary with the tenancy/project boundary also keeps the security story clean.</w:t>
      </w:r>
    </w:p>
    <w:p>
      <w:pPr>
        <w:pStyle w:val="ListParagraph"/>
        <w:numPr>
          <w:ilvl w:val="0"/>
          <w:numId w:val="2"/>
        </w:numPr>
        <w:spacing w:after="70" w:line="268"/>
      </w:pPr>
      <w:r>
        <w:rPr>
          <w:rFonts w:ascii="Calibri" w:cs="Calibri" w:eastAsia="Calibri" w:hAnsi="Calibri"/>
          <w:b/>
          <w:bCs/>
          <w:color w:val="1A2332"/>
          <w:sz w:val="21"/>
          <w:szCs w:val="21"/>
        </w:rPr>
        <w:t xml:space="preserve">Reliability</w:t>
      </w:r>
      <w:r>
        <w:rPr>
          <w:rFonts w:ascii="Calibri" w:cs="Calibri" w:eastAsia="Calibri" w:hAnsi="Calibri"/>
          <w:color w:val="1A2332"/>
          <w:sz w:val="21"/>
          <w:szCs w:val="21"/>
        </w:rPr>
        <w:t xml:space="preserve"> — the real-time layer is treated as delivery, not the source of truth. Messages persist to a Postgres messages table (the durable, auditable record the accountability model wants anyway); Realtime only delivers the live nudge that a new message exists. A dropped frame becomes a cosmetic re-fetch from Postgres, never lost data.</w:t>
      </w:r>
    </w:p>
    <w:p>
      <w:pPr>
        <w:spacing w:after="60" w:line="264"/>
      </w:pPr>
      <w:r>
        <w:rPr>
          <w:rFonts w:ascii="Calibri" w:cs="Calibri" w:eastAsia="Calibri" w:hAnsi="Calibri"/>
          <w:b/>
          <w:bCs/>
          <w:color w:val="2C5F7C"/>
          <w:sz w:val="20"/>
          <w:szCs w:val="20"/>
        </w:rPr>
        <w:t xml:space="preserve">Engine: </w:t>
      </w:r>
      <w:r>
        <w:rPr>
          <w:rFonts w:ascii="Calibri" w:cs="Calibri" w:eastAsia="Calibri" w:hAnsi="Calibri"/>
          <w:color w:val="1A2332"/>
          <w:sz w:val="20"/>
          <w:szCs w:val="20"/>
        </w:rPr>
        <w:t xml:space="preserve">messages persisted in Postgres with tenant/project/item association; consolidated Realtime channels for live delivery and presence.</w:t>
      </w:r>
    </w:p>
    <w:p>
      <w:pPr>
        <w:spacing w:after="60" w:line="264"/>
      </w:pPr>
      <w:r>
        <w:rPr>
          <w:rFonts w:ascii="Calibri" w:cs="Calibri" w:eastAsia="Calibri" w:hAnsi="Calibri"/>
          <w:b/>
          <w:bCs/>
          <w:color w:val="8A5A2B"/>
          <w:sz w:val="20"/>
          <w:szCs w:val="20"/>
        </w:rPr>
        <w:t xml:space="preserve">Surface: </w:t>
      </w:r>
      <w:r>
        <w:rPr>
          <w:rFonts w:ascii="Calibri" w:cs="Calibri" w:eastAsia="Calibri" w:hAnsi="Calibri"/>
          <w:color w:val="1A2332"/>
          <w:sz w:val="20"/>
          <w:szCs w:val="20"/>
        </w:rPr>
        <w:t xml:space="preserve">a thread appears in place on the item it concerns; users see live messages without any awareness of channels or subscriptions.</w:t>
      </w:r>
    </w:p>
    <w:p>
      <w:pPr>
        <w:pStyle w:val="Heading2"/>
        <w:spacing w:after="100" w:before="240"/>
      </w:pPr>
      <w:r>
        <w:rPr>
          <w:rFonts w:ascii="Calibri" w:cs="Calibri" w:eastAsia="Calibri" w:hAnsi="Calibri"/>
          <w:b/>
          <w:bCs/>
          <w:color w:val="2C5F7C"/>
          <w:sz w:val="25"/>
          <w:szCs w:val="25"/>
        </w:rPr>
        <w:t xml:space="preserve">7.2 SpacetimeDB — considered and set aside (documented escape hatch)</w:t>
      </w:r>
    </w:p>
    <w:p>
      <w:pPr>
        <w:spacing w:after="120" w:line="276"/>
      </w:pPr>
      <w:r>
        <w:rPr>
          <w:rFonts w:ascii="Calibri" w:cs="Calibri" w:eastAsia="Calibri" w:hAnsi="Calibri"/>
          <w:color w:val="1A2332"/>
          <w:sz w:val="21"/>
          <w:szCs w:val="21"/>
        </w:rPr>
        <w:t xml:space="preserve">SpacetimeDB was evaluated as a dedicated real-time layer. It genuinely excels at high-frequency shared state with efficient subscription fan-out, which maps to the concerns above. It was set aside for v1 because it introduces a </w:t>
      </w:r>
      <w:r>
        <w:rPr>
          <w:rFonts w:ascii="Calibri" w:cs="Calibri" w:eastAsia="Calibri" w:hAnsi="Calibri"/>
          <w:b/>
          <w:bCs/>
          <w:color w:val="1A2332"/>
          <w:sz w:val="21"/>
          <w:szCs w:val="21"/>
        </w:rPr>
        <w:t xml:space="preserve">second backend</w:t>
      </w:r>
      <w:r>
        <w:rPr>
          <w:rFonts w:ascii="Calibri" w:cs="Calibri" w:eastAsia="Calibri" w:hAnsi="Calibri"/>
          <w:color w:val="1A2332"/>
          <w:sz w:val="21"/>
          <w:szCs w:val="21"/>
        </w:rPr>
        <w:t xml:space="preserve"> — a parallel data store with its own model, hosting, module language, and security model — and therefore a synchronization seam between it and Postgres that must re-derive tenant/RLS rules in a separate permission model. For a solo developer with a commercialization path, betting a core subsystem on a younger, smaller-ecosystem platform is a real risk. The lower-risk path keeps everything on one backend and inherits existing RLS and tenant isolation.</w:t>
      </w:r>
    </w:p>
    <w:tbl>
      <w:tblPr>
        <w:tblW w:type="dxa" w:w="9360"/>
        <w:tblBorders>
          <w:top w:val="single" w:color="FBEEE6" w:sz="2"/>
          <w:left w:val="single" w:color="8A5A2B" w:sz="24"/>
          <w:bottom w:val="single" w:color="FBEEE6" w:sz="2"/>
          <w:right w:val="single" w:color="FBEEE6" w:sz="2"/>
          <w:insideH w:val="none"/>
          <w:insideV w:val="none"/>
        </w:tblBorders>
      </w:tblPr>
      <w:tblGrid>
        <w:gridCol w:w="9360"/>
      </w:tblGrid>
      <w:tr>
        <w:tc>
          <w:tcPr>
            <w:tcW w:type="dxa" w:w="9360"/>
            <w:shd w:fill="FBEE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Escape hatch — the trigger to revisit SpacetimeDB</w:t>
            </w:r>
          </w:p>
          <w:p>
            <w:pPr>
              <w:spacing w:after="120" w:line="276"/>
            </w:pPr>
            <w:r>
              <w:rPr>
                <w:rFonts w:ascii="Calibri" w:cs="Calibri" w:eastAsia="Calibri" w:hAnsi="Calibri"/>
                <w:color w:val="1A2332"/>
                <w:sz w:val="20"/>
                <w:szCs w:val="20"/>
              </w:rPr>
              <w:t xml:space="preserve">If subscription consolidation on Supabase proves insufficient at scale — i.e. connection/cost ceilings are still hit after channels are consolidated to per-tenant/per-project, or genuinely real-time collaborative features beyond chat (live multi-user editing, presence-heavy interactions) become requirements — SpacetimeDB is the documented fallback for a dedicated real-time layer, scoped narrowly to live transport and presence, with Postgres remaining the system of record. Confirm consolidation has actually been tried before taking on a second backend.</w:t>
            </w:r>
          </w:p>
        </w:tc>
      </w:tr>
    </w:tbl>
    <w:p>
      <w:pPr>
        <w:pStyle w:val="Heading2"/>
        <w:spacing w:after="100" w:before="240"/>
      </w:pPr>
      <w:r>
        <w:rPr>
          <w:rFonts w:ascii="Calibri" w:cs="Calibri" w:eastAsia="Calibri" w:hAnsi="Calibri"/>
          <w:b/>
          <w:bCs/>
          <w:color w:val="2C5F7C"/>
          <w:sz w:val="25"/>
          <w:szCs w:val="25"/>
        </w:rPr>
        <w:t xml:space="preserve">7.3 Cross-tenant threads</w:t>
      </w:r>
    </w:p>
    <w:p>
      <w:pPr>
        <w:spacing w:after="120" w:line="276"/>
      </w:pPr>
      <w:r>
        <w:rPr>
          <w:rFonts w:ascii="Calibri" w:cs="Calibri" w:eastAsia="Calibri" w:hAnsi="Calibri"/>
          <w:color w:val="1A2332"/>
          <w:sz w:val="21"/>
          <w:szCs w:val="21"/>
        </w:rPr>
        <w:t xml:space="preserve">On a joint project (Section 10), a thread may be cross-tenant — visible to both the host and invited tenants — while other threads on the same project remain internal to one tenant. Thread visibility therefore follows the same granular sharing rules as the rest of joint-project data, and is one of the access paths that warrants extra review, since a mis-scoped thread is a cross-tenant leak.</w:t>
      </w:r>
    </w:p>
    <w:p>
      <w:pPr>
        <w:pStyle w:val="Heading2"/>
        <w:spacing w:after="100" w:before="240"/>
      </w:pPr>
      <w:r>
        <w:rPr>
          <w:rFonts w:ascii="Calibri" w:cs="Calibri" w:eastAsia="Calibri" w:hAnsi="Calibri"/>
          <w:b/>
          <w:bCs/>
          <w:color w:val="2C5F7C"/>
          <w:sz w:val="25"/>
          <w:szCs w:val="25"/>
        </w:rPr>
        <w:t xml:space="preserve">7.4 Huddles — voice, screen share &amp; the audio record</w:t>
      </w:r>
    </w:p>
    <w:tbl>
      <w:tblPr>
        <w:tblW w:type="dxa" w:w="9360"/>
        <w:tblBorders>
          <w:top w:val="single" w:color="EEF2F5" w:sz="2"/>
          <w:left w:val="single" w:color="2C5F7C" w:sz="24"/>
          <w:bottom w:val="single" w:color="EEF2F5" w:sz="2"/>
          <w:right w:val="single" w:color="EEF2F5" w:sz="2"/>
          <w:insideH w:val="none"/>
          <w:insideV w:val="none"/>
        </w:tblBorders>
      </w:tblPr>
      <w:tblGrid>
        <w:gridCol w:w="9360"/>
      </w:tblGrid>
      <w:tr>
        <w:tc>
          <w:tcPr>
            <w:tcW w:type="dxa" w:w="9360"/>
            <w:shd w:fill="EEF2F5" w:val="clear"/>
            <w:tcMar>
              <w:top w:type="dxa" w:w="120"/>
              <w:left w:type="dxa" w:w="200"/>
              <w:bottom w:type="dxa" w:w="120"/>
              <w:right w:type="dxa" w:w="200"/>
            </w:tcMar>
          </w:tcPr>
          <w:p>
            <w:pPr>
              <w:spacing w:after="60"/>
            </w:pPr>
            <w:r>
              <w:rPr>
                <w:rFonts w:ascii="Calibri" w:cs="Calibri" w:eastAsia="Calibri" w:hAnsi="Calibri"/>
                <w:b/>
                <w:bCs/>
                <w:caps/>
                <w:color w:val="2C5F7C"/>
                <w:sz w:val="20"/>
                <w:szCs w:val="20"/>
              </w:rPr>
              <w:t xml:space="preserve">Why this is accountability infrastructure, not a convenience feature</w:t>
            </w:r>
          </w:p>
          <w:p>
            <w:pPr>
              <w:spacing w:after="120" w:line="276"/>
            </w:pPr>
            <w:r>
              <w:rPr>
                <w:rFonts w:ascii="Calibri" w:cs="Calibri" w:eastAsia="Calibri" w:hAnsi="Calibri"/>
                <w:b/>
                <w:bCs/>
                <w:color w:val="1A2332"/>
                <w:sz w:val="21"/>
                <w:szCs w:val="21"/>
              </w:rPr>
              <w:t xml:space="preserve">Decisions are made in conversation. Today those conversations happen in Teams, WhatsApp and hallway calls, and leave no trace against the work they decided. A huddle recording attached to the deliverable is the decision record — that is the reason to build it.</w:t>
            </w:r>
          </w:p>
        </w:tc>
      </w:tr>
    </w:tbl>
    <w:p>
      <w:pPr>
        <w:spacing w:after="120" w:line="276"/>
      </w:pPr>
      <w:r>
        <w:rPr>
          <w:rFonts w:ascii="Calibri" w:cs="Calibri" w:eastAsia="Calibri" w:hAnsi="Calibri"/>
          <w:color w:val="1A2332"/>
          <w:sz w:val="21"/>
          <w:szCs w:val="21"/>
        </w:rPr>
        <w:t xml:space="preserve">A huddle is a </w:t>
      </w:r>
      <w:r>
        <w:rPr>
          <w:rFonts w:ascii="Calibri" w:cs="Calibri" w:eastAsia="Calibri" w:hAnsi="Calibri"/>
          <w:b/>
          <w:bCs/>
          <w:color w:val="1A2332"/>
          <w:sz w:val="21"/>
          <w:szCs w:val="21"/>
        </w:rPr>
        <w:t xml:space="preserve">contextual voice session attached to an entity</w:t>
      </w:r>
      <w:r>
        <w:rPr>
          <w:rFonts w:ascii="Calibri" w:cs="Calibri" w:eastAsia="Calibri" w:hAnsi="Calibri"/>
          <w:color w:val="1A2332"/>
          <w:sz w:val="21"/>
          <w:szCs w:val="21"/>
        </w:rPr>
        <w:t xml:space="preserve"> — a deliverable, stream, campaign or ad-hoc job — not a meeting with a dial-in and a calendar invite. It carries voice, optional screen share, and by default an audio recording. The context is the whole point: you huddle on something, and what was said lands against that thing. This is §7.1’s contextual-chat principle extended from text to voice, not a separate product bolted alongside it.</w:t>
      </w:r>
    </w:p>
    <w:p>
      <w:pPr>
        <w:pStyle w:val="Heading3"/>
        <w:spacing w:after="80" w:before="180"/>
      </w:pPr>
      <w:r>
        <w:rPr>
          <w:rFonts w:ascii="Calibri" w:cs="Calibri" w:eastAsia="Calibri" w:hAnsi="Calibri"/>
          <w:b/>
          <w:bCs/>
          <w:color w:val="1A2332"/>
          <w:sz w:val="22"/>
          <w:szCs w:val="22"/>
        </w:rPr>
        <w:t xml:space="preserve">Woven into the thread, not parallel to it</w:t>
      </w:r>
    </w:p>
    <w:p>
      <w:pPr>
        <w:spacing w:after="120" w:line="276"/>
      </w:pPr>
      <w:r>
        <w:rPr>
          <w:rFonts w:ascii="Calibri" w:cs="Calibri" w:eastAsia="Calibri" w:hAnsi="Calibri"/>
          <w:color w:val="1A2332"/>
          <w:sz w:val="21"/>
          <w:szCs w:val="21"/>
        </w:rPr>
        <w:t xml:space="preserve">A huddle starts from the thread on the item and returns to it. The recording drops back into the same thread as an artifact in sequence, so the conversation reads continuously: text, then a huddle entry (duration, participants, recording), then text resuming. Voice becomes another message type on the existing timeline rather than a second channel to check. The practical effect is that the decision made in voice sits in the same place, at the same point in time, as the text either side of it — which is precisely what the current toolchain cannot do.</w:t>
      </w:r>
    </w:p>
    <w:p>
      <w:pPr>
        <w:pStyle w:val="Heading3"/>
        <w:spacing w:after="80" w:before="180"/>
      </w:pPr>
      <w:r>
        <w:rPr>
          <w:rFonts w:ascii="Calibri" w:cs="Calibri" w:eastAsia="Calibri" w:hAnsi="Calibri"/>
          <w:b/>
          <w:bCs/>
          <w:color w:val="1A2332"/>
          <w:sz w:val="22"/>
          <w:szCs w:val="22"/>
        </w:rPr>
        <w:t xml:space="preserve">Ad-hoc vs. scheduled — two different things</w:t>
      </w:r>
    </w:p>
    <w:p>
      <w:pPr>
        <w:pStyle w:val="ListParagraph"/>
        <w:numPr>
          <w:ilvl w:val="0"/>
          <w:numId w:val="2"/>
        </w:numPr>
        <w:spacing w:after="70" w:line="268"/>
      </w:pPr>
      <w:r>
        <w:rPr>
          <w:rFonts w:ascii="Calibri" w:cs="Calibri" w:eastAsia="Calibri" w:hAnsi="Calibri"/>
          <w:b/>
          <w:bCs/>
          <w:color w:val="1A2332"/>
          <w:sz w:val="21"/>
          <w:szCs w:val="21"/>
        </w:rPr>
        <w:t xml:space="preserve">Ad-hoc huddles are part of the workflow.</w:t>
      </w:r>
      <w:r>
        <w:rPr>
          <w:rFonts w:ascii="Calibri" w:cs="Calibri" w:eastAsia="Calibri" w:hAnsi="Calibri"/>
          <w:color w:val="1A2332"/>
          <w:sz w:val="21"/>
          <w:szCs w:val="21"/>
        </w:rPr>
        <w:t xml:space="preserve"> Someone starts one on a deliverable and participants are notified. This is the digital equivalent of turning to the person next to you, it is the common case, and it is not scheduled, not booked, and not counted as consumed time. Treating it otherwise would tax the thing we want people to do.</w:t>
      </w:r>
    </w:p>
    <w:p>
      <w:pPr>
        <w:pStyle w:val="ListParagraph"/>
        <w:numPr>
          <w:ilvl w:val="0"/>
          <w:numId w:val="2"/>
        </w:numPr>
        <w:spacing w:after="70" w:line="268"/>
      </w:pPr>
      <w:r>
        <w:rPr>
          <w:rFonts w:ascii="Calibri" w:cs="Calibri" w:eastAsia="Calibri" w:hAnsi="Calibri"/>
          <w:b/>
          <w:bCs/>
          <w:color w:val="1A2332"/>
          <w:sz w:val="21"/>
          <w:szCs w:val="21"/>
        </w:rPr>
        <w:t xml:space="preserve">Scheduled huddles are planned and tracked.</w:t>
      </w:r>
      <w:r>
        <w:rPr>
          <w:rFonts w:ascii="Calibri" w:cs="Calibri" w:eastAsia="Calibri" w:hAnsi="Calibri"/>
          <w:color w:val="1A2332"/>
          <w:sz w:val="21"/>
          <w:szCs w:val="21"/>
        </w:rPr>
        <w:t xml:space="preserve"> A start time, invitees, and a place on the calendar surface alongside work. These are the ones that eat the week.</w:t>
      </w:r>
    </w:p>
    <w:p>
      <w:pPr>
        <w:spacing w:after="120" w:line="276"/>
      </w:pPr>
      <w:r>
        <w:rPr>
          <w:rFonts w:ascii="Calibri" w:cs="Calibri" w:eastAsia="Calibri" w:hAnsi="Calibri"/>
          <w:color w:val="1A2332"/>
          <w:sz w:val="21"/>
          <w:szCs w:val="21"/>
        </w:rPr>
        <w:t xml:space="preserve">The design decision that matters: a scheduled huddle is </w:t>
      </w:r>
      <w:r>
        <w:rPr>
          <w:rFonts w:ascii="Calibri" w:cs="Calibri" w:eastAsia="Calibri" w:hAnsi="Calibri"/>
          <w:b/>
          <w:bCs/>
          <w:color w:val="1A2332"/>
          <w:sz w:val="21"/>
          <w:szCs w:val="21"/>
        </w:rPr>
        <w:t xml:space="preserve">tracked but not blocking</w:t>
      </w:r>
      <w:r>
        <w:rPr>
          <w:rFonts w:ascii="Calibri" w:cs="Calibri" w:eastAsia="Calibri" w:hAnsi="Calibri"/>
          <w:color w:val="1A2332"/>
          <w:sz w:val="21"/>
          <w:szCs w:val="21"/>
        </w:rPr>
        <w:t xml:space="preserve">. It does not enter the confirmed state and does not consume capacity in the booking model (§4.2) — it will not prevent work being scheduled over it. It is recorded and surfaced so that scheduled-huddle time can be measured against delivery time. The question this answers is diagnostic, not gating: how much of a team’s week is going into scheduled calls, and does that correlate with streams running late? That is a metric nobody can produce today because the calls live in one system and the work in another. Making it a blocker would import a scheduling fight the platform does not need; making it invisible would waste the one thing consolidation buys.</w:t>
      </w:r>
    </w:p>
    <w:p>
      <w:pPr>
        <w:pStyle w:val="Heading3"/>
        <w:spacing w:after="80" w:before="180"/>
      </w:pPr>
      <w:r>
        <w:rPr>
          <w:rFonts w:ascii="Calibri" w:cs="Calibri" w:eastAsia="Calibri" w:hAnsi="Calibri"/>
          <w:b/>
          <w:bCs/>
          <w:color w:val="1A2332"/>
          <w:sz w:val="22"/>
          <w:szCs w:val="22"/>
        </w:rPr>
        <w:t xml:space="preserve">The audio record — default on, opt-out audited</w:t>
      </w:r>
    </w:p>
    <w:p>
      <w:pPr>
        <w:pStyle w:val="ListParagraph"/>
        <w:numPr>
          <w:ilvl w:val="0"/>
          <w:numId w:val="2"/>
        </w:numPr>
        <w:spacing w:after="70" w:line="268"/>
      </w:pPr>
      <w:r>
        <w:rPr>
          <w:rFonts w:ascii="Calibri" w:cs="Calibri" w:eastAsia="Calibri" w:hAnsi="Calibri"/>
          <w:b/>
          <w:bCs/>
          <w:color w:val="1A2332"/>
          <w:sz w:val="21"/>
          <w:szCs w:val="21"/>
        </w:rPr>
        <w:t xml:space="preserve">Recording is on by default</w:t>
      </w:r>
      <w:r>
        <w:rPr>
          <w:rFonts w:ascii="Calibri" w:cs="Calibri" w:eastAsia="Calibri" w:hAnsi="Calibri"/>
          <w:color w:val="1A2332"/>
          <w:sz w:val="21"/>
          <w:szCs w:val="21"/>
        </w:rPr>
        <w:t xml:space="preserve"> for huddles, audio-first. Screen share is recorded only when explicitly enabled — video egress costs materially more in CPU and storage, and the accountability value is in what was said and agreed.</w:t>
      </w:r>
    </w:p>
    <w:p>
      <w:pPr>
        <w:pStyle w:val="ListParagraph"/>
        <w:numPr>
          <w:ilvl w:val="0"/>
          <w:numId w:val="2"/>
        </w:numPr>
        <w:spacing w:after="70" w:line="268"/>
      </w:pPr>
      <w:r>
        <w:rPr>
          <w:rFonts w:ascii="Calibri" w:cs="Calibri" w:eastAsia="Calibri" w:hAnsi="Calibri"/>
          <w:b/>
          <w:bCs/>
          <w:color w:val="1A2332"/>
          <w:sz w:val="21"/>
          <w:szCs w:val="21"/>
        </w:rPr>
        <w:t xml:space="preserve">The huddle creator can turn recording off</w:t>
      </w:r>
      <w:r>
        <w:rPr>
          <w:rFonts w:ascii="Calibri" w:cs="Calibri" w:eastAsia="Calibri" w:hAnsi="Calibri"/>
          <w:color w:val="1A2332"/>
          <w:sz w:val="21"/>
          <w:szCs w:val="21"/>
        </w:rPr>
        <w:t xml:space="preserve"> — and that act is itself logged and auditable. The escape hatch exists, but it leaves a trace. Someone may hold a private conversation; they may not hold an invisible one. This is the accountability model applied to its own opt-out.</w:t>
      </w:r>
    </w:p>
    <w:p>
      <w:pPr>
        <w:pStyle w:val="ListParagraph"/>
        <w:numPr>
          <w:ilvl w:val="0"/>
          <w:numId w:val="2"/>
        </w:numPr>
        <w:spacing w:after="70" w:line="268"/>
      </w:pPr>
      <w:r>
        <w:rPr>
          <w:rFonts w:ascii="Calibri" w:cs="Calibri" w:eastAsia="Calibri" w:hAnsi="Calibri"/>
          <w:b/>
          <w:bCs/>
          <w:color w:val="1A2332"/>
          <w:sz w:val="21"/>
          <w:szCs w:val="21"/>
        </w:rPr>
        <w:t xml:space="preserve">Consent is explicit</w:t>
      </w:r>
      <w:r>
        <w:rPr>
          <w:rFonts w:ascii="Calibri" w:cs="Calibri" w:eastAsia="Calibri" w:hAnsi="Calibri"/>
          <w:color w:val="1A2332"/>
          <w:sz w:val="21"/>
          <w:szCs w:val="21"/>
        </w:rPr>
        <w:t xml:space="preserve"> — notice on join and a visible indicator for the duration of the session, for every participant including external ones. This is not a nicety: huddles will carry client voices across several jurisdictions.</w:t>
      </w:r>
    </w:p>
    <w:p>
      <w:pPr>
        <w:pStyle w:val="ListParagraph"/>
        <w:numPr>
          <w:ilvl w:val="0"/>
          <w:numId w:val="2"/>
        </w:numPr>
        <w:spacing w:after="70" w:line="268"/>
      </w:pPr>
      <w:r>
        <w:rPr>
          <w:rFonts w:ascii="Calibri" w:cs="Calibri" w:eastAsia="Calibri" w:hAnsi="Calibri"/>
          <w:b/>
          <w:bCs/>
          <w:color w:val="1A2332"/>
          <w:sz w:val="21"/>
          <w:szCs w:val="21"/>
        </w:rPr>
        <w:t xml:space="preserve">Playback rights are set per huddle</w:t>
      </w:r>
      <w:r>
        <w:rPr>
          <w:rFonts w:ascii="Calibri" w:cs="Calibri" w:eastAsia="Calibri" w:hAnsi="Calibri"/>
          <w:color w:val="1A2332"/>
          <w:sz w:val="21"/>
          <w:szCs w:val="21"/>
        </w:rPr>
        <w:t xml:space="preserve"> — all participants on the parent entity, or a named subset. Rights are set at creation and enforced by RLS like any other artifact, so a recording on a joint project respects the same per-field boundaries as everything else (§10.4).</w:t>
      </w:r>
    </w:p>
    <w:p>
      <w:pPr>
        <w:pStyle w:val="ListParagraph"/>
        <w:numPr>
          <w:ilvl w:val="0"/>
          <w:numId w:val="2"/>
        </w:numPr>
        <w:spacing w:after="70" w:line="268"/>
      </w:pPr>
      <w:r>
        <w:rPr>
          <w:rFonts w:ascii="Calibri" w:cs="Calibri" w:eastAsia="Calibri" w:hAnsi="Calibri"/>
          <w:b/>
          <w:bCs/>
          <w:color w:val="1A2332"/>
          <w:sz w:val="21"/>
          <w:szCs w:val="21"/>
        </w:rPr>
        <w:t xml:space="preserve">Retention follows the §8.3 media lifecycle</w:t>
      </w:r>
      <w:r>
        <w:rPr>
          <w:rFonts w:ascii="Calibri" w:cs="Calibri" w:eastAsia="Calibri" w:hAnsi="Calibri"/>
          <w:color w:val="1A2332"/>
          <w:sz w:val="21"/>
          <w:szCs w:val="21"/>
        </w:rPr>
        <w:t xml:space="preserve"> — huddle audio is media and ages through the same hot / cold / proxy-only tiers as any other asset. No separate retention regime, no special-case storage policy.</w:t>
      </w:r>
    </w:p>
    <w:p>
      <w:pPr>
        <w:pStyle w:val="Heading3"/>
        <w:spacing w:after="80" w:before="180"/>
      </w:pPr>
      <w:r>
        <w:rPr>
          <w:rFonts w:ascii="Calibri" w:cs="Calibri" w:eastAsia="Calibri" w:hAnsi="Calibri"/>
          <w:b/>
          <w:bCs/>
          <w:color w:val="1A2332"/>
          <w:sz w:val="22"/>
          <w:szCs w:val="22"/>
        </w:rPr>
        <w:t xml:space="preserve">Delivery approach — LiveKit, self-hosted</w:t>
      </w:r>
    </w:p>
    <w:p>
      <w:pPr>
        <w:spacing w:after="120" w:line="276"/>
      </w:pPr>
      <w:r>
        <w:rPr>
          <w:rFonts w:ascii="Calibri" w:cs="Calibri" w:eastAsia="Calibri" w:hAnsi="Calibri"/>
          <w:color w:val="1A2332"/>
          <w:sz w:val="21"/>
          <w:szCs w:val="21"/>
        </w:rPr>
        <w:t xml:space="preserve">LiveKit is the direction. It is Apache 2.0, self-hostable with no per-user or per-minute fee, and its Egress service writes recordings server-side to S3-compatible storage — which is Backblaze B2 (§3). That last point is why it fits rather than merely qualifies: the recording lands in the existing storage lifecycle, keyed on the existing hierarchy, without a bridge. Participant tokens are JWTs minted by a privileged route from Supabase auth — the same pattern as the Collabora WOPI token (§8.4), so the permission model reaches the media layer without a second identity system.</w:t>
      </w:r>
    </w:p>
    <w:p>
      <w:pPr>
        <w:spacing w:after="120" w:line="276"/>
      </w:pPr>
      <w:r>
        <w:rPr>
          <w:rFonts w:ascii="Calibri" w:cs="Calibri" w:eastAsia="Calibri" w:hAnsi="Calibri"/>
          <w:color w:val="1A2332"/>
          <w:sz w:val="21"/>
          <w:szCs w:val="21"/>
        </w:rPr>
        <w:t xml:space="preserve">The alternatives were considered. Jitsi Meet is mature and embeddable, but it is a meeting product joined by iframe rather than primitives to build with, its Jibri recorder runs a Chrome instance per recording, and branding overrides break on upgrade. Galene is the simplest thing available (a single Go binary) but recording is left to external tooling. mediasoup is a library, not an application — maximum control, and a WebRTC engineering project this team does not have capacity for. The general finding holds: the cheapest options by licence become the most expensive once development time is counted. LiveKit is chosen because the UI is built from SDK primitives, so a huddle attached to a deliverable looks and behaves like part of the platform rather than a guest inside it.</w:t>
      </w:r>
    </w:p>
    <w:tbl>
      <w:tblPr>
        <w:tblW w:type="dxa" w:w="9360"/>
        <w:tblBorders>
          <w:top w:val="single" w:color="FBF0E6" w:sz="2"/>
          <w:left w:val="single" w:color="8A5A2B" w:sz="24"/>
          <w:bottom w:val="single" w:color="FBF0E6" w:sz="2"/>
          <w:right w:val="single" w:color="FBF0E6" w:sz="2"/>
          <w:insideH w:val="none"/>
          <w:insideV w:val="none"/>
        </w:tblBorders>
      </w:tblPr>
      <w:tblGrid>
        <w:gridCol w:w="9360"/>
      </w:tblGrid>
      <w:tr>
        <w:tc>
          <w:tcPr>
            <w:tcW w:type="dxa" w:w="9360"/>
            <w:shd w:fill="FBF0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Open — huddle operational detail</w:t>
            </w:r>
          </w:p>
          <w:p>
            <w:pPr>
              <w:spacing w:after="120" w:line="276"/>
            </w:pPr>
            <w:r>
              <w:rPr>
                <w:rFonts w:ascii="Calibri" w:cs="Calibri" w:eastAsia="Calibri" w:hAnsi="Calibri"/>
                <w:color w:val="1A2332"/>
                <w:sz w:val="20"/>
                <w:szCs w:val="20"/>
              </w:rPr>
              <w:t xml:space="preserve">TURN/coturn is the real operational risk and is on us to run: corporate firewalls are where WebRTC fails, and clients joining from restricted networks are the exact case that must work. Egress is a separate service with its own resource appetite, not a configuration flag. Untested at this stage — unlike Collabora (§8.4), no fidelity or connectivity test has been run. Logged as Open Decisions 27–28.</w:t>
            </w:r>
          </w:p>
        </w:tc>
      </w:tr>
    </w:tbl>
    <w:p>
      <w:pPr>
        <w:pStyle w:val="Heading1"/>
        <w:spacing w:after="140" w:before="360"/>
      </w:pPr>
      <w:r>
        <w:rPr>
          <w:rFonts w:ascii="Calibri" w:cs="Calibri" w:eastAsia="Calibri" w:hAnsi="Calibri"/>
          <w:b/>
          <w:bCs/>
          <w:color w:val="1A2332"/>
          <w:sz w:val="30"/>
          <w:szCs w:val="30"/>
        </w:rPr>
        <w:t xml:space="preserve">8. Briefs, Media Review &amp; Storage</w:t>
      </w:r>
    </w:p>
    <w:p>
      <w:pPr>
        <w:spacing w:after="120" w:line="276"/>
      </w:pPr>
      <w:r>
        <w:rPr>
          <w:rFonts w:ascii="Calibri" w:cs="Calibri" w:eastAsia="Calibri" w:hAnsi="Calibri"/>
          <w:color w:val="1A2332"/>
          <w:sz w:val="21"/>
          <w:szCs w:val="21"/>
        </w:rPr>
        <w:t xml:space="preserve">This section covers how work is specified (the brief system), how creative deliverables are reviewed inside the platform, and how media is stored affordably without losing the history the accountability model depends on.</w:t>
      </w:r>
    </w:p>
    <w:p>
      <w:pPr>
        <w:pStyle w:val="Heading2"/>
        <w:spacing w:after="100" w:before="240"/>
      </w:pPr>
      <w:r>
        <w:rPr>
          <w:rFonts w:ascii="Calibri" w:cs="Calibri" w:eastAsia="Calibri" w:hAnsi="Calibri"/>
          <w:b/>
          <w:bCs/>
          <w:color w:val="2C5F7C"/>
          <w:sz w:val="25"/>
          <w:szCs w:val="25"/>
        </w:rPr>
        <w:t xml:space="preserve">8.1 The brief system — three phases, campaign hierarchy</w:t>
      </w:r>
    </w:p>
    <w:p>
      <w:pPr>
        <w:spacing w:after="120" w:line="276"/>
      </w:pPr>
      <w:r>
        <w:rPr>
          <w:rFonts w:ascii="Calibri" w:cs="Calibri" w:eastAsia="Calibri" w:hAnsi="Calibri"/>
          <w:color w:val="1A2332"/>
          <w:sz w:val="21"/>
          <w:szCs w:val="21"/>
        </w:rPr>
        <w:t xml:space="preserve">The organization's existing brief templates (eight discipline-specific forms) collapse into a three-phase lifecycle rather than eight parallel types. The eight are phases of work, not a flat taxonomy:</w:t>
      </w:r>
    </w:p>
    <w:p>
      <w:pPr>
        <w:pStyle w:val="ListParagraph"/>
        <w:numPr>
          <w:ilvl w:val="0"/>
          <w:numId w:val="2"/>
        </w:numPr>
        <w:spacing w:after="70" w:line="268"/>
      </w:pPr>
      <w:r>
        <w:rPr>
          <w:rFonts w:ascii="Calibri" w:cs="Calibri" w:eastAsia="Calibri" w:hAnsi="Calibri"/>
          <w:b/>
          <w:bCs/>
          <w:color w:val="1A2332"/>
          <w:sz w:val="21"/>
          <w:szCs w:val="21"/>
        </w:rPr>
        <w:t xml:space="preserve">Concept</w:t>
      </w:r>
      <w:r>
        <w:rPr>
          <w:rFonts w:ascii="Calibri" w:cs="Calibri" w:eastAsia="Calibri" w:hAnsi="Calibri"/>
          <w:color w:val="1A2332"/>
          <w:sz w:val="21"/>
          <w:szCs w:val="21"/>
        </w:rPr>
        <w:t xml:space="preserve"> — a piece of work is specified and thought through. Either a 360 campaign (which spawns multiple discipline streams) or a standalone single-discipline brief (social, production, influencer, activation, performance).</w:t>
      </w:r>
    </w:p>
    <w:p>
      <w:pPr>
        <w:pStyle w:val="ListParagraph"/>
        <w:numPr>
          <w:ilvl w:val="0"/>
          <w:numId w:val="2"/>
        </w:numPr>
        <w:spacing w:after="70" w:line="268"/>
      </w:pPr>
      <w:r>
        <w:rPr>
          <w:rFonts w:ascii="Calibri" w:cs="Calibri" w:eastAsia="Calibri" w:hAnsi="Calibri"/>
          <w:b/>
          <w:bCs/>
          <w:color w:val="1A2332"/>
          <w:sz w:val="21"/>
          <w:szCs w:val="21"/>
        </w:rPr>
        <w:t xml:space="preserve">Execution</w:t>
      </w:r>
      <w:r>
        <w:rPr>
          <w:rFonts w:ascii="Calibri" w:cs="Calibri" w:eastAsia="Calibri" w:hAnsi="Calibri"/>
          <w:color w:val="1A2332"/>
          <w:sz w:val="21"/>
          <w:szCs w:val="21"/>
        </w:rPr>
        <w:t xml:space="preserve"> — a specific deliverable is produced. The lightweight single-task form.</w:t>
      </w:r>
    </w:p>
    <w:p>
      <w:pPr>
        <w:pStyle w:val="ListParagraph"/>
        <w:numPr>
          <w:ilvl w:val="0"/>
          <w:numId w:val="2"/>
        </w:numPr>
        <w:spacing w:after="70" w:line="268"/>
      </w:pPr>
      <w:r>
        <w:rPr>
          <w:rFonts w:ascii="Calibri" w:cs="Calibri" w:eastAsia="Calibri" w:hAnsi="Calibri"/>
          <w:b/>
          <w:bCs/>
          <w:color w:val="1A2332"/>
          <w:sz w:val="21"/>
          <w:szCs w:val="21"/>
        </w:rPr>
        <w:t xml:space="preserve">Feedback</w:t>
      </w:r>
      <w:r>
        <w:rPr>
          <w:rFonts w:ascii="Calibri" w:cs="Calibri" w:eastAsia="Calibri" w:hAnsi="Calibri"/>
          <w:color w:val="1A2332"/>
          <w:sz w:val="21"/>
          <w:szCs w:val="21"/>
        </w:rPr>
        <w:t xml:space="preserve"> — an existing deliverable is revised. Carries revision round and feedback source (client / internal / both).</w:t>
      </w:r>
    </w:p>
    <w:p>
      <w:pPr>
        <w:spacing w:after="120" w:line="276"/>
      </w:pPr>
      <w:r>
        <w:rPr>
          <w:rFonts w:ascii="Calibri" w:cs="Calibri" w:eastAsia="Calibri" w:hAnsi="Calibri"/>
          <w:color w:val="1A2332"/>
          <w:sz w:val="21"/>
          <w:szCs w:val="21"/>
        </w:rPr>
        <w:t xml:space="preserve">This is a lifecycle, not a filing scheme: work is briefed, made, and revised — Concept → Execution → Feedback → (loop until approved). That loop is the SLA revision-bounding and pausable-clock model made concrete.</w:t>
      </w:r>
    </w:p>
    <w:p>
      <w:pPr>
        <w:pStyle w:val="Heading3"/>
        <w:spacing w:after="80" w:before="180"/>
      </w:pPr>
      <w:r>
        <w:rPr>
          <w:rFonts w:ascii="Calibri" w:cs="Calibri" w:eastAsia="Calibri" w:hAnsi="Calibri"/>
          <w:b/>
          <w:bCs/>
          <w:color w:val="1A2332"/>
          <w:sz w:val="22"/>
          <w:szCs w:val="22"/>
        </w:rPr>
        <w:t xml:space="preserve">Campaign → Stream → Deliverable</w:t>
      </w:r>
    </w:p>
    <w:p>
      <w:pPr>
        <w:spacing w:after="120" w:line="276"/>
      </w:pPr>
      <w:r>
        <w:rPr>
          <w:rFonts w:ascii="Calibri" w:cs="Calibri" w:eastAsia="Calibri" w:hAnsi="Calibri"/>
          <w:color w:val="1A2332"/>
          <w:sz w:val="21"/>
          <w:szCs w:val="21"/>
        </w:rPr>
        <w:t xml:space="preserve">A 360 campaign is a parent that spawns discipline streams, not one of the disciplines. The clean hierarchy:</w:t>
      </w:r>
    </w:p>
    <w:p>
      <w:pPr>
        <w:pStyle w:val="ListParagraph"/>
        <w:numPr>
          <w:ilvl w:val="0"/>
          <w:numId w:val="2"/>
        </w:numPr>
        <w:spacing w:after="70" w:line="268"/>
      </w:pPr>
      <w:r>
        <w:rPr>
          <w:rFonts w:ascii="Calibri" w:cs="Calibri" w:eastAsia="Calibri" w:hAnsi="Calibri"/>
          <w:b/>
          <w:bCs/>
          <w:color w:val="1A2332"/>
          <w:sz w:val="21"/>
          <w:szCs w:val="21"/>
        </w:rPr>
        <w:t xml:space="preserve">Campaign</w:t>
      </w:r>
      <w:r>
        <w:rPr>
          <w:rFonts w:ascii="Calibri" w:cs="Calibri" w:eastAsia="Calibri" w:hAnsi="Calibri"/>
          <w:color w:val="1A2332"/>
          <w:sz w:val="21"/>
          <w:szCs w:val="21"/>
        </w:rPr>
        <w:t xml:space="preserve"> holds the strategic core once — brand, audience, insight, proposition, omni-channel journey, campaign deadline. Authored a single time.</w:t>
      </w:r>
    </w:p>
    <w:p>
      <w:pPr>
        <w:pStyle w:val="ListParagraph"/>
        <w:numPr>
          <w:ilvl w:val="0"/>
          <w:numId w:val="2"/>
        </w:numPr>
        <w:spacing w:after="70" w:line="268"/>
      </w:pPr>
      <w:r>
        <w:rPr>
          <w:rFonts w:ascii="Calibri" w:cs="Calibri" w:eastAsia="Calibri" w:hAnsi="Calibri"/>
          <w:b/>
          <w:bCs/>
          <w:color w:val="1A2332"/>
          <w:sz w:val="21"/>
          <w:szCs w:val="21"/>
        </w:rPr>
        <w:t xml:space="preserve">Streams</w:t>
      </w:r>
      <w:r>
        <w:rPr>
          <w:rFonts w:ascii="Calibri" w:cs="Calibri" w:eastAsia="Calibri" w:hAnsi="Calibri"/>
          <w:color w:val="1A2332"/>
          <w:sz w:val="21"/>
          <w:szCs w:val="21"/>
        </w:rPr>
        <w:t xml:space="preserve"> hang off it and inherit the strategy automatically, adding only their discipline-specific fields. Stream types are the work types (Section 5): social, production, influencer, activation, performance — each with its own SLA profile, KPIs, and owners.</w:t>
      </w:r>
    </w:p>
    <w:p>
      <w:pPr>
        <w:pStyle w:val="ListParagraph"/>
        <w:numPr>
          <w:ilvl w:val="0"/>
          <w:numId w:val="2"/>
        </w:numPr>
        <w:spacing w:after="70" w:line="268"/>
      </w:pPr>
      <w:r>
        <w:rPr>
          <w:rFonts w:ascii="Calibri" w:cs="Calibri" w:eastAsia="Calibri" w:hAnsi="Calibri"/>
          <w:b/>
          <w:bCs/>
          <w:color w:val="1A2332"/>
          <w:sz w:val="21"/>
          <w:szCs w:val="21"/>
        </w:rPr>
        <w:t xml:space="preserve">Deliverables</w:t>
      </w:r>
      <w:r>
        <w:rPr>
          <w:rFonts w:ascii="Calibri" w:cs="Calibri" w:eastAsia="Calibri" w:hAnsi="Calibri"/>
          <w:color w:val="1A2332"/>
          <w:sz w:val="21"/>
          <w:szCs w:val="21"/>
        </w:rPr>
        <w:t xml:space="preserve"> are the individual items produced within a stream, executed and revised via the Execution and Feedback phases.</w:t>
      </w:r>
    </w:p>
    <w:p>
      <w:pPr>
        <w:spacing w:after="120" w:line="276"/>
      </w:pPr>
      <w:r>
        <w:rPr>
          <w:rFonts w:ascii="Calibri" w:cs="Calibri" w:eastAsia="Calibri" w:hAnsi="Calibri"/>
          <w:color w:val="1A2332"/>
          <w:sz w:val="21"/>
          <w:szCs w:val="21"/>
        </w:rPr>
        <w:t xml:space="preserve">The payoff is coherence by construction: the proposition is defined once and every stream reads from it, so it cannot drift across parallel documents. It also collapses effort — the shared header and strategic spine are entered once, not once per stream. Crucially, this hierarchy </w:t>
      </w:r>
      <w:r>
        <w:rPr>
          <w:rFonts w:ascii="Calibri" w:cs="Calibri" w:eastAsia="Calibri" w:hAnsi="Calibri"/>
          <w:i/>
          <w:iCs/>
          <w:color w:val="1A2332"/>
          <w:sz w:val="21"/>
          <w:szCs w:val="21"/>
        </w:rPr>
        <w:t xml:space="preserve">is</w:t>
      </w:r>
      <w:r>
        <w:rPr>
          <w:rFonts w:ascii="Calibri" w:cs="Calibri" w:eastAsia="Calibri" w:hAnsi="Calibri"/>
          <w:color w:val="1A2332"/>
          <w:sz w:val="21"/>
          <w:szCs w:val="21"/>
        </w:rPr>
        <w:t xml:space="preserve"> the project/work structure the scheduling and dashboard layers already need: a campaign is a project, streams are bundles of schedulable work, and campaign health rolls up from stream health (Section 6).</w:t>
      </w:r>
    </w:p>
    <w:p>
      <w:pPr>
        <w:pStyle w:val="Heading3"/>
        <w:spacing w:after="80" w:before="180"/>
      </w:pPr>
      <w:r>
        <w:rPr>
          <w:rFonts w:ascii="Calibri" w:cs="Calibri" w:eastAsia="Calibri" w:hAnsi="Calibri"/>
          <w:b/>
          <w:bCs/>
          <w:color w:val="1A2332"/>
          <w:sz w:val="22"/>
          <w:szCs w:val="22"/>
        </w:rPr>
        <w:t xml:space="preserve">Every campaign carries a campaign calendar</w:t>
      </w:r>
    </w:p>
    <w:p>
      <w:pPr>
        <w:spacing w:after="120" w:line="276"/>
      </w:pPr>
      <w:r>
        <w:rPr>
          <w:rFonts w:ascii="Calibri" w:cs="Calibri" w:eastAsia="Calibri" w:hAnsi="Calibri"/>
          <w:color w:val="1A2332"/>
          <w:sz w:val="21"/>
          <w:szCs w:val="21"/>
        </w:rPr>
        <w:t xml:space="preserve">Each campaign automatically owns a campaign calendar — created with the campaign, not a separate object anyone sets up or opts into. It is a shared, cross-team surface — available to every team working the campaign, not tied to any single discipline. It is the schedule of that one campaign’s work: its streams and their deliverables laid out in time, from each item’s commence-by date through its milestones to its go-live. The calendar is assembled, not authored — the same brief data and per-work-type SLA lead times that already drive scheduling (Section 5.4) populate it — so it exists the moment the campaign is briefed and stays current as deliverables move.</w:t>
      </w:r>
    </w:p>
    <w:p>
      <w:pPr>
        <w:spacing w:after="120" w:line="276"/>
      </w:pPr>
      <w:r>
        <w:rPr>
          <w:rFonts w:ascii="Calibri" w:cs="Calibri" w:eastAsia="Calibri" w:hAnsi="Calibri"/>
          <w:color w:val="1A2332"/>
          <w:sz w:val="21"/>
          <w:szCs w:val="21"/>
        </w:rPr>
        <w:t xml:space="preserve">This is deliberately separate from the planning calendar (Section 10.2), because the two answer different questions. The planning calendar is a forward-looking, cross-campaign instrument for a whole client relationship: what is coming across the year, and by when must each brief land. The campaign calendar is scoped to a single campaign already in motion: what is the schedule of everything being made here, and how is it tracking. Keeping them distinct stops the planning surface from drowning in per-deliverable detail and gives each campaign a natural home for its own timeline.</w:t>
      </w:r>
    </w:p>
    <w:p>
      <w:pPr>
        <w:spacing w:after="120" w:line="276"/>
      </w:pPr>
      <w:r>
        <w:rPr>
          <w:rFonts w:ascii="Calibri" w:cs="Calibri" w:eastAsia="Calibri" w:hAnsi="Calibri"/>
          <w:color w:val="1A2332"/>
          <w:sz w:val="21"/>
          <w:szCs w:val="21"/>
        </w:rPr>
        <w:t xml:space="preserve">The two are connected by reference, not by synchronization. A campaign that originated from a planning-calendar entry carries a link back to that entry — and the entry can point forward to the campaign it spawned — so anyone can move between “the slot we agreed for the year” and “the campaign as it is running.” The link is contextual only: following it navigates between the two views, but each calendar keeps its own dates. Moving a milestone on the campaign calendar does not silently rewrite the agreed planning date, and re-agreeing a planning date does not reach in and reschedule live work. This preserves the planning calendar as the record of what the client committed to (Section 10.2) while letting the campaign schedule flex as real production does.</w:t>
      </w:r>
    </w:p>
    <w:p>
      <w:pPr>
        <w:spacing w:after="60" w:line="264"/>
      </w:pPr>
      <w:r>
        <w:rPr>
          <w:rFonts w:ascii="Calibri" w:cs="Calibri" w:eastAsia="Calibri" w:hAnsi="Calibri"/>
          <w:b/>
          <w:bCs/>
          <w:color w:val="2C5F7C"/>
          <w:sz w:val="20"/>
          <w:szCs w:val="20"/>
        </w:rPr>
        <w:t xml:space="preserve">Engine: </w:t>
      </w:r>
      <w:r>
        <w:rPr>
          <w:rFonts w:ascii="Calibri" w:cs="Calibri" w:eastAsia="Calibri" w:hAnsi="Calibri"/>
          <w:color w:val="1A2332"/>
          <w:sz w:val="20"/>
          <w:szCs w:val="20"/>
        </w:rPr>
        <w:t xml:space="preserve">a campaign-scoped calendar view projected over the campaign’s existing streams, deliverables, milestones and SLA-derived dates, plus an optional reference to the originating planning-calendar entry. No new scheduling data is stored — it reads what the brief and SLA engine already hold.</w:t>
      </w:r>
    </w:p>
    <w:p>
      <w:pPr>
        <w:spacing w:after="60" w:line="264"/>
      </w:pPr>
      <w:r>
        <w:rPr>
          <w:rFonts w:ascii="Calibri" w:cs="Calibri" w:eastAsia="Calibri" w:hAnsi="Calibri"/>
          <w:b/>
          <w:bCs/>
          <w:color w:val="2C5F7C"/>
          <w:sz w:val="20"/>
          <w:szCs w:val="20"/>
        </w:rPr>
        <w:t xml:space="preserve">Surface — every team working the campaign: </w:t>
      </w:r>
      <w:r>
        <w:rPr>
          <w:rFonts w:ascii="Calibri" w:cs="Calibri" w:eastAsia="Calibri" w:hAnsi="Calibri"/>
          <w:color w:val="1A2332"/>
          <w:sz w:val="20"/>
          <w:szCs w:val="20"/>
        </w:rPr>
        <w:t xml:space="preserve">the campaign calendar is a shared surface, not a single-discipline or account-management tool. Every team on the campaign — creative, production, performance marketing, influencer, and the account manager — reads the same campaign timeline of streams, deliverables, commence-by dates, milestones and go-live, so cross-stream dependencies and hand-offs are visible to everyone delivering it. What stays role-scoped is the detail beneath the dates: a team sees the whole campaign’s schedule but not another team’s internal capacity, SLA clock, or performance (Section 2.3). The calendar is read-only for the delivery teams — dates change only by moving the underlying booking or deliverable in a team’s own surface. The account manager is the single role that can adjust milestone and go-live dates directly on the campaign calendar; every other team reads them.</w:t>
      </w:r>
    </w:p>
    <w:p>
      <w:pPr>
        <w:spacing w:after="60" w:line="264"/>
      </w:pPr>
      <w:r>
        <w:rPr>
          <w:rFonts w:ascii="Calibri" w:cs="Calibri" w:eastAsia="Calibri" w:hAnsi="Calibri"/>
          <w:b/>
          <w:bCs/>
          <w:color w:val="2C5F7C"/>
          <w:sz w:val="20"/>
          <w:szCs w:val="20"/>
        </w:rPr>
        <w:t xml:space="preserve">Surface — client (portal): </w:t>
      </w:r>
      <w:r>
        <w:rPr>
          <w:rFonts w:ascii="Calibri" w:cs="Calibri" w:eastAsia="Calibri" w:hAnsi="Calibri"/>
          <w:color w:val="1A2332"/>
          <w:sz w:val="20"/>
          <w:szCs w:val="20"/>
        </w:rPr>
        <w:t xml:space="preserve">a client-shareable view of the campaign schedule, surfaced in the portal alongside the planning calendar and stripped to client-facing milestone and go-live dates, never internal working deadlines or the SLA clock (Section 10.2).</w:t>
      </w:r>
    </w:p>
    <w:p>
      <w:pPr>
        <w:pStyle w:val="Heading3"/>
        <w:spacing w:after="80" w:before="180"/>
      </w:pPr>
      <w:r>
        <w:rPr>
          <w:rFonts w:ascii="Calibri" w:cs="Calibri" w:eastAsia="Calibri" w:hAnsi="Calibri"/>
          <w:b/>
          <w:bCs/>
          <w:color w:val="1A2332"/>
          <w:sz w:val="22"/>
          <w:szCs w:val="22"/>
        </w:rPr>
        <w:t xml:space="preserve">Rule: one campaign per stream (with a bounded exception)</w:t>
      </w:r>
    </w:p>
    <w:p>
      <w:pPr>
        <w:spacing w:after="120" w:line="276"/>
      </w:pPr>
      <w:r>
        <w:rPr>
          <w:rFonts w:ascii="Calibri" w:cs="Calibri" w:eastAsia="Calibri" w:hAnsi="Calibri"/>
          <w:color w:val="1A2332"/>
          <w:sz w:val="21"/>
          <w:szCs w:val="21"/>
        </w:rPr>
        <w:t xml:space="preserve">A stream belongs to exactly one campaign — a clean parent-child rule that keeps inheritance, roll-up, and dashboards unambiguous. Two real-world realities are handled without breaking it:</w:t>
      </w:r>
    </w:p>
    <w:p>
      <w:pPr>
        <w:pStyle w:val="ListParagraph"/>
        <w:numPr>
          <w:ilvl w:val="0"/>
          <w:numId w:val="2"/>
        </w:numPr>
        <w:spacing w:after="70" w:line="268"/>
      </w:pPr>
      <w:r>
        <w:rPr>
          <w:rFonts w:ascii="Calibri" w:cs="Calibri" w:eastAsia="Calibri" w:hAnsi="Calibri"/>
          <w:b/>
          <w:bCs/>
          <w:color w:val="1A2332"/>
          <w:sz w:val="21"/>
          <w:szCs w:val="21"/>
        </w:rPr>
        <w:t xml:space="preserve">Shared brand assets</w:t>
      </w:r>
      <w:r>
        <w:rPr>
          <w:rFonts w:ascii="Calibri" w:cs="Calibri" w:eastAsia="Calibri" w:hAnsi="Calibri"/>
          <w:color w:val="1A2332"/>
          <w:sz w:val="21"/>
          <w:szCs w:val="21"/>
        </w:rPr>
        <w:t xml:space="preserve"> — assets (logos, fonts, guidelines, key visuals) live at the brand level, above campaigns, and are referenced (not copied) by campaigns, streams, and deliverables. Same pattern as the resource model: owned once, referenced many times, so updates propagate and nothing goes stale. Cross-tenant visibility still applies — an invited tenant sees only assets shared into the joint project, not the host's whole library.</w:t>
      </w:r>
    </w:p>
    <w:p>
      <w:pPr>
        <w:pStyle w:val="ListParagraph"/>
        <w:numPr>
          <w:ilvl w:val="0"/>
          <w:numId w:val="2"/>
        </w:numPr>
        <w:spacing w:after="70" w:line="268"/>
      </w:pPr>
      <w:r>
        <w:rPr>
          <w:rFonts w:ascii="Calibri" w:cs="Calibri" w:eastAsia="Calibri" w:hAnsi="Calibri"/>
          <w:b/>
          <w:bCs/>
          <w:color w:val="1A2332"/>
          <w:sz w:val="21"/>
          <w:szCs w:val="21"/>
        </w:rPr>
        <w:t xml:space="preserve">Rare cross-campaign work</w:t>
      </w:r>
      <w:r>
        <w:rPr>
          <w:rFonts w:ascii="Calibri" w:cs="Calibri" w:eastAsia="Calibri" w:hAnsi="Calibri"/>
          <w:color w:val="1A2332"/>
          <w:sz w:val="21"/>
          <w:szCs w:val="21"/>
        </w:rPr>
        <w:t xml:space="preserve"> — when a stream's output serves two campaigns, the output (an asset) is shared via the brand library; the work itself still belongs to one campaign. True multi-parent stream co-ownership is deferred as a rare case, revisited only if real demand proves it common — never letting the rare case reshape the common model.</w:t>
      </w:r>
    </w:p>
    <w:p>
      <w:pPr>
        <w:pStyle w:val="Heading3"/>
        <w:spacing w:after="80" w:before="180"/>
      </w:pPr>
      <w:r>
        <w:rPr>
          <w:rFonts w:ascii="Calibri" w:cs="Calibri" w:eastAsia="Calibri" w:hAnsi="Calibri"/>
          <w:b/>
          <w:bCs/>
          <w:color w:val="1A2332"/>
          <w:sz w:val="22"/>
          <w:szCs w:val="22"/>
        </w:rPr>
        <w:t xml:space="preserve">Ad-hoc jobs — discrete work outside the campaign structure</w:t>
      </w:r>
    </w:p>
    <w:p>
      <w:pPr>
        <w:spacing w:after="120" w:line="276"/>
      </w:pPr>
      <w:r>
        <w:rPr>
          <w:rFonts w:ascii="Calibri" w:cs="Calibri" w:eastAsia="Calibri" w:hAnsi="Calibri"/>
          <w:color w:val="1A2332"/>
          <w:sz w:val="21"/>
          <w:szCs w:val="21"/>
        </w:rPr>
        <w:t xml:space="preserve">Not all work is briefed through a campaign or a discipline brief. A great deal of real agency work is </w:t>
      </w:r>
      <w:r>
        <w:rPr>
          <w:rFonts w:ascii="Calibri" w:cs="Calibri" w:eastAsia="Calibri" w:hAnsi="Calibri"/>
          <w:b/>
          <w:bCs/>
          <w:color w:val="1A2332"/>
          <w:sz w:val="21"/>
          <w:szCs w:val="21"/>
        </w:rPr>
        <w:t xml:space="preserve">discrete</w:t>
      </w:r>
      <w:r>
        <w:rPr>
          <w:rFonts w:ascii="Calibri" w:cs="Calibri" w:eastAsia="Calibri" w:hAnsi="Calibri"/>
          <w:color w:val="1A2332"/>
          <w:sz w:val="21"/>
          <w:szCs w:val="21"/>
        </w:rPr>
        <w:t xml:space="preserve">: a minor edit to something already shipped, a single piece of artwork, preparing a brief, a small job that does not warrant a full template. An ad-hoc job is a first-class job type for exactly this work.</w:t>
      </w:r>
    </w:p>
    <w:p>
      <w:pPr>
        <w:spacing w:after="120" w:line="276"/>
      </w:pPr>
      <w:r>
        <w:rPr>
          <w:rFonts w:ascii="Calibri" w:cs="Calibri" w:eastAsia="Calibri" w:hAnsi="Calibri"/>
          <w:b/>
          <w:bCs/>
          <w:color w:val="1A2332"/>
          <w:sz w:val="21"/>
          <w:szCs w:val="21"/>
        </w:rPr>
        <w:t xml:space="preserve">Ad-hoc is a job type, not a fourth phase. </w:t>
      </w:r>
      <w:r>
        <w:rPr>
          <w:rFonts w:ascii="Calibri" w:cs="Calibri" w:eastAsia="Calibri" w:hAnsi="Calibri"/>
          <w:color w:val="1A2332"/>
          <w:sz w:val="21"/>
          <w:szCs w:val="21"/>
        </w:rPr>
        <w:t xml:space="preserve">The three phases describe how briefed work moves (Concept → Execution → Feedback); ad-hoc describes work that does not need that ceremony. It can contain any phase — preparing a brief produces a Concept, so it cannot sit inside one — which is why it sits alongside the lifecycle rather than within it.</w:t>
      </w:r>
    </w:p>
    <w:p>
      <w:pPr>
        <w:spacing w:after="120" w:line="276"/>
      </w:pPr>
      <w:r>
        <w:rPr>
          <w:rFonts w:ascii="Calibri" w:cs="Calibri" w:eastAsia="Calibri" w:hAnsi="Calibri"/>
          <w:color w:val="1A2332"/>
          <w:sz w:val="21"/>
          <w:szCs w:val="21"/>
        </w:rPr>
        <w:t xml:space="preserve">The structural rule is that ad-hoc hangs off the client and carries optional links rather than a structural parent:</w:t>
      </w:r>
    </w:p>
    <w:p>
      <w:pPr>
        <w:pStyle w:val="ListParagraph"/>
        <w:numPr>
          <w:ilvl w:val="0"/>
          <w:numId w:val="2"/>
        </w:numPr>
        <w:spacing w:after="70" w:line="268"/>
      </w:pPr>
      <w:r>
        <w:rPr>
          <w:rFonts w:ascii="Calibri" w:cs="Calibri" w:eastAsia="Calibri" w:hAnsi="Calibri"/>
          <w:b/>
          <w:bCs/>
          <w:color w:val="1A2332"/>
          <w:sz w:val="21"/>
          <w:szCs w:val="21"/>
        </w:rPr>
        <w:t xml:space="preserve">Optional campaign link</w:t>
      </w:r>
      <w:r>
        <w:rPr>
          <w:rFonts w:ascii="Calibri" w:cs="Calibri" w:eastAsia="Calibri" w:hAnsi="Calibri"/>
          <w:color w:val="1A2332"/>
          <w:sz w:val="21"/>
          <w:szCs w:val="21"/>
        </w:rPr>
        <w:t xml:space="preserve"> — set when the job relates to a campaign, so cost and utilization roll up to it; null when the work is genuinely standalone.</w:t>
      </w:r>
    </w:p>
    <w:p>
      <w:pPr>
        <w:pStyle w:val="ListParagraph"/>
        <w:numPr>
          <w:ilvl w:val="0"/>
          <w:numId w:val="2"/>
        </w:numPr>
        <w:spacing w:after="70" w:line="268"/>
      </w:pPr>
      <w:r>
        <w:rPr>
          <w:rFonts w:ascii="Calibri" w:cs="Calibri" w:eastAsia="Calibri" w:hAnsi="Calibri"/>
          <w:b/>
          <w:bCs/>
          <w:color w:val="1A2332"/>
          <w:sz w:val="21"/>
          <w:szCs w:val="21"/>
        </w:rPr>
        <w:t xml:space="preserve">Optional source-deliverable link</w:t>
      </w:r>
      <w:r>
        <w:rPr>
          <w:rFonts w:ascii="Calibri" w:cs="Calibri" w:eastAsia="Calibri" w:hAnsi="Calibri"/>
          <w:color w:val="1A2332"/>
          <w:sz w:val="21"/>
          <w:szCs w:val="21"/>
        </w:rPr>
        <w:t xml:space="preserve"> — set when the job acts on existing work (a revision, a later phase). The output becomes a new version in that deliverable’s lineage, while the job that asked for it keeps its own owner, clock and finance line. Version lineage and job lineage are different axes and are not conflated.</w:t>
      </w:r>
    </w:p>
    <w:p>
      <w:pPr>
        <w:pStyle w:val="ListParagraph"/>
        <w:numPr>
          <w:ilvl w:val="0"/>
          <w:numId w:val="2"/>
        </w:numPr>
        <w:spacing w:after="70" w:line="268"/>
      </w:pPr>
      <w:r>
        <w:rPr>
          <w:rFonts w:ascii="Calibri" w:cs="Calibri" w:eastAsia="Calibri" w:hAnsi="Calibri"/>
          <w:b/>
          <w:bCs/>
          <w:color w:val="1A2332"/>
          <w:sz w:val="21"/>
          <w:szCs w:val="21"/>
        </w:rPr>
        <w:t xml:space="preserve">Both null</w:t>
      </w:r>
      <w:r>
        <w:rPr>
          <w:rFonts w:ascii="Calibri" w:cs="Calibri" w:eastAsia="Calibri" w:hAnsi="Calibri"/>
          <w:color w:val="1A2332"/>
          <w:sz w:val="21"/>
          <w:szCs w:val="21"/>
        </w:rPr>
        <w:t xml:space="preserve"> — a discrete piece of work with no campaign and no antecedent. This is a normal case, not an error state.</w:t>
      </w:r>
    </w:p>
    <w:p>
      <w:pPr>
        <w:spacing w:after="120" w:line="276"/>
      </w:pPr>
      <w:r>
        <w:rPr>
          <w:rFonts w:ascii="Calibri" w:cs="Calibri" w:eastAsia="Calibri" w:hAnsi="Calibri"/>
          <w:color w:val="1A2332"/>
          <w:sz w:val="21"/>
          <w:szCs w:val="21"/>
        </w:rPr>
        <w:t xml:space="preserve">An ad-hoc job is a full accountability citizen: it carries a work type, an owner, an SLA clock, deliverables, and a line in the finance export, exactly as briefed work does. This is the point. Small discrete jobs are precisely where accountability leaks today — no brief, no clock, someone simply does it — so putting them outside the SLA engine would leave a hole in the thing the platform exists to close. The ceremony is lighter; the accountability is not.</w:t>
      </w:r>
    </w:p>
    <w:tbl>
      <w:tblPr>
        <w:tblW w:type="dxa" w:w="9360"/>
        <w:tblBorders>
          <w:top w:val="single" w:color="FBF0E6" w:sz="2"/>
          <w:left w:val="single" w:color="8A5A2B" w:sz="24"/>
          <w:bottom w:val="single" w:color="FBF0E6" w:sz="2"/>
          <w:right w:val="single" w:color="FBF0E6" w:sz="2"/>
          <w:insideH w:val="none"/>
          <w:insideV w:val="none"/>
        </w:tblBorders>
      </w:tblPr>
      <w:tblGrid>
        <w:gridCol w:w="9360"/>
      </w:tblGrid>
      <w:tr>
        <w:tc>
          <w:tcPr>
            <w:tcW w:type="dxa" w:w="9360"/>
            <w:shd w:fill="FBF0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Design note — ad-hoc and the rare-case rule</w:t>
            </w:r>
          </w:p>
          <w:p>
            <w:pPr>
              <w:spacing w:after="120" w:line="276"/>
            </w:pPr>
            <w:r>
              <w:rPr>
                <w:rFonts w:ascii="Calibri" w:cs="Calibri" w:eastAsia="Calibri" w:hAnsi="Calibri"/>
                <w:color w:val="1A2332"/>
                <w:sz w:val="20"/>
                <w:szCs w:val="20"/>
              </w:rPr>
              <w:t xml:space="preserve">Ad-hoc is not an exception carved out of the campaign model; it is a third shape alongside the 360 campaign (many streams) and the standalone single-discipline brief. All three hang off the client, all three carry work types and SLA clocks, and all three roll up. What varies is the ceremony required to start one and whether the optional links are set. The common model is not reshaped by it.</w:t>
            </w:r>
          </w:p>
        </w:tc>
      </w:tr>
    </w:tbl>
    <w:p>
      <w:pPr>
        <w:pStyle w:val="Heading2"/>
        <w:spacing w:after="100" w:before="240"/>
      </w:pPr>
      <w:r>
        <w:rPr>
          <w:rFonts w:ascii="Calibri" w:cs="Calibri" w:eastAsia="Calibri" w:hAnsi="Calibri"/>
          <w:b/>
          <w:bCs/>
          <w:color w:val="2C5F7C"/>
          <w:sz w:val="25"/>
          <w:szCs w:val="25"/>
        </w:rPr>
        <w:t xml:space="preserve">8.2 Media review &amp; annotation</w:t>
      </w:r>
    </w:p>
    <w:p>
      <w:pPr>
        <w:spacing w:after="120" w:line="276"/>
      </w:pPr>
      <w:r>
        <w:rPr>
          <w:rFonts w:ascii="Calibri" w:cs="Calibri" w:eastAsia="Calibri" w:hAnsi="Calibri"/>
          <w:color w:val="1A2332"/>
          <w:sz w:val="21"/>
          <w:szCs w:val="21"/>
        </w:rPr>
        <w:t xml:space="preserve">Creative deliverables — static images and video — need in-platform review and feedback. The strategic reason to build rather than buy: the review data (comments, revision rounds, client-vs-internal attribution) must live inside the accountability model, which no external tool does because none has the SLA/attribution spine. Review is scoped in tiers:</w:t>
      </w:r>
    </w:p>
    <w:p>
      <w:pPr>
        <w:pStyle w:val="ListParagraph"/>
        <w:numPr>
          <w:ilvl w:val="0"/>
          <w:numId w:val="2"/>
        </w:numPr>
        <w:spacing w:after="70" w:line="268"/>
      </w:pPr>
      <w:r>
        <w:rPr>
          <w:rFonts w:ascii="Calibri" w:cs="Calibri" w:eastAsia="Calibri" w:hAnsi="Calibri"/>
          <w:b/>
          <w:bCs/>
          <w:color w:val="1A2332"/>
          <w:sz w:val="21"/>
          <w:szCs w:val="21"/>
        </w:rPr>
        <w:t xml:space="preserve">Tier 1 — attach &amp; comment</w:t>
      </w:r>
      <w:r>
        <w:rPr>
          <w:rFonts w:ascii="Calibri" w:cs="Calibri" w:eastAsia="Calibri" w:hAnsi="Calibri"/>
          <w:color w:val="1A2332"/>
          <w:sz w:val="21"/>
          <w:szCs w:val="21"/>
        </w:rPr>
        <w:t xml:space="preserve"> (easy): display media on a deliverable, comment underneath. Reuses the contextual-chat layer; effectively free once chat exists.</w:t>
      </w:r>
    </w:p>
    <w:p>
      <w:pPr>
        <w:pStyle w:val="ListParagraph"/>
        <w:numPr>
          <w:ilvl w:val="0"/>
          <w:numId w:val="2"/>
        </w:numPr>
        <w:spacing w:after="70" w:line="268"/>
      </w:pPr>
      <w:r>
        <w:rPr>
          <w:rFonts w:ascii="Calibri" w:cs="Calibri" w:eastAsia="Calibri" w:hAnsi="Calibri"/>
          <w:b/>
          <w:bCs/>
          <w:color w:val="1A2332"/>
          <w:sz w:val="21"/>
          <w:szCs w:val="21"/>
        </w:rPr>
        <w:t xml:space="preserve">Tier 2 — positional feedback</w:t>
      </w:r>
      <w:r>
        <w:rPr>
          <w:rFonts w:ascii="Calibri" w:cs="Calibri" w:eastAsia="Calibri" w:hAnsi="Calibri"/>
          <w:color w:val="1A2332"/>
          <w:sz w:val="21"/>
          <w:szCs w:val="21"/>
        </w:rPr>
        <w:t xml:space="preserve"> (the target): pinned x/y comments on images, timecoded comments on video (“at 0:14 the logo is wrong” — click to seek). This is what the Feedback brief implies and covers the vast majority of real need. It is a few extra fields on the feedback record (timecode, coordinates, resolved-state), not a new subsystem.</w:t>
      </w:r>
    </w:p>
    <w:p>
      <w:pPr>
        <w:pStyle w:val="ListParagraph"/>
        <w:numPr>
          <w:ilvl w:val="0"/>
          <w:numId w:val="2"/>
        </w:numPr>
        <w:spacing w:after="70" w:line="268"/>
      </w:pPr>
      <w:r>
        <w:rPr>
          <w:rFonts w:ascii="Calibri" w:cs="Calibri" w:eastAsia="Calibri" w:hAnsi="Calibri"/>
          <w:b/>
          <w:bCs/>
          <w:color w:val="1A2332"/>
          <w:sz w:val="21"/>
          <w:szCs w:val="21"/>
        </w:rPr>
        <w:t xml:space="preserve">Tier 3 — frame accuracy, drawing, pro formats</w:t>
      </w:r>
      <w:r>
        <w:rPr>
          <w:rFonts w:ascii="Calibri" w:cs="Calibri" w:eastAsia="Calibri" w:hAnsi="Calibri"/>
          <w:color w:val="1A2332"/>
          <w:sz w:val="21"/>
          <w:szCs w:val="21"/>
        </w:rPr>
        <w:t xml:space="preserve"> (deferred): true frame-precise stepping, freehand annotation, and professional-codec handling. Each is a discrete, harder chunk added only where genuinely needed.</w:t>
      </w:r>
    </w:p>
    <w:p>
      <w:pPr>
        <w:spacing w:after="60" w:line="264"/>
      </w:pPr>
      <w:r>
        <w:rPr>
          <w:rFonts w:ascii="Calibri" w:cs="Calibri" w:eastAsia="Calibri" w:hAnsi="Calibri"/>
          <w:b/>
          <w:bCs/>
          <w:color w:val="2C5F7C"/>
          <w:sz w:val="20"/>
          <w:szCs w:val="20"/>
        </w:rPr>
        <w:t xml:space="preserve">Engine: </w:t>
      </w:r>
      <w:r>
        <w:rPr>
          <w:rFonts w:ascii="Calibri" w:cs="Calibri" w:eastAsia="Calibri" w:hAnsi="Calibri"/>
          <w:color w:val="1A2332"/>
          <w:sz w:val="20"/>
          <w:szCs w:val="20"/>
        </w:rPr>
        <w:t xml:space="preserve">media records with per-deliverable version chain; feedback records carrying timecode/coordinate, round, source, resolved-state; all tenant-isolated by RLS.</w:t>
      </w:r>
    </w:p>
    <w:p>
      <w:pPr>
        <w:spacing w:after="60" w:line="264"/>
      </w:pPr>
      <w:r>
        <w:rPr>
          <w:rFonts w:ascii="Calibri" w:cs="Calibri" w:eastAsia="Calibri" w:hAnsi="Calibri"/>
          <w:b/>
          <w:bCs/>
          <w:color w:val="8A5A2B"/>
          <w:sz w:val="20"/>
          <w:szCs w:val="20"/>
        </w:rPr>
        <w:t xml:space="preserve">Surface — reviewer: </w:t>
      </w:r>
      <w:r>
        <w:rPr>
          <w:rFonts w:ascii="Calibri" w:cs="Calibri" w:eastAsia="Calibri" w:hAnsi="Calibri"/>
          <w:color w:val="1A2332"/>
          <w:sz w:val="20"/>
          <w:szCs w:val="20"/>
        </w:rPr>
        <w:t xml:space="preserve">watch or view in the browser, click to leave a pinned/timecoded comment. No tooling to learn.</w:t>
      </w:r>
    </w:p>
    <w:p>
      <w:pPr>
        <w:spacing w:after="60" w:line="264"/>
      </w:pPr>
      <w:r>
        <w:rPr>
          <w:rFonts w:ascii="Calibri" w:cs="Calibri" w:eastAsia="Calibri" w:hAnsi="Calibri"/>
          <w:b/>
          <w:bCs/>
          <w:color w:val="8A5A2B"/>
          <w:sz w:val="20"/>
          <w:szCs w:val="20"/>
        </w:rPr>
        <w:t xml:space="preserve">Surface — maker: </w:t>
      </w:r>
      <w:r>
        <w:rPr>
          <w:rFonts w:ascii="Calibri" w:cs="Calibri" w:eastAsia="Calibri" w:hAnsi="Calibri"/>
          <w:color w:val="1A2332"/>
          <w:sz w:val="20"/>
          <w:szCs w:val="20"/>
        </w:rPr>
        <w:t xml:space="preserve">click a comment to jump to the exact frame or spot; see rounds and status inline.</w:t>
      </w:r>
    </w:p>
    <w:tbl>
      <w:tblPr>
        <w:tblW w:type="dxa" w:w="9360"/>
        <w:tblBorders>
          <w:top w:val="single" w:color="FBEEE6" w:sz="2"/>
          <w:left w:val="single" w:color="8A5A2B" w:sz="24"/>
          <w:bottom w:val="single" w:color="FBEEE6" w:sz="2"/>
          <w:right w:val="single" w:color="FBEEE6" w:sz="2"/>
          <w:insideH w:val="none"/>
          <w:insideV w:val="none"/>
        </w:tblBorders>
      </w:tblPr>
      <w:tblGrid>
        <w:gridCol w:w="9360"/>
      </w:tblGrid>
      <w:tr>
        <w:tc>
          <w:tcPr>
            <w:tcW w:type="dxa" w:w="9360"/>
            <w:shd w:fill="FBEE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Escape hatch — Frame.io for frame-accurate video</w:t>
            </w:r>
          </w:p>
          <w:p>
            <w:pPr>
              <w:spacing w:after="120" w:line="276"/>
            </w:pPr>
            <w:r>
              <w:rPr>
                <w:rFonts w:ascii="Calibri" w:cs="Calibri" w:eastAsia="Calibri" w:hAnsi="Calibri"/>
                <w:color w:val="1A2332"/>
                <w:sz w:val="20"/>
                <w:szCs w:val="20"/>
              </w:rPr>
              <w:t xml:space="preserve">Frame.io is the professional standard for frame-accurate video review, with deep Adobe/Premiere integration this platform will not attempt to match. Direction: build Tier 2 image and lightweight video review in-house (review data stays in the accountability model), and treat Frame.io as a link-out for deliverables that genuinely need frame-precise review. Design the media record so a deliverable can either be reviewed in-app or carry a link to an external review tool — never forcing a rebuild of Adobe-grade tooling. Frame.io reviewers/clients are free; internal seats are paid, and true API integration may require its Enterprise tier — so loose coupling (link-out) is the low-cost default, deep API integration only if pulling review status into the accountability dashboard later proves worth it.</w:t>
            </w:r>
          </w:p>
        </w:tc>
      </w:tr>
    </w:tbl>
    <w:p>
      <w:pPr>
        <w:pStyle w:val="Heading2"/>
        <w:spacing w:after="100" w:before="240"/>
      </w:pPr>
      <w:r>
        <w:rPr>
          <w:rFonts w:ascii="Calibri" w:cs="Calibri" w:eastAsia="Calibri" w:hAnsi="Calibri"/>
          <w:b/>
          <w:bCs/>
          <w:color w:val="2C5F7C"/>
          <w:sz w:val="25"/>
          <w:szCs w:val="25"/>
        </w:rPr>
        <w:t xml:space="preserve">8.3 Storage &amp; the media lifecycle</w:t>
      </w:r>
    </w:p>
    <w:p>
      <w:pPr>
        <w:spacing w:after="120" w:line="276"/>
      </w:pPr>
      <w:r>
        <w:rPr>
          <w:rFonts w:ascii="Calibri" w:cs="Calibri" w:eastAsia="Calibri" w:hAnsi="Calibri"/>
          <w:color w:val="1A2332"/>
          <w:sz w:val="21"/>
          <w:szCs w:val="21"/>
        </w:rPr>
        <w:t xml:space="preserve">Storage is where costs concentrate, especially for video, along two axes: volume (masters are gigabytes) and egress (review means the same file streamed repeatedly). The resolving insight is that history splits into two very different things:</w:t>
      </w:r>
    </w:p>
    <w:p>
      <w:pPr>
        <w:pStyle w:val="ListParagraph"/>
        <w:numPr>
          <w:ilvl w:val="0"/>
          <w:numId w:val="2"/>
        </w:numPr>
        <w:spacing w:after="70" w:line="268"/>
      </w:pPr>
      <w:r>
        <w:rPr>
          <w:rFonts w:ascii="Calibri" w:cs="Calibri" w:eastAsia="Calibri" w:hAnsi="Calibri"/>
          <w:b/>
          <w:bCs/>
          <w:color w:val="1A2332"/>
          <w:sz w:val="21"/>
          <w:szCs w:val="21"/>
        </w:rPr>
        <w:t xml:space="preserve">Metadata history is cheap and permanent</w:t>
      </w:r>
      <w:r>
        <w:rPr>
          <w:rFonts w:ascii="Calibri" w:cs="Calibri" w:eastAsia="Calibri" w:hAnsi="Calibri"/>
          <w:color w:val="1A2332"/>
          <w:sz w:val="21"/>
          <w:szCs w:val="21"/>
        </w:rPr>
        <w:t xml:space="preserve"> — the record of what happened (versions, comments, attribution, rounds, deadlines, approvals) is text in Postgres. Kept forever at negligible cost. This is the accountability history, and none of it is at risk.</w:t>
      </w:r>
    </w:p>
    <w:p>
      <w:pPr>
        <w:pStyle w:val="ListParagraph"/>
        <w:numPr>
          <w:ilvl w:val="0"/>
          <w:numId w:val="2"/>
        </w:numPr>
        <w:spacing w:after="70" w:line="268"/>
      </w:pPr>
      <w:r>
        <w:rPr>
          <w:rFonts w:ascii="Calibri" w:cs="Calibri" w:eastAsia="Calibri" w:hAnsi="Calibri"/>
          <w:b/>
          <w:bCs/>
          <w:color w:val="1A2332"/>
          <w:sz w:val="21"/>
          <w:szCs w:val="21"/>
        </w:rPr>
        <w:t xml:space="preserve">Media history is expensive — so it is tiered</w:t>
      </w:r>
      <w:r>
        <w:rPr>
          <w:rFonts w:ascii="Calibri" w:cs="Calibri" w:eastAsia="Calibri" w:hAnsi="Calibri"/>
          <w:color w:val="1A2332"/>
          <w:sz w:val="21"/>
          <w:szCs w:val="21"/>
        </w:rPr>
        <w:t xml:space="preserve"> — heavy files are not kept hot forever. Active (in-review) media sits in hot storage; approved masters move to cheap cold storage; superseded intermediate versions keep a lightweight proxy (the web-playable preview) while the full master is archived or dropped after a retention window. You keep visual history at a fraction of the cost.</w:t>
      </w:r>
    </w:p>
    <w:p>
      <w:pPr>
        <w:spacing w:after="120" w:line="276"/>
      </w:pPr>
      <w:r>
        <w:rPr>
          <w:rFonts w:ascii="Calibri" w:cs="Calibri" w:eastAsia="Calibri" w:hAnsi="Calibri"/>
          <w:color w:val="1A2332"/>
          <w:sz w:val="21"/>
          <w:szCs w:val="21"/>
        </w:rPr>
        <w:t xml:space="preserve">Provider direction: keep Supabase/Postgres as the system of record, but </w:t>
      </w:r>
      <w:r>
        <w:rPr>
          <w:rFonts w:ascii="Calibri" w:cs="Calibri" w:eastAsia="Calibri" w:hAnsi="Calibri"/>
          <w:b/>
          <w:bCs/>
          <w:color w:val="1A2332"/>
          <w:sz w:val="21"/>
          <w:szCs w:val="21"/>
        </w:rPr>
        <w:t xml:space="preserve">decouple media storage behind a swappable media record</w:t>
      </w:r>
      <w:r>
        <w:rPr>
          <w:rFonts w:ascii="Calibri" w:cs="Calibri" w:eastAsia="Calibri" w:hAnsi="Calibri"/>
          <w:color w:val="1A2332"/>
          <w:sz w:val="21"/>
          <w:szCs w:val="21"/>
        </w:rPr>
        <w:t xml:space="preserve"> (provider + key + URL + storage-tier + retention-state). Heavy media goes to egress-cheap object storage — Backblaze B2 or Cloudflare R2, ideally fronted by a CDN so egress cost effectively disappears — rather than Supabase Storage, whose egress pricing bites hardest exactly on repeated review streaming. A nightly job transitions media between tiers by deliverable status and age, mirroring the exception-detection job. YouTube is suitable only for referencing already-public final videos, never for confidential in-progress review (no timecoded feedback, weak privacy, no versioning).</w:t>
      </w:r>
    </w:p>
    <w:tbl>
      <w:tblPr>
        <w:tblW w:type="dxa" w:w="9360"/>
        <w:tblBorders>
          <w:top w:val="single" w:color="FBEEE6" w:sz="2"/>
          <w:left w:val="single" w:color="8A5A2B" w:sz="24"/>
          <w:bottom w:val="single" w:color="FBEEE6" w:sz="2"/>
          <w:right w:val="single" w:color="FBEEE6" w:sz="2"/>
          <w:insideH w:val="none"/>
          <w:insideV w:val="none"/>
        </w:tblBorders>
      </w:tblPr>
      <w:tblGrid>
        <w:gridCol w:w="9360"/>
      </w:tblGrid>
      <w:tr>
        <w:tc>
          <w:tcPr>
            <w:tcW w:type="dxa" w:w="9360"/>
            <w:shd w:fill="FBEE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Open decisions — media retention &amp; formats</w:t>
            </w:r>
          </w:p>
          <w:p>
            <w:pPr>
              <w:spacing w:after="120" w:line="276"/>
            </w:pPr>
            <w:r>
              <w:rPr>
                <w:rFonts w:ascii="Calibri" w:cs="Calibri" w:eastAsia="Calibri" w:hAnsi="Calibri"/>
                <w:color w:val="1A2332"/>
                <w:sz w:val="20"/>
                <w:szCs w:val="20"/>
              </w:rPr>
              <w:t xml:space="preserve">Two agency inputs set the policy. (1) Master retention: how long client contracts and legal obligations require the actual delivered master to be reproducible — this sets the cold-storage window; past it, proxy-only. (2) Intermediate versions: whether full masters of rejected intermediate cuts must be kept, or only approved finals as masters with intermediates as proxies — the single biggest storage variable. (3) Upload formats: whether editors upload web-ready MP4 (small bespoke layer, maybe no transcoding) or raw masters like ProRes (needs a transcoding step, or lean on Frame.io for video) — this decides whether the build is “small bespoke” or “small bespoke plus a transcoding pipeline.”</w:t>
            </w:r>
          </w:p>
        </w:tc>
      </w:tr>
    </w:tbl>
    <w:p>
      <w:pPr>
        <w:pStyle w:val="Heading2"/>
        <w:spacing w:after="100" w:before="240"/>
      </w:pPr>
      <w:r>
        <w:rPr>
          <w:rFonts w:ascii="Calibri" w:cs="Calibri" w:eastAsia="Calibri" w:hAnsi="Calibri"/>
          <w:b/>
          <w:bCs/>
          <w:color w:val="2C5F7C"/>
          <w:sz w:val="25"/>
          <w:szCs w:val="25"/>
        </w:rPr>
        <w:t xml:space="preserve">8.4 Collaborative deck editing — Collabora Online</w:t>
      </w:r>
    </w:p>
    <w:tbl>
      <w:tblPr>
        <w:tblW w:type="dxa" w:w="9360"/>
        <w:tblBorders>
          <w:top w:val="single" w:color="EEF2F5" w:sz="2"/>
          <w:left w:val="single" w:color="2C5F7C" w:sz="24"/>
          <w:bottom w:val="single" w:color="EEF2F5" w:sz="2"/>
          <w:right w:val="single" w:color="EEF2F5" w:sz="2"/>
          <w:insideH w:val="none"/>
          <w:insideV w:val="none"/>
        </w:tblBorders>
      </w:tblPr>
      <w:tblGrid>
        <w:gridCol w:w="9360"/>
      </w:tblGrid>
      <w:tr>
        <w:tc>
          <w:tcPr>
            <w:tcW w:type="dxa" w:w="9360"/>
            <w:shd w:fill="EEF2F5" w:val="clear"/>
            <w:tcMar>
              <w:top w:type="dxa" w:w="120"/>
              <w:left w:type="dxa" w:w="200"/>
              <w:bottom w:type="dxa" w:w="120"/>
              <w:right w:type="dxa" w:w="200"/>
            </w:tcMar>
          </w:tcPr>
          <w:p>
            <w:pPr>
              <w:spacing w:after="60"/>
            </w:pPr>
            <w:r>
              <w:rPr>
                <w:rFonts w:ascii="Calibri" w:cs="Calibri" w:eastAsia="Calibri" w:hAnsi="Calibri"/>
                <w:b/>
                <w:bCs/>
                <w:caps/>
                <w:color w:val="2C5F7C"/>
                <w:sz w:val="20"/>
                <w:szCs w:val="20"/>
              </w:rPr>
              <w:t xml:space="preserve">The problem this closes</w:t>
            </w:r>
          </w:p>
          <w:p>
            <w:pPr>
              <w:spacing w:after="120" w:line="276"/>
            </w:pPr>
            <w:r>
              <w:rPr>
                <w:rFonts w:ascii="Calibri" w:cs="Calibri" w:eastAsia="Calibri" w:hAnsi="Calibri"/>
                <w:b/>
                <w:bCs/>
                <w:color w:val="1A2332"/>
                <w:sz w:val="21"/>
                <w:szCs w:val="21"/>
              </w:rPr>
              <w:t xml:space="preserve">The deck is currently the workflow engine. It holds the brief, collects multi-person input, carries feedback, and ships to the client — while being terrible at all three of the jobs that are not "be a deck".</w:t>
            </w:r>
          </w:p>
        </w:tc>
      </w:tr>
    </w:tbl>
    <w:p>
      <w:pPr>
        <w:spacing w:after="120" w:line="276"/>
      </w:pPr>
      <w:r>
        <w:rPr>
          <w:rFonts w:ascii="Calibri" w:cs="Calibri" w:eastAsia="Calibri" w:hAnsi="Calibri"/>
          <w:color w:val="1A2332"/>
          <w:sz w:val="21"/>
          <w:szCs w:val="21"/>
        </w:rPr>
        <w:t xml:space="preserve">Today an art director builds a bespoke deck template per job in PowerPoint, the team contributes to it simultaneously on separate slides, and the completed deck goes to the client. That loop works and is not the problem. The problem is everything around it: no version control, no attribution, no record of whether feedback was addressed, no visibility of what was approved or what the client actually received. The deck doubles as the version-control system, the comment thread, and the delivery mechanism.</w:t>
      </w:r>
    </w:p>
    <w:p>
      <w:pPr>
        <w:spacing w:after="120" w:line="276"/>
      </w:pPr>
      <w:r>
        <w:rPr>
          <w:rFonts w:ascii="Calibri" w:cs="Calibri" w:eastAsia="Calibri" w:hAnsi="Calibri"/>
          <w:b/>
          <w:bCs/>
          <w:color w:val="1A2332"/>
          <w:sz w:val="21"/>
          <w:szCs w:val="21"/>
        </w:rPr>
        <w:t xml:space="preserve">The options were weighed and most were rejected. </w:t>
      </w:r>
      <w:r>
        <w:rPr>
          <w:rFonts w:ascii="Calibri" w:cs="Calibri" w:eastAsia="Calibri" w:hAnsi="Calibri"/>
          <w:color w:val="1A2332"/>
          <w:sz w:val="21"/>
          <w:szCs w:val="21"/>
        </w:rPr>
        <w:t xml:space="preserve">Generated decks (pptxgenjs) cannot produce client-ready bespoke art direction. A templated in-platform slide editor fails because the AD builds novel layouts per job and needs real creative freedom — that is a design tool, not a form. Upload-a-version plus manual assembly adds a step and removes the parallelism the team currently relies on. Linking out to a file leaves version control manual and puts the artifact outside the audit trail — the same sticky-tape-between-tools pattern this platform exists to remove. Penpot is a genuine design tool with a real API and webhooks, but has no supported embed path (only an undocumented development-only CORS flag), so it can only sit alongside as a second system.</w:t>
      </w:r>
    </w:p>
    <w:p>
      <w:pPr>
        <w:pStyle w:val="Heading3"/>
        <w:spacing w:after="80" w:before="180"/>
      </w:pPr>
      <w:r>
        <w:rPr>
          <w:rFonts w:ascii="Calibri" w:cs="Calibri" w:eastAsia="Calibri" w:hAnsi="Calibri"/>
          <w:b/>
          <w:bCs/>
          <w:color w:val="1A2332"/>
          <w:sz w:val="22"/>
          <w:szCs w:val="22"/>
        </w:rPr>
        <w:t xml:space="preserve">The approach — the deck lives in the platform</w:t>
      </w:r>
    </w:p>
    <w:p>
      <w:pPr>
        <w:spacing w:after="120" w:line="276"/>
      </w:pPr>
      <w:r>
        <w:rPr>
          <w:rFonts w:ascii="Calibri" w:cs="Calibri" w:eastAsia="Calibri" w:hAnsi="Calibri"/>
          <w:color w:val="1A2332"/>
          <w:sz w:val="21"/>
          <w:szCs w:val="21"/>
        </w:rPr>
        <w:t xml:space="preserve">Collabora Online is an open-source (MPL 2.0) document editor designed to be integrated into a host application. It runs as a container, edits documents from the host’s own storage over the WOPI protocol, and renders into an iframe. Crucially it shares rendered tiles — pixels — rather than the document itself, and stores no data of its own. This means the deck can be edited, by several people at once, inside the platform, behind the platform’s auth, on the platform’s storage, under the platform’s version control.</w:t>
      </w:r>
    </w:p>
    <w:p>
      <w:pPr>
        <w:spacing w:after="120" w:line="276"/>
      </w:pPr>
      <w:r>
        <w:rPr>
          <w:rFonts w:ascii="Calibri" w:cs="Calibri" w:eastAsia="Calibri" w:hAnsi="Calibri"/>
          <w:b/>
          <w:bCs/>
          <w:color w:val="1A2332"/>
          <w:sz w:val="21"/>
          <w:szCs w:val="21"/>
        </w:rPr>
        <w:t xml:space="preserve">Validated by test: </w:t>
      </w:r>
      <w:r>
        <w:rPr>
          <w:rFonts w:ascii="Calibri" w:cs="Calibri" w:eastAsia="Calibri" w:hAnsi="Calibri"/>
          <w:color w:val="1A2332"/>
          <w:sz w:val="21"/>
          <w:szCs w:val="21"/>
        </w:rPr>
        <w:t xml:space="preserve">a real bespoke Meridian deck was opened in Collabora against a WOPI host. Layout, dark background art, layered motifs, image stacks and footers rendered correctly; brand fonts resolved from the deck without substitution; editing worked; and the deck round-tripped — saved from Collabora and reopened in PowerPoint without degradation. Fidelity was the make-or-break risk and it passed.</w:t>
      </w:r>
    </w:p>
    <w:p>
      <w:pPr>
        <w:pStyle w:val="Heading3"/>
        <w:spacing w:after="80" w:before="180"/>
      </w:pPr>
      <w:r>
        <w:rPr>
          <w:rFonts w:ascii="Calibri" w:cs="Calibri" w:eastAsia="Calibri" w:hAnsi="Calibri"/>
          <w:b/>
          <w:bCs/>
          <w:color w:val="1A2332"/>
          <w:sz w:val="22"/>
          <w:szCs w:val="22"/>
        </w:rPr>
        <w:t xml:space="preserve">How it maps onto the architecture</w:t>
      </w:r>
    </w:p>
    <w:p>
      <w:pPr>
        <w:pStyle w:val="ListParagraph"/>
        <w:numPr>
          <w:ilvl w:val="0"/>
          <w:numId w:val="2"/>
        </w:numPr>
        <w:spacing w:after="70" w:line="268"/>
      </w:pPr>
      <w:r>
        <w:rPr>
          <w:rFonts w:ascii="Calibri" w:cs="Calibri" w:eastAsia="Calibri" w:hAnsi="Calibri"/>
          <w:b/>
          <w:bCs/>
          <w:color w:val="1A2332"/>
          <w:sz w:val="21"/>
          <w:szCs w:val="21"/>
        </w:rPr>
        <w:t xml:space="preserve">WOPI host = Vercel API routes</w:t>
      </w:r>
      <w:r>
        <w:rPr>
          <w:rFonts w:ascii="Calibri" w:cs="Calibri" w:eastAsia="Calibri" w:hAnsi="Calibri"/>
          <w:color w:val="1A2332"/>
          <w:sz w:val="21"/>
          <w:szCs w:val="21"/>
        </w:rPr>
        <w:t xml:space="preserve"> — Collabora fetches and returns the file through a small set of endpoints. This is the privileged-route pattern already in §3.1; the token is a Supabase JWT, and the storage denies a wrong token, which is exactly what the protocol requires.</w:t>
      </w:r>
    </w:p>
    <w:p>
      <w:pPr>
        <w:pStyle w:val="ListParagraph"/>
        <w:numPr>
          <w:ilvl w:val="0"/>
          <w:numId w:val="2"/>
        </w:numPr>
        <w:spacing w:after="70" w:line="268"/>
      </w:pPr>
      <w:r>
        <w:rPr>
          <w:rFonts w:ascii="Calibri" w:cs="Calibri" w:eastAsia="Calibri" w:hAnsi="Calibri"/>
          <w:b/>
          <w:bCs/>
          <w:color w:val="1A2332"/>
          <w:sz w:val="21"/>
          <w:szCs w:val="21"/>
        </w:rPr>
        <w:t xml:space="preserve">Storage = B2, keyed on the hierarchy</w:t>
      </w:r>
      <w:r>
        <w:rPr>
          <w:rFonts w:ascii="Calibri" w:cs="Calibri" w:eastAsia="Calibri" w:hAnsi="Calibri"/>
          <w:color w:val="1A2332"/>
          <w:sz w:val="21"/>
          <w:szCs w:val="21"/>
        </w:rPr>
        <w:t xml:space="preserve"> — the file is an object under the campaign/stream/deliverable path, not a folder someone invented. Structure comes from the brief, not from filing.</w:t>
      </w:r>
    </w:p>
    <w:p>
      <w:pPr>
        <w:pStyle w:val="ListParagraph"/>
        <w:numPr>
          <w:ilvl w:val="0"/>
          <w:numId w:val="2"/>
        </w:numPr>
        <w:spacing w:after="70" w:line="268"/>
      </w:pPr>
      <w:r>
        <w:rPr>
          <w:rFonts w:ascii="Calibri" w:cs="Calibri" w:eastAsia="Calibri" w:hAnsi="Calibri"/>
          <w:b/>
          <w:bCs/>
          <w:color w:val="1A2332"/>
          <w:sz w:val="21"/>
          <w:szCs w:val="21"/>
        </w:rPr>
        <w:t xml:space="preserve">Version on save</w:t>
      </w:r>
      <w:r>
        <w:rPr>
          <w:rFonts w:ascii="Calibri" w:cs="Calibri" w:eastAsia="Calibri" w:hAnsi="Calibri"/>
          <w:color w:val="1A2332"/>
          <w:sz w:val="21"/>
          <w:szCs w:val="21"/>
        </w:rPr>
        <w:t xml:space="preserve"> — Collabora returns the file on save; the host writes a new object and a new version row (deliverable, version, author, timestamp) rather than overwriting. Version history becomes real data instead of the storage provider’s side-effect.</w:t>
      </w:r>
    </w:p>
    <w:p>
      <w:pPr>
        <w:pStyle w:val="ListParagraph"/>
        <w:numPr>
          <w:ilvl w:val="0"/>
          <w:numId w:val="2"/>
        </w:numPr>
        <w:spacing w:after="70" w:line="268"/>
      </w:pPr>
      <w:r>
        <w:rPr>
          <w:rFonts w:ascii="Calibri" w:cs="Calibri" w:eastAsia="Calibri" w:hAnsi="Calibri"/>
          <w:b/>
          <w:bCs/>
          <w:color w:val="1A2332"/>
          <w:sz w:val="21"/>
          <w:szCs w:val="21"/>
        </w:rPr>
        <w:t xml:space="preserve">Permissions = CheckFileInfo</w:t>
      </w:r>
      <w:r>
        <w:rPr>
          <w:rFonts w:ascii="Calibri" w:cs="Calibri" w:eastAsia="Calibri" w:hAnsi="Calibri"/>
          <w:color w:val="1A2332"/>
          <w:sz w:val="21"/>
          <w:szCs w:val="21"/>
        </w:rPr>
        <w:t xml:space="preserve"> — the endpoint reports per-user, per-deliverable rights, so RLS reaches into the editor: a contributor writes, a client reviewer does not, and named cursors come from the same call.</w:t>
      </w:r>
    </w:p>
    <w:p>
      <w:pPr>
        <w:pStyle w:val="ListParagraph"/>
        <w:numPr>
          <w:ilvl w:val="0"/>
          <w:numId w:val="2"/>
        </w:numPr>
        <w:spacing w:after="70" w:line="268"/>
      </w:pPr>
      <w:r>
        <w:rPr>
          <w:rFonts w:ascii="Calibri" w:cs="Calibri" w:eastAsia="Calibri" w:hAnsi="Calibri"/>
          <w:b/>
          <w:bCs/>
          <w:color w:val="1A2332"/>
          <w:sz w:val="21"/>
          <w:szCs w:val="21"/>
        </w:rPr>
        <w:t xml:space="preserve">The AD keeps PowerPoint</w:t>
      </w:r>
      <w:r>
        <w:rPr>
          <w:rFonts w:ascii="Calibri" w:cs="Calibri" w:eastAsia="Calibri" w:hAnsi="Calibri"/>
          <w:color w:val="1A2332"/>
          <w:sz w:val="21"/>
          <w:szCs w:val="21"/>
        </w:rPr>
        <w:t xml:space="preserve"> — the bespoke template is authored in the AD’s real tool and uploaded as the first version. Nothing about creative freedom changes; the platform takes custody from that point.</w:t>
      </w:r>
    </w:p>
    <w:p>
      <w:pPr>
        <w:spacing w:after="120" w:line="276"/>
      </w:pPr>
      <w:r>
        <w:rPr>
          <w:rFonts w:ascii="Calibri" w:cs="Calibri" w:eastAsia="Calibri" w:hAnsi="Calibri"/>
          <w:color w:val="1A2332"/>
          <w:sz w:val="21"/>
          <w:szCs w:val="21"/>
        </w:rPr>
        <w:t xml:space="preserve">Licensing matters here and is the reason this is viable. Collabora Online is MPL 2.0 with no user limits and no feature restrictions in the community edition; the paid subscription (€3/user/month) buys support, SLA, signed security updates and maintenance — not the software. The 10-document / 20-connection cap frequently cited is a property of the convenience CODE Docker image, not the licence. Self-hosting from source carries no per-user fee, which matters given that per-resource pricing is the reason this platform is being built rather than bought.</w:t>
      </w:r>
    </w:p>
    <w:p>
      <w:pPr>
        <w:pStyle w:val="Heading3"/>
        <w:spacing w:after="80" w:before="180"/>
      </w:pPr>
      <w:r>
        <w:rPr>
          <w:rFonts w:ascii="Calibri" w:cs="Calibri" w:eastAsia="Calibri" w:hAnsi="Calibri"/>
          <w:b/>
          <w:bCs/>
          <w:color w:val="1A2332"/>
          <w:sz w:val="22"/>
          <w:szCs w:val="22"/>
        </w:rPr>
        <w:t xml:space="preserve">Slide-level edit attribution — the upstream patch</w:t>
      </w:r>
    </w:p>
    <w:p>
      <w:pPr>
        <w:spacing w:after="120" w:line="276"/>
      </w:pPr>
      <w:r>
        <w:rPr>
          <w:rFonts w:ascii="Calibri" w:cs="Calibri" w:eastAsia="Calibri" w:hAnsi="Calibri"/>
          <w:color w:val="1A2332"/>
          <w:sz w:val="21"/>
          <w:szCs w:val="21"/>
        </w:rPr>
        <w:t xml:space="preserve">Version-on-save answers who saved and when. It does not answer </w:t>
      </w:r>
      <w:r>
        <w:rPr>
          <w:rFonts w:ascii="Calibri" w:cs="Calibri" w:eastAsia="Calibri" w:hAnsi="Calibri"/>
          <w:b/>
          <w:bCs/>
          <w:color w:val="1A2332"/>
          <w:sz w:val="21"/>
          <w:szCs w:val="21"/>
        </w:rPr>
        <w:t xml:space="preserve">who edited which slide</w:t>
      </w:r>
      <w:r>
        <w:rPr>
          <w:rFonts w:ascii="Calibri" w:cs="Calibri" w:eastAsia="Calibri" w:hAnsi="Calibri"/>
          <w:color w:val="1A2332"/>
          <w:sz w:val="21"/>
          <w:szCs w:val="21"/>
        </w:rPr>
        <w:t xml:space="preserve"> — because the person whose client triggered a save is not necessarily the person who made the change. With several contributors in one session and Collabora auto-saving periodically, a file diff attributes every changed slide to whoever’s save happened to fire. That is not an audit trail; it is a guess with a name on it.</w:t>
      </w:r>
    </w:p>
    <w:p>
      <w:pPr>
        <w:spacing w:after="120" w:line="276"/>
      </w:pPr>
      <w:r>
        <w:rPr>
          <w:rFonts w:ascii="Calibri" w:cs="Calibri" w:eastAsia="Calibri" w:hAnsi="Calibri"/>
          <w:color w:val="1A2332"/>
          <w:sz w:val="21"/>
          <w:szCs w:val="21"/>
        </w:rPr>
        <w:t xml:space="preserve">This matters because the requirement is an audit trail, not a convenience. An audit record that is inferred fails precisely in the case it exists for — a disputed change, where the inference is what gets challenged. Either the record is authoritative or it is not worth holding.</w:t>
      </w:r>
    </w:p>
    <w:p>
      <w:pPr>
        <w:spacing w:after="120" w:line="276"/>
      </w:pPr>
      <w:r>
        <w:rPr>
          <w:rFonts w:ascii="Calibri" w:cs="Calibri" w:eastAsia="Calibri" w:hAnsi="Calibri"/>
          <w:color w:val="1A2332"/>
          <w:sz w:val="21"/>
          <w:szCs w:val="21"/>
        </w:rPr>
        <w:t xml:space="preserve">Three routes were investigated and closed:</w:t>
      </w:r>
    </w:p>
    <w:p>
      <w:pPr>
        <w:pStyle w:val="ListParagraph"/>
        <w:numPr>
          <w:ilvl w:val="0"/>
          <w:numId w:val="2"/>
        </w:numPr>
        <w:spacing w:after="70" w:line="268"/>
      </w:pPr>
      <w:r>
        <w:rPr>
          <w:rFonts w:ascii="Calibri" w:cs="Calibri" w:eastAsia="Calibri" w:hAnsi="Calibri"/>
          <w:b/>
          <w:bCs/>
          <w:color w:val="1A2332"/>
          <w:sz w:val="21"/>
          <w:szCs w:val="21"/>
        </w:rPr>
        <w:t xml:space="preserve">Native track changes — not available.</w:t>
      </w:r>
      <w:r>
        <w:rPr>
          <w:rFonts w:ascii="Calibri" w:cs="Calibri" w:eastAsia="Calibri" w:hAnsi="Calibri"/>
          <w:color w:val="1A2332"/>
          <w:sz w:val="21"/>
          <w:szCs w:val="21"/>
        </w:rPr>
        <w:t xml:space="preserve"> LibreOffice records insertions, deletions and formatting changes with per-user attribution, but only in Writer and Calc. Impress has no track-changes; the upstream request (TDF bug 95978, open since 2016) is reported as not planned. This route works for .docx and .xlsx and does not exist for .pptx.</w:t>
      </w:r>
    </w:p>
    <w:p>
      <w:pPr>
        <w:pStyle w:val="ListParagraph"/>
        <w:numPr>
          <w:ilvl w:val="0"/>
          <w:numId w:val="2"/>
        </w:numPr>
        <w:spacing w:after="70" w:line="268"/>
      </w:pPr>
      <w:r>
        <w:rPr>
          <w:rFonts w:ascii="Calibri" w:cs="Calibri" w:eastAsia="Calibri" w:hAnsi="Calibri"/>
          <w:b/>
          <w:bCs/>
          <w:color w:val="1A2332"/>
          <w:sz w:val="21"/>
          <w:szCs w:val="21"/>
        </w:rPr>
        <w:t xml:space="preserve">PostMessage API — wrong granularity.</w:t>
      </w:r>
      <w:r>
        <w:rPr>
          <w:rFonts w:ascii="Calibri" w:cs="Calibri" w:eastAsia="Calibri" w:hAnsi="Calibri"/>
          <w:color w:val="1A2332"/>
          <w:sz w:val="21"/>
          <w:szCs w:val="21"/>
        </w:rPr>
        <w:t xml:space="preserve"> Collabora’s documented host-to-editor channel exposes document lifecycle and UI actions (Document_Loaded, Document_Modified, Session_Closed, User_Idle, UI_SaveAs and similar). Document_Modified reports that the document changed; it does not report which slide, or by whom. It is a UI integration surface, not an edit-event stream.</w:t>
      </w:r>
    </w:p>
    <w:p>
      <w:pPr>
        <w:pStyle w:val="ListParagraph"/>
        <w:numPr>
          <w:ilvl w:val="0"/>
          <w:numId w:val="2"/>
        </w:numPr>
        <w:spacing w:after="70" w:line="268"/>
      </w:pPr>
      <w:r>
        <w:rPr>
          <w:rFonts w:ascii="Calibri" w:cs="Calibri" w:eastAsia="Calibri" w:hAnsi="Calibri"/>
          <w:b/>
          <w:bCs/>
          <w:color w:val="1A2332"/>
          <w:sz w:val="21"/>
          <w:szCs w:val="21"/>
        </w:rPr>
        <w:t xml:space="preserve">Session correlation — inference, not record.</w:t>
      </w:r>
      <w:r>
        <w:rPr>
          <w:rFonts w:ascii="Calibri" w:cs="Calibri" w:eastAsia="Calibri" w:hAnsi="Calibri"/>
          <w:color w:val="1A2332"/>
          <w:sz w:val="21"/>
          <w:szCs w:val="21"/>
        </w:rPr>
        <w:t xml:space="preserve"> Knowing who is in the session, forcing a save, and diffing slideN.xml attributes changed slides to whoever was active. Exact when editing is serial; a guess when it is simultaneous. Adequate for “who last touched this”, inadequate for audit.</w:t>
      </w:r>
    </w:p>
    <w:p>
      <w:pPr>
        <w:spacing w:after="120" w:line="276"/>
      </w:pPr>
      <w:r>
        <w:rPr>
          <w:rFonts w:ascii="Calibri" w:cs="Calibri" w:eastAsia="Calibri" w:hAnsi="Calibri"/>
          <w:b/>
          <w:bCs/>
          <w:color w:val="1A2332"/>
          <w:sz w:val="21"/>
          <w:szCs w:val="21"/>
        </w:rPr>
        <w:t xml:space="preserve">The route that works is a patch. </w:t>
      </w:r>
      <w:r>
        <w:rPr>
          <w:rFonts w:ascii="Calibri" w:cs="Calibri" w:eastAsia="Calibri" w:hAnsi="Calibri"/>
          <w:color w:val="1A2332"/>
          <w:sz w:val="21"/>
          <w:szCs w:val="21"/>
        </w:rPr>
        <w:t xml:space="preserve">Collabora Online is MPL 2.0, and the data already exists inside the server: per-user edit identity is not an optional extra but a precondition of co-editing — the server must know who made each change in order to broadcast it to everyone else. What is missing is anything emitting that outward. The patch therefore adds emission rather than behaviour: a hook that fires a webhook to the platform on each edit, carrying user, document, slide and timestamp, which lands as an audit row alongside every other event in §5.5.</w:t>
      </w:r>
    </w:p>
    <w:p>
      <w:pPr>
        <w:spacing w:after="120" w:line="276"/>
      </w:pPr>
      <w:r>
        <w:rPr>
          <w:rFonts w:ascii="Calibri" w:cs="Calibri" w:eastAsia="Calibri" w:hAnsi="Calibri"/>
          <w:color w:val="1A2332"/>
          <w:sz w:val="21"/>
          <w:szCs w:val="21"/>
        </w:rPr>
        <w:t xml:space="preserve">A narrower version is likely sufficient and materially smaller: emit which slide changed and who touched it, on a short interval, rather than every keystroke. The requirement is “Ali revised slide 12 this morning”, not an input log. Scope the patch to that.</w:t>
      </w:r>
    </w:p>
    <w:p>
      <w:pPr>
        <w:spacing w:after="120" w:line="276"/>
      </w:pPr>
      <w:r>
        <w:rPr>
          <w:rFonts w:ascii="Calibri" w:cs="Calibri" w:eastAsia="Calibri" w:hAnsi="Calibri"/>
          <w:b/>
          <w:bCs/>
          <w:color w:val="1A2332"/>
          <w:sz w:val="21"/>
          <w:szCs w:val="21"/>
        </w:rPr>
        <w:t xml:space="preserve">Costs, stated plainly. </w:t>
      </w:r>
      <w:r>
        <w:rPr>
          <w:rFonts w:ascii="Calibri" w:cs="Calibri" w:eastAsia="Calibri" w:hAnsi="Calibri"/>
          <w:color w:val="1A2332"/>
          <w:sz w:val="21"/>
          <w:szCs w:val="21"/>
        </w:rPr>
        <w:t xml:space="preserve">This is a C++ patch to a codebase this team does not own, carried across every upgrade — rebasing, not pinning. It forces the source-build route and therefore settles Open Decision 26 by removing the choice. The mitigation worth attempting is upstreaming: “emit edit events for integrators” is plausibly wanted by other integrators, and if accepted, maintenance stops being ours. The prerequisite to scoping is establishing what the server actually knows at the point of broadcast — LibreOfficeKit’s internal edit granularity may be object- or coordinate-level, with slide identity derived rather than given. That is answerable by reading the source, and should be answered before any estimate is offered.</w:t>
      </w:r>
    </w:p>
    <w:tbl>
      <w:tblPr>
        <w:tblW w:type="dxa" w:w="9360"/>
        <w:tblBorders>
          <w:top w:val="single" w:color="FBF0E6" w:sz="2"/>
          <w:left w:val="single" w:color="8A5A2B" w:sz="24"/>
          <w:bottom w:val="single" w:color="FBF0E6" w:sz="2"/>
          <w:right w:val="single" w:color="FBF0E6" w:sz="2"/>
          <w:insideH w:val="none"/>
          <w:insideV w:val="none"/>
        </w:tblBorders>
      </w:tblPr>
      <w:tblGrid>
        <w:gridCol w:w="9360"/>
      </w:tblGrid>
      <w:tr>
        <w:tc>
          <w:tcPr>
            <w:tcW w:type="dxa" w:w="9360"/>
            <w:shd w:fill="FBF0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Decision — slide-level attribution is a patch, not a configuration</w:t>
            </w:r>
          </w:p>
          <w:p>
            <w:pPr>
              <w:spacing w:after="120" w:line="276"/>
            </w:pPr>
            <w:r>
              <w:rPr>
                <w:rFonts w:ascii="Calibri" w:cs="Calibri" w:eastAsia="Calibri" w:hAnsi="Calibri"/>
                <w:color w:val="1A2332"/>
                <w:sz w:val="20"/>
                <w:szCs w:val="20"/>
              </w:rPr>
              <w:t xml:space="preserve">Audit-grade per-slide, per-user attribution is not available from Collabora as shipped, via track changes (Writer/Calc only), or via PostMessage (wrong granularity). It requires patching the server to emit edit events — permitted by MPL 2.0, small in principle because the data already exists, and carrying a real ongoing maintenance cost. Accepted on the grounds that the requirement is an audit trail and an inferred audit trail is not one. Logged as Open Decision 29.</w:t>
            </w:r>
          </w:p>
        </w:tc>
      </w:tr>
    </w:tbl>
    <w:tbl>
      <w:tblPr>
        <w:tblW w:type="dxa" w:w="9360"/>
        <w:tblBorders>
          <w:top w:val="single" w:color="FBF0E6" w:sz="2"/>
          <w:left w:val="single" w:color="8A5A2B" w:sz="24"/>
          <w:bottom w:val="single" w:color="FBF0E6" w:sz="2"/>
          <w:right w:val="single" w:color="FBF0E6" w:sz="2"/>
          <w:insideH w:val="none"/>
          <w:insideV w:val="none"/>
        </w:tblBorders>
      </w:tblPr>
      <w:tblGrid>
        <w:gridCol w:w="9360"/>
      </w:tblGrid>
      <w:tr>
        <w:tc>
          <w:tcPr>
            <w:tcW w:type="dxa" w:w="9360"/>
            <w:shd w:fill="FBF0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Open — Collabora operational detail</w:t>
            </w:r>
          </w:p>
          <w:p>
            <w:pPr>
              <w:spacing w:after="120" w:line="276"/>
            </w:pPr>
            <w:r>
              <w:rPr>
                <w:rFonts w:ascii="Calibri" w:cs="Calibri" w:eastAsia="Calibri" w:hAnsi="Calibri"/>
                <w:color w:val="1A2332"/>
                <w:sz w:val="20"/>
                <w:szCs w:val="20"/>
              </w:rPr>
              <w:t xml:space="preserve">Resolved by test: fidelity, font resolution, and PowerPoint round-trip. Still open: version granularity (Collabora saves periodically during a session, so a one-hour session with five contributors produces many save callbacks — versions should almost certainly be collapsed per session rather than per save); whether to run the CODE image or build from source for production; and font installation into the container for any deck that does rely on non-embedded brand fonts. Logged as Open Decisions 25–26.</w:t>
            </w:r>
          </w:p>
        </w:tc>
      </w:tr>
    </w:tbl>
    <w:p>
      <w:pPr>
        <w:pStyle w:val="Heading1"/>
        <w:spacing w:after="140" w:before="360"/>
      </w:pPr>
      <w:r>
        <w:rPr>
          <w:rFonts w:ascii="Calibri" w:cs="Calibri" w:eastAsia="Calibri" w:hAnsi="Calibri"/>
          <w:b/>
          <w:bCs/>
          <w:color w:val="1A2332"/>
          <w:sz w:val="30"/>
          <w:szCs w:val="30"/>
        </w:rPr>
        <w:t xml:space="preserve">9. Reference Architecture Mapping</w:t>
      </w:r>
    </w:p>
    <w:tbl>
      <w:tblPr>
        <w:tblW w:type="dxa" w:w="9360"/>
        <w:tblBorders>
          <w:top w:val="single" w:color="EAF1F4" w:sz="2"/>
          <w:left w:val="single" w:color="2C5F7C" w:sz="24"/>
          <w:bottom w:val="single" w:color="EAF1F4" w:sz="2"/>
          <w:right w:val="single" w:color="EAF1F4" w:sz="2"/>
          <w:insideH w:val="none"/>
          <w:insideV w:val="none"/>
        </w:tblBorders>
      </w:tblPr>
      <w:tblGrid>
        <w:gridCol w:w="9360"/>
      </w:tblGrid>
      <w:tr>
        <w:tc>
          <w:tcPr>
            <w:tcW w:type="dxa" w:w="9360"/>
            <w:shd w:fill="EAF1F4" w:val="clear"/>
            <w:tcMar>
              <w:top w:type="dxa" w:w="120"/>
              <w:left w:type="dxa" w:w="200"/>
              <w:bottom w:type="dxa" w:w="120"/>
              <w:right w:type="dxa" w:w="200"/>
            </w:tcMar>
          </w:tcPr>
          <w:p>
            <w:pPr>
              <w:spacing w:after="60"/>
            </w:pPr>
            <w:r>
              <w:rPr>
                <w:rFonts w:ascii="Calibri" w:cs="Calibri" w:eastAsia="Calibri" w:hAnsi="Calibri"/>
                <w:b/>
                <w:bCs/>
                <w:caps/>
                <w:color w:val="2C5F7C"/>
                <w:sz w:val="20"/>
                <w:szCs w:val="20"/>
              </w:rPr>
              <w:t xml:space="preserve">Licensing basis</w:t>
            </w:r>
          </w:p>
          <w:p>
            <w:pPr>
              <w:spacing w:after="120" w:line="276"/>
            </w:pPr>
            <w:r>
              <w:rPr>
                <w:rFonts w:ascii="Calibri" w:cs="Calibri" w:eastAsia="Calibri" w:hAnsi="Calibri"/>
                <w:color w:val="1A2332"/>
                <w:sz w:val="20"/>
                <w:szCs w:val="20"/>
              </w:rPr>
              <w:t xml:space="preserve">Both reference systems are copyleft (Worklenz: AGPL-3.0; LibreBooking: GPL-3.0). Given commercialization, neither is used as a code foundation. They are </w:t>
            </w:r>
            <w:r>
              <w:rPr>
                <w:rFonts w:ascii="Calibri" w:cs="Calibri" w:eastAsia="Calibri" w:hAnsi="Calibri"/>
                <w:b/>
                <w:bCs/>
                <w:color w:val="1A2332"/>
                <w:sz w:val="20"/>
                <w:szCs w:val="20"/>
              </w:rPr>
              <w:t xml:space="preserve">design references only</w:t>
            </w:r>
            <w:r>
              <w:rPr>
                <w:rFonts w:ascii="Calibri" w:cs="Calibri" w:eastAsia="Calibri" w:hAnsi="Calibri"/>
                <w:color w:val="1A2332"/>
                <w:sz w:val="20"/>
                <w:szCs w:val="20"/>
              </w:rPr>
              <w:t xml:space="preserve">: patterns are studied and re-implemented clean. No source is copied. This keeps custom IP free of copyleft obligations.</w:t>
            </w:r>
          </w:p>
        </w:tc>
      </w:tr>
    </w:tbl>
    <w:p>
      <w:pPr>
        <w:spacing w:after="100"/>
      </w:pPr>
    </w:p>
    <w:p>
      <w:pPr>
        <w:pStyle w:val="Heading2"/>
        <w:spacing w:after="100" w:before="240"/>
      </w:pPr>
      <w:r>
        <w:rPr>
          <w:rFonts w:ascii="Calibri" w:cs="Calibri" w:eastAsia="Calibri" w:hAnsi="Calibri"/>
          <w:b/>
          <w:bCs/>
          <w:color w:val="2C5F7C"/>
          <w:sz w:val="25"/>
          <w:szCs w:val="25"/>
        </w:rPr>
        <w:t xml:space="preserve">9.1 LibreBooking — booking / approval reference</w:t>
      </w:r>
    </w:p>
    <w:p>
      <w:pPr>
        <w:spacing w:after="120" w:line="276"/>
      </w:pPr>
      <w:r>
        <w:rPr>
          <w:rFonts w:ascii="Calibri" w:cs="Calibri" w:eastAsia="Calibri" w:hAnsi="Calibri"/>
          <w:color w:val="1A2332"/>
          <w:sz w:val="21"/>
          <w:szCs w:val="21"/>
        </w:rPr>
        <w:t xml:space="preserve">A mature, resource-first booking engine (descendant of Booked Scheduler / phpScheduleIt; PHP + MySQL). Its structure matches the resource-first spine and offers proven patterns:</w:t>
      </w:r>
    </w:p>
    <w:p>
      <w:pPr>
        <w:pStyle w:val="ListParagraph"/>
        <w:numPr>
          <w:ilvl w:val="0"/>
          <w:numId w:val="2"/>
        </w:numPr>
        <w:spacing w:after="70" w:line="268"/>
      </w:pPr>
      <w:r>
        <w:rPr>
          <w:rFonts w:ascii="Calibri" w:cs="Calibri" w:eastAsia="Calibri" w:hAnsi="Calibri"/>
          <w:b/>
          <w:bCs/>
          <w:color w:val="1A2332"/>
          <w:sz w:val="21"/>
          <w:szCs w:val="21"/>
        </w:rPr>
        <w:t xml:space="preserve">Resource</w:t>
      </w:r>
      <w:r>
        <w:rPr>
          <w:rFonts w:ascii="Calibri" w:cs="Calibri" w:eastAsia="Calibri" w:hAnsi="Calibri"/>
          <w:color w:val="1A2332"/>
          <w:sz w:val="21"/>
          <w:szCs w:val="21"/>
        </w:rPr>
        <w:t xml:space="preserve"> as the central entity, grouped into resource groups and schedules (the bookable time grid).</w:t>
      </w:r>
    </w:p>
    <w:p>
      <w:pPr>
        <w:pStyle w:val="ListParagraph"/>
        <w:numPr>
          <w:ilvl w:val="0"/>
          <w:numId w:val="2"/>
        </w:numPr>
        <w:spacing w:after="70" w:line="268"/>
      </w:pPr>
      <w:r>
        <w:rPr>
          <w:rFonts w:ascii="Calibri" w:cs="Calibri" w:eastAsia="Calibri" w:hAnsi="Calibri"/>
          <w:b/>
          <w:bCs/>
          <w:color w:val="1A2332"/>
          <w:sz w:val="21"/>
          <w:szCs w:val="21"/>
        </w:rPr>
        <w:t xml:space="preserve">Reservation series vs. instance</w:t>
      </w:r>
      <w:r>
        <w:rPr>
          <w:rFonts w:ascii="Calibri" w:cs="Calibri" w:eastAsia="Calibri" w:hAnsi="Calibri"/>
          <w:color w:val="1A2332"/>
          <w:sz w:val="21"/>
          <w:szCs w:val="21"/>
        </w:rPr>
        <w:t xml:space="preserve"> — the logical booking (with recurrence rules) is separated from each concrete occurrence. A pattern worth adopting for recurring bookings.</w:t>
      </w:r>
    </w:p>
    <w:p>
      <w:pPr>
        <w:pStyle w:val="ListParagraph"/>
        <w:numPr>
          <w:ilvl w:val="0"/>
          <w:numId w:val="2"/>
        </w:numPr>
        <w:spacing w:after="70" w:line="268"/>
      </w:pPr>
      <w:r>
        <w:rPr>
          <w:rFonts w:ascii="Calibri" w:cs="Calibri" w:eastAsia="Calibri" w:hAnsi="Calibri"/>
          <w:b/>
          <w:bCs/>
          <w:color w:val="1A2332"/>
          <w:sz w:val="21"/>
          <w:szCs w:val="21"/>
        </w:rPr>
        <w:t xml:space="preserve">Approval workflow</w:t>
      </w:r>
      <w:r>
        <w:rPr>
          <w:rFonts w:ascii="Calibri" w:cs="Calibri" w:eastAsia="Calibri" w:hAnsi="Calibri"/>
          <w:color w:val="1A2332"/>
          <w:sz w:val="21"/>
          <w:szCs w:val="21"/>
        </w:rPr>
        <w:t xml:space="preserve"> — reservations may require approval before confirming; built in.</w:t>
      </w:r>
    </w:p>
    <w:p>
      <w:pPr>
        <w:pStyle w:val="ListParagraph"/>
        <w:numPr>
          <w:ilvl w:val="0"/>
          <w:numId w:val="2"/>
        </w:numPr>
        <w:spacing w:after="70" w:line="268"/>
      </w:pPr>
      <w:r>
        <w:rPr>
          <w:rFonts w:ascii="Calibri" w:cs="Calibri" w:eastAsia="Calibri" w:hAnsi="Calibri"/>
          <w:b/>
          <w:bCs/>
          <w:color w:val="1A2332"/>
          <w:sz w:val="21"/>
          <w:szCs w:val="21"/>
        </w:rPr>
        <w:t xml:space="preserve">Quotas &amp; credits</w:t>
      </w:r>
      <w:r>
        <w:rPr>
          <w:rFonts w:ascii="Calibri" w:cs="Calibri" w:eastAsia="Calibri" w:hAnsi="Calibri"/>
          <w:color w:val="1A2332"/>
          <w:sz w:val="21"/>
          <w:szCs w:val="21"/>
        </w:rPr>
        <w:t xml:space="preserve"> — booking limits per user/group over a period; a rate-limiting pattern potentially repurposable for capacity governance.</w:t>
      </w:r>
    </w:p>
    <w:p>
      <w:pPr>
        <w:pStyle w:val="ListParagraph"/>
        <w:numPr>
          <w:ilvl w:val="0"/>
          <w:numId w:val="2"/>
        </w:numPr>
        <w:spacing w:after="70" w:line="268"/>
      </w:pPr>
      <w:r>
        <w:rPr>
          <w:rFonts w:ascii="Calibri" w:cs="Calibri" w:eastAsia="Calibri" w:hAnsi="Calibri"/>
          <w:b/>
          <w:bCs/>
          <w:color w:val="1A2332"/>
          <w:sz w:val="21"/>
          <w:szCs w:val="21"/>
        </w:rPr>
        <w:t xml:space="preserve">Blackout periods</w:t>
      </w:r>
      <w:r>
        <w:rPr>
          <w:rFonts w:ascii="Calibri" w:cs="Calibri" w:eastAsia="Calibri" w:hAnsi="Calibri"/>
          <w:color w:val="1A2332"/>
          <w:sz w:val="21"/>
          <w:szCs w:val="21"/>
        </w:rPr>
        <w:t xml:space="preserve"> and role-based access control.</w:t>
      </w:r>
    </w:p>
    <w:p>
      <w:pPr>
        <w:spacing w:after="120" w:line="276"/>
      </w:pPr>
      <w:r>
        <w:rPr>
          <w:rFonts w:ascii="Calibri" w:cs="Calibri" w:eastAsia="Calibri" w:hAnsi="Calibri"/>
          <w:i/>
          <w:iCs/>
          <w:color w:val="5A6472"/>
          <w:sz w:val="21"/>
          <w:szCs w:val="21"/>
        </w:rPr>
        <w:t xml:space="preserve">Silent on: time tracking, billing, fractional capacity (resources are pure exclusivity), SLAs, and performance. It is a booking engine only.</w:t>
      </w:r>
    </w:p>
    <w:p>
      <w:pPr>
        <w:pStyle w:val="Heading2"/>
        <w:spacing w:after="100" w:before="240"/>
      </w:pPr>
      <w:r>
        <w:rPr>
          <w:rFonts w:ascii="Calibri" w:cs="Calibri" w:eastAsia="Calibri" w:hAnsi="Calibri"/>
          <w:b/>
          <w:bCs/>
          <w:color w:val="2C5F7C"/>
          <w:sz w:val="25"/>
          <w:szCs w:val="25"/>
        </w:rPr>
        <w:t xml:space="preserve">9.2 Worklenz — timesheet / billing / utilization reference</w:t>
      </w:r>
    </w:p>
    <w:p>
      <w:pPr>
        <w:spacing w:after="120" w:line="276"/>
      </w:pPr>
      <w:r>
        <w:rPr>
          <w:rFonts w:ascii="Calibri" w:cs="Calibri" w:eastAsia="Calibri" w:hAnsi="Calibri"/>
          <w:color w:val="1A2332"/>
          <w:sz w:val="21"/>
          <w:szCs w:val="21"/>
        </w:rPr>
        <w:t xml:space="preserve">A project-first management platform (React + TypeScript + Express + PostgreSQL). Shares this platform's language and database, so its SQL schema is directly legible as a reference:</w:t>
      </w:r>
    </w:p>
    <w:p>
      <w:pPr>
        <w:pStyle w:val="ListParagraph"/>
        <w:numPr>
          <w:ilvl w:val="0"/>
          <w:numId w:val="2"/>
        </w:numPr>
        <w:spacing w:after="70" w:line="268"/>
      </w:pPr>
      <w:r>
        <w:rPr>
          <w:rFonts w:ascii="Calibri" w:cs="Calibri" w:eastAsia="Calibri" w:hAnsi="Calibri"/>
          <w:b/>
          <w:bCs/>
          <w:color w:val="1A2332"/>
          <w:sz w:val="21"/>
          <w:szCs w:val="21"/>
        </w:rPr>
        <w:t xml:space="preserve">Project → Task → Assignment</w:t>
      </w:r>
      <w:r>
        <w:rPr>
          <w:rFonts w:ascii="Calibri" w:cs="Calibri" w:eastAsia="Calibri" w:hAnsi="Calibri"/>
          <w:color w:val="1A2332"/>
          <w:sz w:val="21"/>
          <w:szCs w:val="21"/>
        </w:rPr>
        <w:t xml:space="preserve"> hierarchy — a useful reference for how work links to people and time (though this platform inverts it to resource-first).</w:t>
      </w:r>
    </w:p>
    <w:p>
      <w:pPr>
        <w:pStyle w:val="ListParagraph"/>
        <w:numPr>
          <w:ilvl w:val="0"/>
          <w:numId w:val="2"/>
        </w:numPr>
        <w:spacing w:after="70" w:line="268"/>
      </w:pPr>
      <w:r>
        <w:rPr>
          <w:rFonts w:ascii="Calibri" w:cs="Calibri" w:eastAsia="Calibri" w:hAnsi="Calibri"/>
          <w:b/>
          <w:bCs/>
          <w:color w:val="1A2332"/>
          <w:sz w:val="21"/>
          <w:szCs w:val="21"/>
        </w:rPr>
        <w:t xml:space="preserve">Time entries / timesheets</w:t>
      </w:r>
      <w:r>
        <w:rPr>
          <w:rFonts w:ascii="Calibri" w:cs="Calibri" w:eastAsia="Calibri" w:hAnsi="Calibri"/>
          <w:color w:val="1A2332"/>
          <w:sz w:val="21"/>
          <w:szCs w:val="21"/>
        </w:rPr>
        <w:t xml:space="preserve"> — the basis for both utilization and billing; the half LibreBooking lacks.</w:t>
      </w:r>
    </w:p>
    <w:p>
      <w:pPr>
        <w:pStyle w:val="ListParagraph"/>
        <w:numPr>
          <w:ilvl w:val="0"/>
          <w:numId w:val="2"/>
        </w:numPr>
        <w:spacing w:after="70" w:line="268"/>
      </w:pPr>
      <w:r>
        <w:rPr>
          <w:rFonts w:ascii="Calibri" w:cs="Calibri" w:eastAsia="Calibri" w:hAnsi="Calibri"/>
          <w:b/>
          <w:bCs/>
          <w:color w:val="1A2332"/>
          <w:sz w:val="21"/>
          <w:szCs w:val="21"/>
        </w:rPr>
        <w:t xml:space="preserve">Financial layer</w:t>
      </w:r>
      <w:r>
        <w:rPr>
          <w:rFonts w:ascii="Calibri" w:cs="Calibri" w:eastAsia="Calibri" w:hAnsi="Calibri"/>
          <w:color w:val="1A2332"/>
          <w:sz w:val="21"/>
          <w:szCs w:val="21"/>
        </w:rPr>
        <w:t xml:space="preserve"> — budgets, costs, rates, profitability.</w:t>
      </w:r>
    </w:p>
    <w:p>
      <w:pPr>
        <w:pStyle w:val="ListParagraph"/>
        <w:numPr>
          <w:ilvl w:val="0"/>
          <w:numId w:val="2"/>
        </w:numPr>
        <w:spacing w:after="70" w:line="268"/>
      </w:pPr>
      <w:r>
        <w:rPr>
          <w:rFonts w:ascii="Calibri" w:cs="Calibri" w:eastAsia="Calibri" w:hAnsi="Calibri"/>
          <w:b/>
          <w:bCs/>
          <w:color w:val="1A2332"/>
          <w:sz w:val="21"/>
          <w:szCs w:val="21"/>
        </w:rPr>
        <w:t xml:space="preserve">Utilization via database views</w:t>
      </w:r>
      <w:r>
        <w:rPr>
          <w:rFonts w:ascii="Calibri" w:cs="Calibri" w:eastAsia="Calibri" w:hAnsi="Calibri"/>
          <w:color w:val="1A2332"/>
          <w:sz w:val="21"/>
          <w:szCs w:val="21"/>
        </w:rPr>
        <w:t xml:space="preserve"> — utilization is computed, not stored; a pattern worth noting.</w:t>
      </w:r>
    </w:p>
    <w:p>
      <w:pPr>
        <w:spacing w:after="120" w:line="276"/>
      </w:pPr>
      <w:r>
        <w:rPr>
          <w:rFonts w:ascii="Calibri" w:cs="Calibri" w:eastAsia="Calibri" w:hAnsi="Calibri"/>
          <w:i/>
          <w:iCs/>
          <w:color w:val="5A6472"/>
          <w:sz w:val="21"/>
          <w:szCs w:val="21"/>
        </w:rPr>
        <w:t xml:space="preserve">Silent on: true booking/approval flow (it is assignment, not reservation-with-approval), fractional-capacity ceilings, SLAs, and performance linkage. Resource modeling is secondary to projects. Note its logic-in-database style is deliberately </w:t>
      </w:r>
      <w:r>
        <w:rPr>
          <w:rFonts w:ascii="Calibri" w:cs="Calibri" w:eastAsia="Calibri" w:hAnsi="Calibri"/>
          <w:b/>
          <w:bCs/>
          <w:i/>
          <w:iCs/>
          <w:color w:val="5A6472"/>
          <w:sz w:val="21"/>
          <w:szCs w:val="21"/>
        </w:rPr>
        <w:t xml:space="preserve">not</w:t>
      </w:r>
      <w:r>
        <w:rPr>
          <w:rFonts w:ascii="Calibri" w:cs="Calibri" w:eastAsia="Calibri" w:hAnsi="Calibri"/>
          <w:i/>
          <w:iCs/>
          <w:color w:val="5A6472"/>
          <w:sz w:val="21"/>
          <w:szCs w:val="21"/>
        </w:rPr>
        <w:t xml:space="preserve"> followed here (see Section 3.1).</w:t>
      </w:r>
    </w:p>
    <w:p>
      <w:pPr>
        <w:pStyle w:val="Heading2"/>
        <w:spacing w:after="100" w:before="240"/>
      </w:pPr>
      <w:r>
        <w:rPr>
          <w:rFonts w:ascii="Calibri" w:cs="Calibri" w:eastAsia="Calibri" w:hAnsi="Calibri"/>
          <w:b/>
          <w:bCs/>
          <w:color w:val="2C5F7C"/>
          <w:sz w:val="25"/>
          <w:szCs w:val="25"/>
        </w:rPr>
        <w:t xml:space="preserve">9.3 Capability matrix</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3360"/>
        <w:gridCol w:w="2100"/>
        <w:gridCol w:w="1800"/>
        <w:gridCol w:w="2100"/>
      </w:tblGrid>
      <w:tr>
        <w:trPr>
          <w:tblHeader/>
        </w:trPr>
        <w:tc>
          <w:tcPr>
            <w:tcW w:type="dxa" w:w="336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21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LibreBooking</w:t>
            </w:r>
          </w:p>
        </w:tc>
        <w:tc>
          <w:tcPr>
            <w:tcW w:type="dxa" w:w="18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Worklenz</w:t>
            </w:r>
          </w:p>
        </w:tc>
        <w:tc>
          <w:tcPr>
            <w:tcW w:type="dxa" w:w="21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Your build</w:t>
            </w:r>
          </w:p>
        </w:tc>
      </w:tr>
      <w:tr>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Resource modeling (resource-first)</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 — central</w:t>
            </w:r>
          </w:p>
        </w:tc>
        <w:tc>
          <w:tcPr>
            <w:tcW w:type="dxa" w:w="1800"/>
            <w:shd w:fill="FFFFFF" w:val="clear"/>
            <w:tcMar>
              <w:top w:type="dxa" w:w="50"/>
              <w:left w:type="dxa" w:w="100"/>
              <w:bottom w:type="dxa" w:w="50"/>
              <w:right w:type="dxa" w:w="100"/>
            </w:tcMar>
          </w:tcPr>
          <w:p>
            <w:r>
              <w:rPr>
                <w:rFonts w:ascii="Calibri" w:cs="Calibri" w:eastAsia="Calibri" w:hAnsi="Calibri"/>
                <w:b w:val="false"/>
                <w:bCs w:val="false"/>
                <w:color w:val="8A5A2B"/>
                <w:sz w:val="19"/>
                <w:szCs w:val="19"/>
              </w:rPr>
              <w:t xml:space="preserve">Part — secondary</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1A2332"/>
                <w:sz w:val="19"/>
                <w:szCs w:val="19"/>
              </w:rPr>
              <w:t xml:space="preserve">Ref: LibreBooking</w:t>
            </w:r>
          </w:p>
        </w:tc>
      </w:tr>
      <w:tr>
        <w:tc>
          <w:tcPr>
            <w:tcW w:type="dxa" w:w="3360"/>
            <w:shd w:fill="EEF2F5" w:val="clear"/>
            <w:tcMar>
              <w:top w:type="dxa" w:w="50"/>
              <w:left w:type="dxa" w:w="100"/>
              <w:bottom w:type="dxa" w:w="50"/>
              <w:right w:type="dxa" w:w="100"/>
            </w:tcMar>
          </w:tcPr>
          <w:p>
            <w:r>
              <w:rPr>
                <w:rFonts w:ascii="Calibri" w:cs="Calibri" w:eastAsia="Calibri" w:hAnsi="Calibri"/>
                <w:color w:val="1A2332"/>
                <w:sz w:val="19"/>
                <w:szCs w:val="19"/>
              </w:rPr>
              <w:t xml:space="preserve">Booking + time-window reservation</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 — mature</w:t>
            </w:r>
          </w:p>
        </w:tc>
        <w:tc>
          <w:tcPr>
            <w:tcW w:type="dxa" w:w="18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1A2332"/>
                <w:sz w:val="19"/>
                <w:szCs w:val="19"/>
              </w:rPr>
              <w:t xml:space="preserve">Ref: LibreBooking</w:t>
            </w:r>
          </w:p>
        </w:tc>
      </w:tr>
      <w:tr>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Approval workflow for bookings</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w:t>
            </w:r>
          </w:p>
        </w:tc>
        <w:tc>
          <w:tcPr>
            <w:tcW w:type="dxa" w:w="1800"/>
            <w:shd w:fill="FFFFFF"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1A2332"/>
                <w:sz w:val="19"/>
                <w:szCs w:val="19"/>
              </w:rPr>
              <w:t xml:space="preserve">Ref: LibreBooking</w:t>
            </w:r>
          </w:p>
        </w:tc>
      </w:tr>
      <w:tr>
        <w:tc>
          <w:tcPr>
            <w:tcW w:type="dxa" w:w="3360"/>
            <w:shd w:fill="EEF2F5" w:val="clear"/>
            <w:tcMar>
              <w:top w:type="dxa" w:w="50"/>
              <w:left w:type="dxa" w:w="100"/>
              <w:bottom w:type="dxa" w:w="50"/>
              <w:right w:type="dxa" w:w="100"/>
            </w:tcMar>
          </w:tcPr>
          <w:p>
            <w:r>
              <w:rPr>
                <w:rFonts w:ascii="Calibri" w:cs="Calibri" w:eastAsia="Calibri" w:hAnsi="Calibri"/>
                <w:color w:val="1A2332"/>
                <w:sz w:val="19"/>
                <w:szCs w:val="19"/>
              </w:rPr>
              <w:t xml:space="preserve">Recurrence (series vs instance)</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 — clean</w:t>
            </w:r>
          </w:p>
        </w:tc>
        <w:tc>
          <w:tcPr>
            <w:tcW w:type="dxa" w:w="1800"/>
            <w:shd w:fill="EEF2F5" w:val="clear"/>
            <w:tcMar>
              <w:top w:type="dxa" w:w="50"/>
              <w:left w:type="dxa" w:w="100"/>
              <w:bottom w:type="dxa" w:w="50"/>
              <w:right w:type="dxa" w:w="100"/>
            </w:tcMar>
          </w:tcPr>
          <w:p>
            <w:r>
              <w:rPr>
                <w:rFonts w:ascii="Calibri" w:cs="Calibri" w:eastAsia="Calibri" w:hAnsi="Calibri"/>
                <w:b w:val="false"/>
                <w:bCs w:val="false"/>
                <w:color w:val="8A5A2B"/>
                <w:sz w:val="19"/>
                <w:szCs w:val="19"/>
              </w:rPr>
              <w:t xml:space="preserve">Part</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1A2332"/>
                <w:sz w:val="19"/>
                <w:szCs w:val="19"/>
              </w:rPr>
              <w:t xml:space="preserve">Ref: LibreBooking</w:t>
            </w:r>
          </w:p>
        </w:tc>
      </w:tr>
      <w:tr>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Blackout / unavailability</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w:t>
            </w:r>
          </w:p>
        </w:tc>
        <w:tc>
          <w:tcPr>
            <w:tcW w:type="dxa" w:w="1800"/>
            <w:shd w:fill="FFFFFF" w:val="clear"/>
            <w:tcMar>
              <w:top w:type="dxa" w:w="50"/>
              <w:left w:type="dxa" w:w="100"/>
              <w:bottom w:type="dxa" w:w="50"/>
              <w:right w:type="dxa" w:w="100"/>
            </w:tcMar>
          </w:tcPr>
          <w:p>
            <w:r>
              <w:rPr>
                <w:rFonts w:ascii="Calibri" w:cs="Calibri" w:eastAsia="Calibri" w:hAnsi="Calibri"/>
                <w:b w:val="false"/>
                <w:bCs w:val="false"/>
                <w:color w:val="8A5A2B"/>
                <w:sz w:val="19"/>
                <w:szCs w:val="19"/>
              </w:rPr>
              <w:t xml:space="preserve">Part</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1A2332"/>
                <w:sz w:val="19"/>
                <w:szCs w:val="19"/>
              </w:rPr>
              <w:t xml:space="preserve">Ref: LibreBooking</w:t>
            </w:r>
          </w:p>
        </w:tc>
      </w:tr>
      <w:tr>
        <w:tc>
          <w:tcPr>
            <w:tcW w:type="dxa" w:w="3360"/>
            <w:shd w:fill="EEF2F5" w:val="clear"/>
            <w:tcMar>
              <w:top w:type="dxa" w:w="50"/>
              <w:left w:type="dxa" w:w="100"/>
              <w:bottom w:type="dxa" w:w="50"/>
              <w:right w:type="dxa" w:w="100"/>
            </w:tcMar>
          </w:tcPr>
          <w:p>
            <w:r>
              <w:rPr>
                <w:rFonts w:ascii="Calibri" w:cs="Calibri" w:eastAsia="Calibri" w:hAnsi="Calibri"/>
                <w:color w:val="1A2332"/>
                <w:sz w:val="19"/>
                <w:szCs w:val="19"/>
              </w:rPr>
              <w:t xml:space="preserve">Time tracking / timesheets</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1800"/>
            <w:shd w:fill="EEF2F5"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 — strong</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1A2332"/>
                <w:sz w:val="19"/>
                <w:szCs w:val="19"/>
              </w:rPr>
              <w:t xml:space="preserve">Ref: Worklenz</w:t>
            </w:r>
          </w:p>
        </w:tc>
      </w:tr>
      <w:tr>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Billing / rates / invoicing</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1800"/>
            <w:shd w:fill="FFFFFF"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1A2332"/>
                <w:sz w:val="19"/>
                <w:szCs w:val="19"/>
              </w:rPr>
              <w:t xml:space="preserve">Ref: Worklenz</w:t>
            </w:r>
          </w:p>
        </w:tc>
      </w:tr>
      <w:tr>
        <w:tc>
          <w:tcPr>
            <w:tcW w:type="dxa" w:w="3360"/>
            <w:shd w:fill="EEF2F5" w:val="clear"/>
            <w:tcMar>
              <w:top w:type="dxa" w:w="50"/>
              <w:left w:type="dxa" w:w="100"/>
              <w:bottom w:type="dxa" w:w="50"/>
              <w:right w:type="dxa" w:w="100"/>
            </w:tcMar>
          </w:tcPr>
          <w:p>
            <w:r>
              <w:rPr>
                <w:rFonts w:ascii="Calibri" w:cs="Calibri" w:eastAsia="Calibri" w:hAnsi="Calibri"/>
                <w:color w:val="1A2332"/>
                <w:sz w:val="19"/>
                <w:szCs w:val="19"/>
              </w:rPr>
              <w:t xml:space="preserve">Utilization aggregation</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8A5A2B"/>
                <w:sz w:val="19"/>
                <w:szCs w:val="19"/>
              </w:rPr>
              <w:t xml:space="preserve">Part — reports</w:t>
            </w:r>
          </w:p>
        </w:tc>
        <w:tc>
          <w:tcPr>
            <w:tcW w:type="dxa" w:w="1800"/>
            <w:shd w:fill="EEF2F5"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 — views</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1A2332"/>
                <w:sz w:val="19"/>
                <w:szCs w:val="19"/>
              </w:rPr>
              <w:t xml:space="preserve">Ref: Worklenz</w:t>
            </w:r>
          </w:p>
        </w:tc>
      </w:tr>
      <w:tr>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RBAC</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w:t>
            </w:r>
          </w:p>
        </w:tc>
        <w:tc>
          <w:tcPr>
            <w:tcW w:type="dxa" w:w="1800"/>
            <w:shd w:fill="FFFFFF" w:val="clear"/>
            <w:tcMar>
              <w:top w:type="dxa" w:w="50"/>
              <w:left w:type="dxa" w:w="100"/>
              <w:bottom w:type="dxa" w:w="50"/>
              <w:right w:type="dxa" w:w="100"/>
            </w:tcMar>
          </w:tcPr>
          <w:p>
            <w:r>
              <w:rPr>
                <w:rFonts w:ascii="Calibri" w:cs="Calibri" w:eastAsia="Calibri" w:hAnsi="Calibri"/>
                <w:b w:val="false"/>
                <w:bCs w:val="false"/>
                <w:color w:val="2E7D4F"/>
                <w:sz w:val="19"/>
                <w:szCs w:val="19"/>
              </w:rPr>
              <w:t xml:space="preserve">Yes</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1A2332"/>
                <w:sz w:val="19"/>
                <w:szCs w:val="19"/>
              </w:rPr>
              <w:t xml:space="preserve">Either</w:t>
            </w:r>
          </w:p>
        </w:tc>
      </w:tr>
      <w:tr>
        <w:tc>
          <w:tcPr>
            <w:tcW w:type="dxa" w:w="3360"/>
            <w:shd w:fill="EEF2F5" w:val="clear"/>
            <w:tcMar>
              <w:top w:type="dxa" w:w="50"/>
              <w:left w:type="dxa" w:w="100"/>
              <w:bottom w:type="dxa" w:w="50"/>
              <w:right w:type="dxa" w:w="100"/>
            </w:tcMar>
          </w:tcPr>
          <w:p>
            <w:r>
              <w:rPr>
                <w:rFonts w:ascii="Calibri" w:cs="Calibri" w:eastAsia="Calibri" w:hAnsi="Calibri"/>
                <w:color w:val="1A2332"/>
                <w:sz w:val="19"/>
                <w:szCs w:val="19"/>
              </w:rPr>
              <w:t xml:space="preserve">Fractional capacity + ceiling</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18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2100"/>
            <w:shd w:fill="EEF2F5" w:val="clear"/>
            <w:tcMar>
              <w:top w:type="dxa" w:w="50"/>
              <w:left w:type="dxa" w:w="100"/>
              <w:bottom w:type="dxa" w:w="50"/>
              <w:right w:type="dxa" w:w="100"/>
            </w:tcMar>
          </w:tcPr>
          <w:p>
            <w:r>
              <w:rPr>
                <w:rFonts w:ascii="Calibri" w:cs="Calibri" w:eastAsia="Calibri" w:hAnsi="Calibri"/>
                <w:b/>
                <w:bCs/>
                <w:color w:val="2C5F7C"/>
                <w:sz w:val="19"/>
                <w:szCs w:val="19"/>
              </w:rPr>
              <w:t xml:space="preserve">Clean-sheet</w:t>
            </w:r>
          </w:p>
        </w:tc>
      </w:tr>
      <w:tr>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Warn-and-allow overbooking</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1800"/>
            <w:shd w:fill="FFFFFF"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2100"/>
            <w:shd w:fill="FFFFFF" w:val="clear"/>
            <w:tcMar>
              <w:top w:type="dxa" w:w="50"/>
              <w:left w:type="dxa" w:w="100"/>
              <w:bottom w:type="dxa" w:w="50"/>
              <w:right w:type="dxa" w:w="100"/>
            </w:tcMar>
          </w:tcPr>
          <w:p>
            <w:r>
              <w:rPr>
                <w:rFonts w:ascii="Calibri" w:cs="Calibri" w:eastAsia="Calibri" w:hAnsi="Calibri"/>
                <w:b/>
                <w:bCs/>
                <w:color w:val="2C5F7C"/>
                <w:sz w:val="19"/>
                <w:szCs w:val="19"/>
              </w:rPr>
              <w:t xml:space="preserve">Clean-sheet</w:t>
            </w:r>
          </w:p>
        </w:tc>
      </w:tr>
      <w:tr>
        <w:tc>
          <w:tcPr>
            <w:tcW w:type="dxa" w:w="3360"/>
            <w:shd w:fill="EEF2F5" w:val="clear"/>
            <w:tcMar>
              <w:top w:type="dxa" w:w="50"/>
              <w:left w:type="dxa" w:w="100"/>
              <w:bottom w:type="dxa" w:w="50"/>
              <w:right w:type="dxa" w:w="100"/>
            </w:tcMar>
          </w:tcPr>
          <w:p>
            <w:r>
              <w:rPr>
                <w:rFonts w:ascii="Calibri" w:cs="Calibri" w:eastAsia="Calibri" w:hAnsi="Calibri"/>
                <w:color w:val="1A2332"/>
                <w:sz w:val="19"/>
                <w:szCs w:val="19"/>
              </w:rPr>
              <w:t xml:space="preserve">Categorized SLA engine</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18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2100"/>
            <w:shd w:fill="EEF2F5" w:val="clear"/>
            <w:tcMar>
              <w:top w:type="dxa" w:w="50"/>
              <w:left w:type="dxa" w:w="100"/>
              <w:bottom w:type="dxa" w:w="50"/>
              <w:right w:type="dxa" w:w="100"/>
            </w:tcMar>
          </w:tcPr>
          <w:p>
            <w:r>
              <w:rPr>
                <w:rFonts w:ascii="Calibri" w:cs="Calibri" w:eastAsia="Calibri" w:hAnsi="Calibri"/>
                <w:b/>
                <w:bCs/>
                <w:color w:val="2C5F7C"/>
                <w:sz w:val="19"/>
                <w:szCs w:val="19"/>
              </w:rPr>
              <w:t xml:space="preserve">Clean-sheet</w:t>
            </w:r>
          </w:p>
        </w:tc>
      </w:tr>
      <w:tr>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Pausable/attributable SLA clock</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1800"/>
            <w:shd w:fill="FFFFFF"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2100"/>
            <w:shd w:fill="FFFFFF" w:val="clear"/>
            <w:tcMar>
              <w:top w:type="dxa" w:w="50"/>
              <w:left w:type="dxa" w:w="100"/>
              <w:bottom w:type="dxa" w:w="50"/>
              <w:right w:type="dxa" w:w="100"/>
            </w:tcMar>
          </w:tcPr>
          <w:p>
            <w:r>
              <w:rPr>
                <w:rFonts w:ascii="Calibri" w:cs="Calibri" w:eastAsia="Calibri" w:hAnsi="Calibri"/>
                <w:b/>
                <w:bCs/>
                <w:color w:val="2C5F7C"/>
                <w:sz w:val="19"/>
                <w:szCs w:val="19"/>
              </w:rPr>
              <w:t xml:space="preserve">Clean-sheet</w:t>
            </w:r>
          </w:p>
        </w:tc>
      </w:tr>
      <w:tr>
        <w:tc>
          <w:tcPr>
            <w:tcW w:type="dxa" w:w="3360"/>
            <w:shd w:fill="EEF2F5" w:val="clear"/>
            <w:tcMar>
              <w:top w:type="dxa" w:w="50"/>
              <w:left w:type="dxa" w:w="100"/>
              <w:bottom w:type="dxa" w:w="50"/>
              <w:right w:type="dxa" w:w="100"/>
            </w:tcMar>
          </w:tcPr>
          <w:p>
            <w:r>
              <w:rPr>
                <w:rFonts w:ascii="Calibri" w:cs="Calibri" w:eastAsia="Calibri" w:hAnsi="Calibri"/>
                <w:color w:val="1A2332"/>
                <w:sz w:val="19"/>
                <w:szCs w:val="19"/>
              </w:rPr>
              <w:t xml:space="preserve">SLA → performance / rewards</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18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2100"/>
            <w:shd w:fill="EEF2F5" w:val="clear"/>
            <w:tcMar>
              <w:top w:type="dxa" w:w="50"/>
              <w:left w:type="dxa" w:w="100"/>
              <w:bottom w:type="dxa" w:w="50"/>
              <w:right w:type="dxa" w:w="100"/>
            </w:tcMar>
          </w:tcPr>
          <w:p>
            <w:r>
              <w:rPr>
                <w:rFonts w:ascii="Calibri" w:cs="Calibri" w:eastAsia="Calibri" w:hAnsi="Calibri"/>
                <w:b/>
                <w:bCs/>
                <w:color w:val="2C5F7C"/>
                <w:sz w:val="19"/>
                <w:szCs w:val="19"/>
              </w:rPr>
              <w:t xml:space="preserve">Clean-sheet</w:t>
            </w:r>
          </w:p>
        </w:tc>
      </w:tr>
      <w:tr>
        <w:tc>
          <w:tcPr>
            <w:tcW w:type="dxa" w:w="3360"/>
            <w:shd w:fill="FFFFFF" w:val="clear"/>
            <w:tcMar>
              <w:top w:type="dxa" w:w="50"/>
              <w:left w:type="dxa" w:w="100"/>
              <w:bottom w:type="dxa" w:w="50"/>
              <w:right w:type="dxa" w:w="100"/>
            </w:tcMar>
          </w:tcPr>
          <w:p>
            <w:r>
              <w:rPr>
                <w:rFonts w:ascii="Calibri" w:cs="Calibri" w:eastAsia="Calibri" w:hAnsi="Calibri"/>
                <w:color w:val="1A2332"/>
                <w:sz w:val="19"/>
                <w:szCs w:val="19"/>
              </w:rPr>
              <w:t xml:space="preserve">Accountability profiles (multi-role)</w:t>
            </w:r>
          </w:p>
        </w:tc>
        <w:tc>
          <w:tcPr>
            <w:tcW w:type="dxa" w:w="2100"/>
            <w:shd w:fill="FFFFFF"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1800"/>
            <w:shd w:fill="FFFFFF"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2100"/>
            <w:shd w:fill="FFFFFF" w:val="clear"/>
            <w:tcMar>
              <w:top w:type="dxa" w:w="50"/>
              <w:left w:type="dxa" w:w="100"/>
              <w:bottom w:type="dxa" w:w="50"/>
              <w:right w:type="dxa" w:w="100"/>
            </w:tcMar>
          </w:tcPr>
          <w:p>
            <w:r>
              <w:rPr>
                <w:rFonts w:ascii="Calibri" w:cs="Calibri" w:eastAsia="Calibri" w:hAnsi="Calibri"/>
                <w:b/>
                <w:bCs/>
                <w:color w:val="2C5F7C"/>
                <w:sz w:val="19"/>
                <w:szCs w:val="19"/>
              </w:rPr>
              <w:t xml:space="preserve">Clean-sheet</w:t>
            </w:r>
          </w:p>
        </w:tc>
      </w:tr>
      <w:tr>
        <w:tc>
          <w:tcPr>
            <w:tcW w:type="dxa" w:w="3360"/>
            <w:shd w:fill="EEF2F5" w:val="clear"/>
            <w:tcMar>
              <w:top w:type="dxa" w:w="50"/>
              <w:left w:type="dxa" w:w="100"/>
              <w:bottom w:type="dxa" w:w="50"/>
              <w:right w:type="dxa" w:w="100"/>
            </w:tcMar>
          </w:tcPr>
          <w:p>
            <w:r>
              <w:rPr>
                <w:rFonts w:ascii="Calibri" w:cs="Calibri" w:eastAsia="Calibri" w:hAnsi="Calibri"/>
                <w:color w:val="1A2332"/>
                <w:sz w:val="19"/>
                <w:szCs w:val="19"/>
              </w:rPr>
              <w:t xml:space="preserve">Multi-tenancy (commercialization)</w:t>
            </w:r>
          </w:p>
        </w:tc>
        <w:tc>
          <w:tcPr>
            <w:tcW w:type="dxa" w:w="21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1800"/>
            <w:shd w:fill="EEF2F5" w:val="clear"/>
            <w:tcMar>
              <w:top w:type="dxa" w:w="50"/>
              <w:left w:type="dxa" w:w="100"/>
              <w:bottom w:type="dxa" w:w="50"/>
              <w:right w:type="dxa" w:w="100"/>
            </w:tcMar>
          </w:tcPr>
          <w:p>
            <w:r>
              <w:rPr>
                <w:rFonts w:ascii="Calibri" w:cs="Calibri" w:eastAsia="Calibri" w:hAnsi="Calibri"/>
                <w:b w:val="false"/>
                <w:bCs w:val="false"/>
                <w:color w:val="B03A3A"/>
                <w:sz w:val="19"/>
                <w:szCs w:val="19"/>
              </w:rPr>
              <w:t xml:space="preserve">No</w:t>
            </w:r>
          </w:p>
        </w:tc>
        <w:tc>
          <w:tcPr>
            <w:tcW w:type="dxa" w:w="2100"/>
            <w:shd w:fill="EEF2F5" w:val="clear"/>
            <w:tcMar>
              <w:top w:type="dxa" w:w="50"/>
              <w:left w:type="dxa" w:w="100"/>
              <w:bottom w:type="dxa" w:w="50"/>
              <w:right w:type="dxa" w:w="100"/>
            </w:tcMar>
          </w:tcPr>
          <w:p>
            <w:r>
              <w:rPr>
                <w:rFonts w:ascii="Calibri" w:cs="Calibri" w:eastAsia="Calibri" w:hAnsi="Calibri"/>
                <w:b/>
                <w:bCs/>
                <w:color w:val="2C5F7C"/>
                <w:sz w:val="19"/>
                <w:szCs w:val="19"/>
              </w:rPr>
              <w:t xml:space="preserve">Clean-sheet</w:t>
            </w:r>
          </w:p>
        </w:tc>
      </w:tr>
    </w:tbl>
    <w:p>
      <w:pPr>
        <w:spacing w:after="100"/>
      </w:pPr>
    </w:p>
    <w:p>
      <w:pPr>
        <w:pStyle w:val="Heading2"/>
        <w:spacing w:after="100" w:before="240"/>
      </w:pPr>
      <w:r>
        <w:rPr>
          <w:rFonts w:ascii="Calibri" w:cs="Calibri" w:eastAsia="Calibri" w:hAnsi="Calibri"/>
          <w:b/>
          <w:bCs/>
          <w:color w:val="2C5F7C"/>
          <w:sz w:val="25"/>
          <w:szCs w:val="25"/>
        </w:rPr>
        <w:t xml:space="preserve">9.4 Gap analysis — the build scope</w:t>
      </w:r>
    </w:p>
    <w:p>
      <w:pPr>
        <w:spacing w:after="120" w:line="276"/>
      </w:pPr>
      <w:r>
        <w:rPr>
          <w:rFonts w:ascii="Calibri" w:cs="Calibri" w:eastAsia="Calibri" w:hAnsi="Calibri"/>
          <w:color w:val="1A2332"/>
          <w:sz w:val="21"/>
          <w:szCs w:val="21"/>
        </w:rPr>
        <w:t xml:space="preserve">The references cover the entire commodity layer and none of the differentiators. This is the ideal outcome: it shows exactly where to move fast on proven patterns and where the real design effort concentrates.</w:t>
      </w:r>
    </w:p>
    <w:p>
      <w:pPr>
        <w:pStyle w:val="Heading3"/>
        <w:spacing w:after="80" w:before="180"/>
      </w:pPr>
      <w:r>
        <w:rPr>
          <w:rFonts w:ascii="Calibri" w:cs="Calibri" w:eastAsia="Calibri" w:hAnsi="Calibri"/>
          <w:b/>
          <w:bCs/>
          <w:color w:val="1A2332"/>
          <w:sz w:val="22"/>
          <w:szCs w:val="22"/>
        </w:rPr>
        <w:t xml:space="preserve">Borrowed-structure zone (fast, low-risk)</w:t>
      </w:r>
    </w:p>
    <w:p>
      <w:pPr>
        <w:spacing w:after="120" w:line="276"/>
      </w:pPr>
      <w:r>
        <w:rPr>
          <w:rFonts w:ascii="Calibri" w:cs="Calibri" w:eastAsia="Calibri" w:hAnsi="Calibri"/>
          <w:color w:val="1A2332"/>
          <w:sz w:val="21"/>
          <w:szCs w:val="21"/>
        </w:rPr>
        <w:t xml:space="preserve">Resource modeling, bookings, approvals, recurrence, blackouts, timesheets, billing, utilization. Known patterns, implemented cleanly in the Supabase schema. LibreBooking informs the booking half; Worklenz informs the time/billing half.</w:t>
      </w:r>
    </w:p>
    <w:p>
      <w:pPr>
        <w:pStyle w:val="Heading3"/>
        <w:spacing w:after="80" w:before="180"/>
      </w:pPr>
      <w:r>
        <w:rPr>
          <w:rFonts w:ascii="Calibri" w:cs="Calibri" w:eastAsia="Calibri" w:hAnsi="Calibri"/>
          <w:b/>
          <w:bCs/>
          <w:color w:val="1A2332"/>
          <w:sz w:val="22"/>
          <w:szCs w:val="22"/>
        </w:rPr>
        <w:t xml:space="preserve">Clean-sheet zone (the IP — where design effort concentrates)</w:t>
      </w:r>
    </w:p>
    <w:p>
      <w:pPr>
        <w:pStyle w:val="ListParagraph"/>
        <w:numPr>
          <w:ilvl w:val="0"/>
          <w:numId w:val="3"/>
        </w:numPr>
        <w:spacing w:after="70" w:line="268"/>
      </w:pPr>
      <w:r>
        <w:rPr>
          <w:rFonts w:ascii="Calibri" w:cs="Calibri" w:eastAsia="Calibri" w:hAnsi="Calibri"/>
          <w:color w:val="1A2332"/>
          <w:sz w:val="21"/>
          <w:szCs w:val="21"/>
        </w:rPr>
        <w:t xml:space="preserve">Fractional capacity model — per-resource capacity type with per-person ceilings and warn-and-allow.</w:t>
      </w:r>
    </w:p>
    <w:p>
      <w:pPr>
        <w:pStyle w:val="ListParagraph"/>
        <w:numPr>
          <w:ilvl w:val="0"/>
          <w:numId w:val="3"/>
        </w:numPr>
        <w:spacing w:after="70" w:line="268"/>
      </w:pPr>
      <w:r>
        <w:rPr>
          <w:rFonts w:ascii="Calibri" w:cs="Calibri" w:eastAsia="Calibri" w:hAnsi="Calibri"/>
          <w:color w:val="1A2332"/>
          <w:sz w:val="21"/>
          <w:szCs w:val="21"/>
        </w:rPr>
        <w:t xml:space="preserve">Categorized SLA engine — work-type-driven profiles, hard deadlines with type-specific derivation, pausable/attributable clock.</w:t>
      </w:r>
    </w:p>
    <w:p>
      <w:pPr>
        <w:pStyle w:val="ListParagraph"/>
        <w:numPr>
          <w:ilvl w:val="0"/>
          <w:numId w:val="3"/>
        </w:numPr>
        <w:spacing w:after="70" w:line="268"/>
      </w:pPr>
      <w:r>
        <w:rPr>
          <w:rFonts w:ascii="Calibri" w:cs="Calibri" w:eastAsia="Calibri" w:hAnsi="Calibri"/>
          <w:color w:val="1A2332"/>
          <w:sz w:val="21"/>
          <w:szCs w:val="21"/>
        </w:rPr>
        <w:t xml:space="preserve">Accountability profiles — the pluggable per-role measurement framework (creative-SLA, sales-target, event-coverage, response-SLA, none).</w:t>
      </w:r>
    </w:p>
    <w:p>
      <w:pPr>
        <w:pStyle w:val="ListParagraph"/>
        <w:numPr>
          <w:ilvl w:val="0"/>
          <w:numId w:val="3"/>
        </w:numPr>
        <w:spacing w:after="70" w:line="268"/>
      </w:pPr>
      <w:r>
        <w:rPr>
          <w:rFonts w:ascii="Calibri" w:cs="Calibri" w:eastAsia="Calibri" w:hAnsi="Calibri"/>
          <w:color w:val="1A2332"/>
          <w:sz w:val="21"/>
          <w:szCs w:val="21"/>
        </w:rPr>
        <w:t xml:space="preserve">SLA-to-performance linkage — attribution, append-only audit trail, aggregation policy, anti-gaming counterweights.</w:t>
      </w:r>
    </w:p>
    <w:p>
      <w:pPr>
        <w:pStyle w:val="ListParagraph"/>
        <w:numPr>
          <w:ilvl w:val="0"/>
          <w:numId w:val="3"/>
        </w:numPr>
        <w:spacing w:after="70" w:line="268"/>
      </w:pPr>
      <w:r>
        <w:rPr>
          <w:rFonts w:ascii="Calibri" w:cs="Calibri" w:eastAsia="Calibri" w:hAnsi="Calibri"/>
          <w:color w:val="1A2332"/>
          <w:sz w:val="21"/>
          <w:szCs w:val="21"/>
        </w:rPr>
        <w:t xml:space="preserve">Multi-tenancy — tenant isolation via RLS, threaded through every table from day one.</w:t>
      </w:r>
    </w:p>
    <w:p>
      <w:pPr>
        <w:spacing w:after="120" w:line="276"/>
      </w:pPr>
      <w:r>
        <w:rPr>
          <w:rFonts w:ascii="Calibri" w:cs="Calibri" w:eastAsia="Calibri" w:hAnsi="Calibri"/>
          <w:i/>
          <w:iCs/>
          <w:color w:val="1A2332"/>
          <w:sz w:val="21"/>
          <w:szCs w:val="21"/>
        </w:rPr>
        <w:t xml:space="preserve">The absence of any open-source precedent for these is a positive signal for commercialization: they are precisely what existing tools do not do.</w:t>
      </w:r>
    </w:p>
    <w:p>
      <w:pPr>
        <w:pStyle w:val="Heading2"/>
        <w:spacing w:after="100" w:before="240"/>
      </w:pPr>
      <w:r>
        <w:rPr>
          <w:rFonts w:ascii="Calibri" w:cs="Calibri" w:eastAsia="Calibri" w:hAnsi="Calibri"/>
          <w:b/>
          <w:bCs/>
          <w:color w:val="2C5F7C"/>
          <w:sz w:val="25"/>
          <w:szCs w:val="25"/>
        </w:rPr>
        <w:t xml:space="preserve">9.5 Finance integration — the Odoo export</w:t>
      </w:r>
    </w:p>
    <w:p>
      <w:pPr>
        <w:spacing w:after="120" w:line="276"/>
      </w:pPr>
      <w:r>
        <w:rPr>
          <w:rFonts w:ascii="Calibri" w:cs="Calibri" w:eastAsia="Calibri" w:hAnsi="Calibri"/>
          <w:color w:val="1A2332"/>
          <w:sz w:val="21"/>
          <w:szCs w:val="21"/>
        </w:rPr>
        <w:t xml:space="preserve">The finance questionnaire (completed by A. Sye, Finance Lead) resolves how this platform meets Finance and settles Open Decision 8. </w:t>
      </w:r>
      <w:r>
        <w:rPr>
          <w:rFonts w:ascii="Calibri" w:cs="Calibri" w:eastAsia="Calibri" w:hAnsi="Calibri"/>
          <w:b/>
          <w:bCs/>
          <w:color w:val="1A2332"/>
          <w:sz w:val="21"/>
          <w:szCs w:val="21"/>
        </w:rPr>
        <w:t xml:space="preserve">Finance does not want the platform to be a billing engine. </w:t>
      </w:r>
      <w:r>
        <w:rPr>
          <w:rFonts w:ascii="Calibri" w:cs="Calibri" w:eastAsia="Calibri" w:hAnsi="Calibri"/>
          <w:color w:val="1A2332"/>
          <w:sz w:val="21"/>
          <w:szCs w:val="21"/>
        </w:rPr>
        <w:t xml:space="preserve">Finance runs Odoo and re-keys project data by hand today because projects run without Finance visibility, so hours and costs are chased after the fact. The platform’s job is to remove that manual step: it is a data producer that feeds Odoo, not a replacement for it.</w:t>
      </w:r>
    </w:p>
    <w:p>
      <w:pPr>
        <w:spacing w:after="120" w:line="276"/>
      </w:pPr>
      <w:r>
        <w:rPr>
          <w:rFonts w:ascii="Calibri" w:cs="Calibri" w:eastAsia="Calibri" w:hAnsi="Calibri"/>
          <w:color w:val="1A2332"/>
          <w:sz w:val="21"/>
          <w:szCs w:val="21"/>
        </w:rPr>
        <w:t xml:space="preserve">Odoo codes projects, clients, and cost centres as </w:t>
      </w:r>
      <w:r>
        <w:rPr>
          <w:rFonts w:ascii="Calibri" w:cs="Calibri" w:eastAsia="Calibri" w:hAnsi="Calibri"/>
          <w:b/>
          <w:bCs/>
          <w:color w:val="1A2332"/>
          <w:sz w:val="21"/>
          <w:szCs w:val="21"/>
        </w:rPr>
        <w:t xml:space="preserve">Analytic Accounts</w:t>
      </w:r>
      <w:r>
        <w:rPr>
          <w:rFonts w:ascii="Calibri" w:cs="Calibri" w:eastAsia="Calibri" w:hAnsi="Calibri"/>
          <w:color w:val="1A2332"/>
          <w:sz w:val="21"/>
          <w:szCs w:val="21"/>
        </w:rPr>
        <w:t xml:space="preserve">. This is the one hard mapping requirement: tenant, client, campaign and project records each carry an optional analytic-account code so an export reconciles against Odoo without hand-matching. No fixed import template or code format is mandated yet (Finance answered “nothing specific required currently”), so the field is nullable free-text now and can be tightened to a validated format once Finance confirms it.</w:t>
      </w:r>
    </w:p>
    <w:p>
      <w:pPr>
        <w:spacing w:after="120" w:line="276"/>
      </w:pPr>
      <w:r>
        <w:rPr>
          <w:rFonts w:ascii="Calibri" w:cs="Calibri" w:eastAsia="Calibri" w:hAnsi="Calibri"/>
          <w:color w:val="1A2332"/>
          <w:sz w:val="21"/>
          <w:szCs w:val="21"/>
        </w:rPr>
        <w:t xml:space="preserve">The export carries exactly the data points Finance asked for — and deliberately omits the ones it did not:</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5000"/>
        <w:gridCol w:w="4360"/>
      </w:tblGrid>
      <w:tr>
        <w:trPr>
          <w:tblHeader/>
        </w:trPr>
        <w:tc>
          <w:tcPr>
            <w:tcW w:type="dxa" w:w="5000"/>
            <w:shd w:fill="2C5F7C" w:val="clear"/>
            <w:tcMar>
              <w:top w:type="dxa" w:w="50"/>
              <w:left w:type="dxa" w:w="100"/>
              <w:bottom w:type="dxa" w:w="50"/>
              <w:right w:type="dxa" w:w="100"/>
            </w:tcMar>
          </w:tcPr>
          <w:p>
            <w:r>
              <w:rPr>
                <w:rFonts w:ascii="Calibri" w:cs="Calibri" w:eastAsia="Calibri" w:hAnsi="Calibri"/>
                <w:b/>
                <w:bCs/>
                <w:color w:val="FFFFFF"/>
                <w:sz w:val="19"/>
                <w:szCs w:val="19"/>
              </w:rPr>
              <w:t xml:space="preserve">Data point (requested by Finance)</w:t>
            </w:r>
          </w:p>
        </w:tc>
        <w:tc>
          <w:tcPr>
            <w:tcW w:type="dxa" w:w="4360"/>
            <w:shd w:fill="2C5F7C" w:val="clear"/>
            <w:tcMar>
              <w:top w:type="dxa" w:w="50"/>
              <w:left w:type="dxa" w:w="100"/>
              <w:bottom w:type="dxa" w:w="50"/>
              <w:right w:type="dxa" w:w="100"/>
            </w:tcMar>
          </w:tcPr>
          <w:p>
            <w:r>
              <w:rPr>
                <w:rFonts w:ascii="Calibri" w:cs="Calibri" w:eastAsia="Calibri" w:hAnsi="Calibri"/>
                <w:b/>
                <w:bCs/>
                <w:color w:val="FFFFFF"/>
                <w:sz w:val="19"/>
                <w:szCs w:val="19"/>
              </w:rPr>
              <w:t xml:space="preserve">Export handling</w:t>
            </w:r>
          </w:p>
        </w:tc>
      </w:tr>
      <w:tr>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Hours worked, per job / project</w:t>
            </w:r>
          </w:p>
        </w:tc>
        <w:tc>
          <w:tcPr>
            <w:tcW w:type="dxa" w:w="4360"/>
            <w:shd w:fill="FFFFFF" w:val="clear"/>
            <w:tcMar>
              <w:top w:type="dxa" w:w="50"/>
              <w:left w:type="dxa" w:w="100"/>
              <w:bottom w:type="dxa" w:w="50"/>
              <w:right w:type="dxa" w:w="100"/>
            </w:tcMar>
          </w:tcPr>
          <w:p>
            <w:r>
              <w:rPr>
                <w:rFonts w:ascii="Calibri" w:cs="Calibri" w:eastAsia="Calibri" w:hAnsi="Calibri"/>
                <w:color w:val="1A2332"/>
                <w:sz w:val="19"/>
                <w:szCs w:val="19"/>
              </w:rPr>
              <w:t xml:space="preserve">Aggregated from time entries; per-project totals.</w:t>
            </w:r>
          </w:p>
        </w:tc>
      </w:tr>
      <w:tr>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Hours worked, per person</w:t>
            </w:r>
          </w:p>
        </w:tc>
        <w:tc>
          <w:tcPr>
            <w:tcW w:type="dxa" w:w="4360"/>
            <w:shd w:fill="EEF2F5" w:val="clear"/>
            <w:tcMar>
              <w:top w:type="dxa" w:w="50"/>
              <w:left w:type="dxa" w:w="100"/>
              <w:bottom w:type="dxa" w:w="50"/>
              <w:right w:type="dxa" w:w="100"/>
            </w:tcMar>
          </w:tcPr>
          <w:p>
            <w:r>
              <w:rPr>
                <w:rFonts w:ascii="Calibri" w:cs="Calibri" w:eastAsia="Calibri" w:hAnsi="Calibri"/>
                <w:color w:val="1A2332"/>
                <w:sz w:val="19"/>
                <w:szCs w:val="19"/>
              </w:rPr>
              <w:t xml:space="preserve">Per-person line within each project.</w:t>
            </w:r>
          </w:p>
        </w:tc>
      </w:tr>
      <w:tr>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Cost of work done (labour)</w:t>
            </w:r>
          </w:p>
        </w:tc>
        <w:tc>
          <w:tcPr>
            <w:tcW w:type="dxa" w:w="4360"/>
            <w:shd w:fill="FFFFFF" w:val="clear"/>
            <w:tcMar>
              <w:top w:type="dxa" w:w="50"/>
              <w:left w:type="dxa" w:w="100"/>
              <w:bottom w:type="dxa" w:w="50"/>
              <w:right w:type="dxa" w:w="100"/>
            </w:tcMar>
          </w:tcPr>
          <w:p>
            <w:r>
              <w:rPr>
                <w:rFonts w:ascii="Calibri" w:cs="Calibri" w:eastAsia="Calibri" w:hAnsi="Calibri"/>
                <w:color w:val="1A2332"/>
                <w:sz w:val="19"/>
                <w:szCs w:val="19"/>
              </w:rPr>
              <w:t xml:space="preserve">Hours × internal cost rate per resource.</w:t>
            </w:r>
          </w:p>
        </w:tc>
      </w:tr>
      <w:tr>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Client / customer per job</w:t>
            </w:r>
          </w:p>
        </w:tc>
        <w:tc>
          <w:tcPr>
            <w:tcW w:type="dxa" w:w="4360"/>
            <w:shd w:fill="EEF2F5" w:val="clear"/>
            <w:tcMar>
              <w:top w:type="dxa" w:w="50"/>
              <w:left w:type="dxa" w:w="100"/>
              <w:bottom w:type="dxa" w:w="50"/>
              <w:right w:type="dxa" w:w="100"/>
            </w:tcMar>
          </w:tcPr>
          <w:p>
            <w:r>
              <w:rPr>
                <w:rFonts w:ascii="Calibri" w:cs="Calibri" w:eastAsia="Calibri" w:hAnsi="Calibri"/>
                <w:color w:val="1A2332"/>
                <w:sz w:val="19"/>
                <w:szCs w:val="19"/>
              </w:rPr>
              <w:t xml:space="preserve">Client identifier, carrying the Odoo Analytic Account code where mapped.</w:t>
            </w:r>
          </w:p>
        </w:tc>
      </w:tr>
      <w:tr>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Rates charged</w:t>
            </w:r>
          </w:p>
        </w:tc>
        <w:tc>
          <w:tcPr>
            <w:tcW w:type="dxa" w:w="4360"/>
            <w:shd w:fill="FFFFFF" w:val="clear"/>
            <w:tcMar>
              <w:top w:type="dxa" w:w="50"/>
              <w:left w:type="dxa" w:w="100"/>
              <w:bottom w:type="dxa" w:w="50"/>
              <w:right w:type="dxa" w:w="100"/>
            </w:tcMar>
          </w:tcPr>
          <w:p>
            <w:r>
              <w:rPr>
                <w:rFonts w:ascii="Calibri" w:cs="Calibri" w:eastAsia="Calibri" w:hAnsi="Calibri"/>
                <w:color w:val="1A2332"/>
                <w:sz w:val="19"/>
                <w:szCs w:val="19"/>
              </w:rPr>
              <w:t xml:space="preserve">External charge rate, per person / job / hour as applicable.</w:t>
            </w:r>
          </w:p>
        </w:tc>
      </w:tr>
      <w:tr>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Job / project completion status</w:t>
            </w:r>
          </w:p>
        </w:tc>
        <w:tc>
          <w:tcPr>
            <w:tcW w:type="dxa" w:w="4360"/>
            <w:shd w:fill="EEF2F5" w:val="clear"/>
            <w:tcMar>
              <w:top w:type="dxa" w:w="50"/>
              <w:left w:type="dxa" w:w="100"/>
              <w:bottom w:type="dxa" w:w="50"/>
              <w:right w:type="dxa" w:w="100"/>
            </w:tcMar>
          </w:tcPr>
          <w:p>
            <w:r>
              <w:rPr>
                <w:rFonts w:ascii="Calibri" w:cs="Calibri" w:eastAsia="Calibri" w:hAnsi="Calibri"/>
                <w:color w:val="1A2332"/>
                <w:sz w:val="19"/>
                <w:szCs w:val="19"/>
              </w:rPr>
              <w:t xml:space="preserve">Current status at export time.</w:t>
            </w:r>
          </w:p>
        </w:tc>
      </w:tr>
      <w:tr>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Who approved / signed off</w:t>
            </w:r>
          </w:p>
        </w:tc>
        <w:tc>
          <w:tcPr>
            <w:tcW w:type="dxa" w:w="4360"/>
            <w:shd w:fill="FFFFFF" w:val="clear"/>
            <w:tcMar>
              <w:top w:type="dxa" w:w="50"/>
              <w:left w:type="dxa" w:w="100"/>
              <w:bottom w:type="dxa" w:w="50"/>
              <w:right w:type="dxa" w:w="100"/>
            </w:tcMar>
          </w:tcPr>
          <w:p>
            <w:r>
              <w:rPr>
                <w:rFonts w:ascii="Calibri" w:cs="Calibri" w:eastAsia="Calibri" w:hAnsi="Calibri"/>
                <w:color w:val="1A2332"/>
                <w:sz w:val="19"/>
                <w:szCs w:val="19"/>
              </w:rPr>
              <w:t xml:space="preserve">Approver identity from the approval record.</w:t>
            </w:r>
          </w:p>
        </w:tc>
      </w:tr>
      <w:tr>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Dates work started and finished</w:t>
            </w:r>
          </w:p>
        </w:tc>
        <w:tc>
          <w:tcPr>
            <w:tcW w:type="dxa" w:w="4360"/>
            <w:shd w:fill="EEF2F5" w:val="clear"/>
            <w:tcMar>
              <w:top w:type="dxa" w:w="50"/>
              <w:left w:type="dxa" w:w="100"/>
              <w:bottom w:type="dxa" w:w="50"/>
              <w:right w:type="dxa" w:w="100"/>
            </w:tcMar>
          </w:tcPr>
          <w:p>
            <w:r>
              <w:rPr>
                <w:rFonts w:ascii="Calibri" w:cs="Calibri" w:eastAsia="Calibri" w:hAnsi="Calibri"/>
                <w:color w:val="1A2332"/>
                <w:sz w:val="19"/>
                <w:szCs w:val="19"/>
              </w:rPr>
              <w:t xml:space="preserve">Start and finish dates per job.</w:t>
            </w:r>
          </w:p>
        </w:tc>
      </w:tr>
    </w:tbl>
    <w:p>
      <w:pPr>
        <w:spacing w:after="80"/>
      </w:pPr>
    </w:p>
    <w:p>
      <w:pPr>
        <w:spacing w:after="120" w:line="276"/>
      </w:pPr>
      <w:r>
        <w:rPr>
          <w:rFonts w:ascii="Calibri" w:cs="Calibri" w:eastAsia="Calibri" w:hAnsi="Calibri"/>
          <w:b/>
          <w:bCs/>
          <w:color w:val="1A2332"/>
          <w:sz w:val="21"/>
          <w:szCs w:val="21"/>
        </w:rPr>
        <w:t xml:space="preserve">Explicitly out of scope, because Finance ticked “no”: </w:t>
      </w:r>
      <w:r>
        <w:rPr>
          <w:rFonts w:ascii="Calibri" w:cs="Calibri" w:eastAsia="Calibri" w:hAnsi="Calibri"/>
          <w:color w:val="1A2332"/>
          <w:sz w:val="21"/>
          <w:szCs w:val="21"/>
        </w:rPr>
        <w:t xml:space="preserve">billable-vs-non-billable split, materials/equipment, deadlines met or missed, and job notes or references. The deadline and SLA data that dominates the accountability layer (§5) is not Finance’s concern — finance and accountability stay cleanly separated, which keeps the export narrow and the two models decoupled.</w:t>
      </w:r>
    </w:p>
    <w:p>
      <w:pPr>
        <w:pStyle w:val="Heading3"/>
        <w:spacing w:after="80" w:before="180"/>
      </w:pPr>
      <w:r>
        <w:rPr>
          <w:rFonts w:ascii="Calibri" w:cs="Calibri" w:eastAsia="Calibri" w:hAnsi="Calibri"/>
          <w:b/>
          <w:bCs/>
          <w:color w:val="1A2332"/>
          <w:sz w:val="22"/>
          <w:szCs w:val="22"/>
        </w:rPr>
        <w:t xml:space="preserve">Aggregation — roll-ups, not raw entries</w:t>
      </w:r>
    </w:p>
    <w:p>
      <w:pPr>
        <w:spacing w:after="120" w:line="276"/>
      </w:pPr>
      <w:r>
        <w:rPr>
          <w:rFonts w:ascii="Calibri" w:cs="Calibri" w:eastAsia="Calibri" w:hAnsi="Calibri"/>
          <w:color w:val="1A2332"/>
          <w:sz w:val="21"/>
          <w:szCs w:val="21"/>
        </w:rPr>
        <w:t xml:space="preserve">Finance needs four roll-ups and explicitly not a per-time-entry dump: a total per client, a total per job/project, a line per person, and weekly/monthly summarisation. The export is therefore a set of database views over the time and rate data — the same computed-view pattern already used for utilization (§9.2) — not a raw timesheet feed.</w:t>
      </w:r>
    </w:p>
    <w:p>
      <w:pPr>
        <w:pStyle w:val="Heading3"/>
        <w:spacing w:after="80" w:before="180"/>
      </w:pPr>
      <w:r>
        <w:rPr>
          <w:rFonts w:ascii="Calibri" w:cs="Calibri" w:eastAsia="Calibri" w:hAnsi="Calibri"/>
          <w:b/>
          <w:bCs/>
          <w:color w:val="1A2332"/>
          <w:sz w:val="22"/>
          <w:szCs w:val="22"/>
        </w:rPr>
        <w:t xml:space="preserve">Delivery — daily file, respecting the month-end lock</w:t>
      </w:r>
    </w:p>
    <w:p>
      <w:pPr>
        <w:spacing w:after="120" w:line="276"/>
      </w:pPr>
      <w:r>
        <w:rPr>
          <w:rFonts w:ascii="Calibri" w:cs="Calibri" w:eastAsia="Calibri" w:hAnsi="Calibri"/>
          <w:color w:val="1A2332"/>
          <w:sz w:val="21"/>
          <w:szCs w:val="21"/>
        </w:rPr>
        <w:t xml:space="preserve">Finance wants both an import file (CSV / spreadsheet) and a human-readable report, delivered </w:t>
      </w:r>
      <w:r>
        <w:rPr>
          <w:rFonts w:ascii="Calibri" w:cs="Calibri" w:eastAsia="Calibri" w:hAnsi="Calibri"/>
          <w:b/>
          <w:bCs/>
          <w:color w:val="1A2332"/>
          <w:sz w:val="21"/>
          <w:szCs w:val="21"/>
        </w:rPr>
        <w:t xml:space="preserve">once a day</w:t>
      </w:r>
      <w:r>
        <w:rPr>
          <w:rFonts w:ascii="Calibri" w:cs="Calibri" w:eastAsia="Calibri" w:hAnsi="Calibri"/>
          <w:color w:val="1A2332"/>
          <w:sz w:val="21"/>
          <w:szCs w:val="21"/>
        </w:rPr>
        <w:t xml:space="preserve">. The hard constraint is the close: figures must not change after month-end. The export therefore honours a period-lock boundary aligned to Finance’s close — once a period is locked, its exported figures are frozen, which fits the append-only audit posture (§5.5) rather than fighting it. Finance-related communication is to run through email or the approved system only; accuracy, security, and a clean audit trail are the stated concerns, reinforcing the §13 watch-items.</w:t>
      </w:r>
    </w:p>
    <w:tbl>
      <w:tblPr>
        <w:tblW w:type="dxa" w:w="9360"/>
        <w:tblBorders>
          <w:top w:val="single" w:color="FBF0E6" w:sz="2"/>
          <w:left w:val="single" w:color="8A5A2B" w:sz="24"/>
          <w:bottom w:val="single" w:color="FBF0E6" w:sz="2"/>
          <w:right w:val="single" w:color="FBF0E6" w:sz="2"/>
          <w:insideH w:val="none"/>
          <w:insideV w:val="none"/>
        </w:tblBorders>
      </w:tblPr>
      <w:tblGrid>
        <w:gridCol w:w="9360"/>
      </w:tblGrid>
      <w:tr>
        <w:tc>
          <w:tcPr>
            <w:tcW w:type="dxa" w:w="9360"/>
            <w:shd w:fill="FBF0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Resolved — finance integration</w:t>
            </w:r>
          </w:p>
          <w:p>
            <w:pPr>
              <w:spacing w:after="120" w:line="276"/>
            </w:pPr>
            <w:r>
              <w:rPr>
                <w:rFonts w:ascii="Calibri" w:cs="Calibri" w:eastAsia="Calibri" w:hAnsi="Calibri"/>
                <w:color w:val="1A2332"/>
                <w:sz w:val="20"/>
                <w:szCs w:val="20"/>
              </w:rPr>
              <w:t xml:space="preserve">No billing engine; the platform feeds Odoo via a period-locked export (import file + readable report), keyed on Odoo Analytic Account codes, delivered daily and frozen at month-end close. The rate model carries two distinct rates per resource: an internal cost rate (for labour cost) and an external charge rate (for rates charged). Open: the exact Odoo import template/format, and whether the daily export is pushed on a schedule or pulled by Finance on demand — logged as Open Decisions 23–24.</w:t>
            </w:r>
          </w:p>
        </w:tc>
      </w:tr>
    </w:tbl>
    <w:p>
      <w:pPr>
        <w:pStyle w:val="Heading1"/>
        <w:spacing w:after="140" w:before="360"/>
      </w:pPr>
      <w:r>
        <w:rPr>
          <w:rFonts w:ascii="Calibri" w:cs="Calibri" w:eastAsia="Calibri" w:hAnsi="Calibri"/>
          <w:b/>
          <w:bCs/>
          <w:color w:val="1A2332"/>
          <w:sz w:val="30"/>
          <w:szCs w:val="30"/>
        </w:rPr>
        <w:t xml:space="preserve">10. Multi-Tenancy, Collaboration &amp; Commercialization</w:t>
      </w:r>
    </w:p>
    <w:p>
      <w:pPr>
        <w:spacing w:after="120" w:line="276"/>
      </w:pPr>
      <w:r>
        <w:rPr>
          <w:rFonts w:ascii="Calibri" w:cs="Calibri" w:eastAsia="Calibri" w:hAnsi="Calibri"/>
          <w:color w:val="1A2332"/>
          <w:sz w:val="21"/>
          <w:szCs w:val="21"/>
        </w:rPr>
        <w:t xml:space="preserve">Because commercialization is in scope, the platform is a product serving many organizations, not a single-org internal tool. Designed in from the start rather than retrofitted, this shapes the schema and security model from day one. The deployment reality gives this concrete shape: Meridian (a creative agency) is the primary tenant, operating within Kite Group — a large conglomerate of companies (payments, logistics, e-commerce, media, insurance, retail and more). Meridian does marketing work for Kite sibling companies, which is exactly the collaboration the model must serve.</w:t>
      </w:r>
    </w:p>
    <w:p>
      <w:pPr>
        <w:pStyle w:val="Heading2"/>
        <w:spacing w:after="100" w:before="240"/>
      </w:pPr>
      <w:r>
        <w:rPr>
          <w:rFonts w:ascii="Calibri" w:cs="Calibri" w:eastAsia="Calibri" w:hAnsi="Calibri"/>
          <w:b/>
          <w:bCs/>
          <w:color w:val="2C5F7C"/>
          <w:sz w:val="25"/>
          <w:szCs w:val="25"/>
        </w:rPr>
        <w:t xml:space="preserve">10.1 Three relationship types — do not conflate them</w:t>
      </w:r>
    </w:p>
    <w:p>
      <w:pPr>
        <w:spacing w:after="120" w:line="276"/>
      </w:pPr>
      <w:r>
        <w:rPr>
          <w:rFonts w:ascii="Calibri" w:cs="Calibri" w:eastAsia="Calibri" w:hAnsi="Calibri"/>
          <w:color w:val="1A2332"/>
          <w:sz w:val="21"/>
          <w:szCs w:val="21"/>
        </w:rPr>
        <w:t xml:space="preserve">The org context makes clear the system must represent three distinct relationships, of increasing cost. Modelling the common one simply and reserving the expensive machinery for the rare one is essential — treating every client as a full tenant would be serious over-engineering.</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2100"/>
        <w:gridCol w:w="3560"/>
        <w:gridCol w:w="3700"/>
      </w:tblGrid>
      <w:tr>
        <w:trPr>
          <w:tblHeader/>
        </w:trPr>
        <w:tc>
          <w:tcPr>
            <w:tcW w:type="dxa" w:w="21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Relationship</w:t>
            </w:r>
          </w:p>
        </w:tc>
        <w:tc>
          <w:tcPr>
            <w:tcW w:type="dxa" w:w="356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Who</w:t>
            </w:r>
          </w:p>
        </w:tc>
        <w:tc>
          <w:tcPr>
            <w:tcW w:type="dxa" w:w="37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How modelled</w:t>
            </w:r>
          </w:p>
        </w:tc>
      </w:tr>
      <w:tr>
        <w:tc>
          <w:tcPr>
            <w:tcW w:type="dxa" w:w="2100"/>
            <w:shd w:fill="FFFFFF" w:val="clear"/>
            <w:tcMar>
              <w:top w:type="dxa" w:w="50"/>
              <w:left w:type="dxa" w:w="100"/>
              <w:bottom w:type="dxa" w:w="50"/>
              <w:right w:type="dxa" w:w="100"/>
            </w:tcMar>
          </w:tcPr>
          <w:p>
            <w:r>
              <w:rPr>
                <w:rFonts w:ascii="Calibri" w:cs="Calibri" w:eastAsia="Calibri" w:hAnsi="Calibri"/>
                <w:color w:val="1A2332"/>
                <w:sz w:val="19"/>
                <w:szCs w:val="19"/>
              </w:rPr>
              <w:t xml:space="preserve">Primary tenant</w:t>
            </w:r>
          </w:p>
        </w:tc>
        <w:tc>
          <w:tcPr>
            <w:tcW w:type="dxa" w:w="3560"/>
            <w:shd w:fill="FFFFFF" w:val="clear"/>
            <w:tcMar>
              <w:top w:type="dxa" w:w="50"/>
              <w:left w:type="dxa" w:w="100"/>
              <w:bottom w:type="dxa" w:w="50"/>
              <w:right w:type="dxa" w:w="100"/>
            </w:tcMar>
          </w:tcPr>
          <w:p>
            <w:r>
              <w:rPr>
                <w:rFonts w:ascii="Calibri" w:cs="Calibri" w:eastAsia="Calibri" w:hAnsi="Calibri"/>
                <w:color w:val="1A2332"/>
                <w:sz w:val="19"/>
                <w:szCs w:val="19"/>
              </w:rPr>
              <w:t xml:space="preserve">Meridian itself</w:t>
            </w:r>
          </w:p>
        </w:tc>
        <w:tc>
          <w:tcPr>
            <w:tcW w:type="dxa" w:w="3700"/>
            <w:shd w:fill="FFFFFF" w:val="clear"/>
            <w:tcMar>
              <w:top w:type="dxa" w:w="50"/>
              <w:left w:type="dxa" w:w="100"/>
              <w:bottom w:type="dxa" w:w="50"/>
              <w:right w:type="dxa" w:w="100"/>
            </w:tcMar>
          </w:tcPr>
          <w:p>
            <w:r>
              <w:rPr>
                <w:rFonts w:ascii="Calibri" w:cs="Calibri" w:eastAsia="Calibri" w:hAnsi="Calibri"/>
                <w:color w:val="1A2332"/>
                <w:sz w:val="19"/>
                <w:szCs w:val="19"/>
              </w:rPr>
              <w:t xml:space="preserve">The full home tenant: its people, resources, work, rates, performance.</w:t>
            </w:r>
          </w:p>
        </w:tc>
      </w:tr>
      <w:tr>
        <w:tc>
          <w:tcPr>
            <w:tcW w:type="dxa" w:w="2100"/>
            <w:shd w:fill="EEF2F5" w:val="clear"/>
            <w:tcMar>
              <w:top w:type="dxa" w:w="50"/>
              <w:left w:type="dxa" w:w="100"/>
              <w:bottom w:type="dxa" w:w="50"/>
              <w:right w:type="dxa" w:w="100"/>
            </w:tcMar>
          </w:tcPr>
          <w:p>
            <w:r>
              <w:rPr>
                <w:rFonts w:ascii="Calibri" w:cs="Calibri" w:eastAsia="Calibri" w:hAnsi="Calibri"/>
                <w:color w:val="1A2332"/>
                <w:sz w:val="19"/>
                <w:szCs w:val="19"/>
              </w:rPr>
              <w:t xml:space="preserve">Client</w:t>
            </w:r>
          </w:p>
        </w:tc>
        <w:tc>
          <w:tcPr>
            <w:tcW w:type="dxa" w:w="3560"/>
            <w:shd w:fill="EEF2F5" w:val="clear"/>
            <w:tcMar>
              <w:top w:type="dxa" w:w="50"/>
              <w:left w:type="dxa" w:w="100"/>
              <w:bottom w:type="dxa" w:w="50"/>
              <w:right w:type="dxa" w:w="100"/>
            </w:tcMar>
          </w:tcPr>
          <w:p>
            <w:r>
              <w:rPr>
                <w:rFonts w:ascii="Calibri" w:cs="Calibri" w:eastAsia="Calibri" w:hAnsi="Calibri"/>
                <w:color w:val="1A2332"/>
                <w:sz w:val="19"/>
                <w:szCs w:val="19"/>
              </w:rPr>
              <w:t xml:space="preserve">Most Kite siblings (Kite Card, Souqly, Mirage TV, the school chain, etc.)</w:t>
            </w:r>
          </w:p>
        </w:tc>
        <w:tc>
          <w:tcPr>
            <w:tcW w:type="dxa" w:w="3700"/>
            <w:shd w:fill="EEF2F5" w:val="clear"/>
            <w:tcMar>
              <w:top w:type="dxa" w:w="50"/>
              <w:left w:type="dxa" w:w="100"/>
              <w:bottom w:type="dxa" w:w="50"/>
              <w:right w:type="dxa" w:w="100"/>
            </w:tcMar>
          </w:tcPr>
          <w:p>
            <w:r>
              <w:rPr>
                <w:rFonts w:ascii="Calibri" w:cs="Calibri" w:eastAsia="Calibri" w:hAnsi="Calibri"/>
                <w:color w:val="1A2332"/>
                <w:sz w:val="19"/>
                <w:szCs w:val="19"/>
              </w:rPr>
              <w:t xml:space="preserve">A lightweight entity inside Meridian's tenant — who work is for. No cross-tenant machinery. The common case.</w:t>
            </w:r>
          </w:p>
        </w:tc>
      </w:tr>
      <w:tr>
        <w:tc>
          <w:tcPr>
            <w:tcW w:type="dxa" w:w="2100"/>
            <w:shd w:fill="FFFFFF" w:val="clear"/>
            <w:tcMar>
              <w:top w:type="dxa" w:w="50"/>
              <w:left w:type="dxa" w:w="100"/>
              <w:bottom w:type="dxa" w:w="50"/>
              <w:right w:type="dxa" w:w="100"/>
            </w:tcMar>
          </w:tcPr>
          <w:p>
            <w:r>
              <w:rPr>
                <w:rFonts w:ascii="Calibri" w:cs="Calibri" w:eastAsia="Calibri" w:hAnsi="Calibri"/>
                <w:color w:val="1A2332"/>
                <w:sz w:val="19"/>
                <w:szCs w:val="19"/>
              </w:rPr>
              <w:t xml:space="preserve">Peer tenant on joint project</w:t>
            </w:r>
          </w:p>
        </w:tc>
        <w:tc>
          <w:tcPr>
            <w:tcW w:type="dxa" w:w="3560"/>
            <w:shd w:fill="FFFFFF" w:val="clear"/>
            <w:tcMar>
              <w:top w:type="dxa" w:w="50"/>
              <w:left w:type="dxa" w:w="100"/>
              <w:bottom w:type="dxa" w:w="50"/>
              <w:right w:type="dxa" w:w="100"/>
            </w:tcMar>
          </w:tcPr>
          <w:p>
            <w:r>
              <w:rPr>
                <w:rFonts w:ascii="Calibri" w:cs="Calibri" w:eastAsia="Calibri" w:hAnsi="Calibri"/>
                <w:color w:val="1A2332"/>
                <w:sz w:val="19"/>
                <w:szCs w:val="19"/>
              </w:rPr>
              <w:t xml:space="preserve">One or two Kite siblings that operate their own side</w:t>
            </w:r>
          </w:p>
        </w:tc>
        <w:tc>
          <w:tcPr>
            <w:tcW w:type="dxa" w:w="3700"/>
            <w:shd w:fill="FFFFFF" w:val="clear"/>
            <w:tcMar>
              <w:top w:type="dxa" w:w="50"/>
              <w:left w:type="dxa" w:w="100"/>
              <w:bottom w:type="dxa" w:w="50"/>
              <w:right w:type="dxa" w:w="100"/>
            </w:tcMar>
          </w:tcPr>
          <w:p>
            <w:r>
              <w:rPr>
                <w:rFonts w:ascii="Calibri" w:cs="Calibri" w:eastAsia="Calibri" w:hAnsi="Calibri"/>
                <w:color w:val="1A2332"/>
                <w:sz w:val="19"/>
                <w:szCs w:val="19"/>
              </w:rPr>
              <w:t xml:space="preserve">A full separate tenant, sharing a bounded joint project with Meridian. The invited-tenant model. The rare, expensive case.</w:t>
            </w:r>
          </w:p>
        </w:tc>
      </w:tr>
    </w:tbl>
    <w:p>
      <w:pPr>
        <w:spacing w:after="80"/>
      </w:pPr>
    </w:p>
    <w:p>
      <w:pPr>
        <w:spacing w:after="120" w:line="276"/>
      </w:pPr>
      <w:r>
        <w:rPr>
          <w:rFonts w:ascii="Calibri" w:cs="Calibri" w:eastAsia="Calibri" w:hAnsi="Calibri"/>
          <w:color w:val="1A2332"/>
          <w:sz w:val="21"/>
          <w:szCs w:val="21"/>
        </w:rPr>
        <w:t xml:space="preserve">The distinction is: a </w:t>
      </w:r>
      <w:r>
        <w:rPr>
          <w:rFonts w:ascii="Calibri" w:cs="Calibri" w:eastAsia="Calibri" w:hAnsi="Calibri"/>
          <w:b/>
          <w:bCs/>
          <w:color w:val="1A2332"/>
          <w:sz w:val="21"/>
          <w:szCs w:val="21"/>
        </w:rPr>
        <w:t xml:space="preserve">client</w:t>
      </w:r>
      <w:r>
        <w:rPr>
          <w:rFonts w:ascii="Calibri" w:cs="Calibri" w:eastAsia="Calibri" w:hAnsi="Calibri"/>
          <w:color w:val="1A2332"/>
          <w:sz w:val="21"/>
          <w:szCs w:val="21"/>
        </w:rPr>
        <w:t xml:space="preserve"> is who work is for (lives inside Meridian's tenant); a </w:t>
      </w:r>
      <w:r>
        <w:rPr>
          <w:rFonts w:ascii="Calibri" w:cs="Calibri" w:eastAsia="Calibri" w:hAnsi="Calibri"/>
          <w:b/>
          <w:bCs/>
          <w:color w:val="1A2332"/>
          <w:sz w:val="21"/>
          <w:szCs w:val="21"/>
        </w:rPr>
        <w:t xml:space="preserve">tenant</w:t>
      </w:r>
      <w:r>
        <w:rPr>
          <w:rFonts w:ascii="Calibri" w:cs="Calibri" w:eastAsia="Calibri" w:hAnsi="Calibri"/>
          <w:color w:val="1A2332"/>
          <w:sz w:val="21"/>
          <w:szCs w:val="21"/>
        </w:rPr>
        <w:t xml:space="preserve"> is an organization that operates in the system. A Kite sibling is usually a client (simple), and rarely both a peer tenant and a joint-project collaborator (the sophisticated model). The common case stays simple; the rare case gets the machinery.</w:t>
      </w:r>
    </w:p>
    <w:p>
      <w:pPr>
        <w:spacing w:after="120" w:line="276"/>
      </w:pPr>
      <w:r>
        <w:rPr>
          <w:rFonts w:ascii="Calibri" w:cs="Calibri" w:eastAsia="Calibri" w:hAnsi="Calibri"/>
          <w:color w:val="1A2332"/>
          <w:sz w:val="21"/>
          <w:szCs w:val="21"/>
        </w:rPr>
        <w:t xml:space="preserve">These three describe how organizations </w:t>
      </w:r>
      <w:r>
        <w:rPr>
          <w:rFonts w:ascii="Calibri" w:cs="Calibri" w:eastAsia="Calibri" w:hAnsi="Calibri"/>
          <w:i/>
          <w:iCs/>
          <w:color w:val="1A2332"/>
          <w:sz w:val="21"/>
          <w:szCs w:val="21"/>
        </w:rPr>
        <w:t xml:space="preserve">relate</w:t>
      </w:r>
      <w:r>
        <w:rPr>
          <w:rFonts w:ascii="Calibri" w:cs="Calibri" w:eastAsia="Calibri" w:hAnsi="Calibri"/>
          <w:color w:val="1A2332"/>
          <w:sz w:val="21"/>
          <w:szCs w:val="21"/>
        </w:rPr>
        <w:t xml:space="preserve"> to the system. Cutting across them is a separate question of </w:t>
      </w:r>
      <w:r>
        <w:rPr>
          <w:rFonts w:ascii="Calibri" w:cs="Calibri" w:eastAsia="Calibri" w:hAnsi="Calibri"/>
          <w:i/>
          <w:iCs/>
          <w:color w:val="1A2332"/>
          <w:sz w:val="21"/>
          <w:szCs w:val="21"/>
        </w:rPr>
        <w:t xml:space="preserve">external access</w:t>
      </w:r>
      <w:r>
        <w:rPr>
          <w:rFonts w:ascii="Calibri" w:cs="Calibri" w:eastAsia="Calibri" w:hAnsi="Calibri"/>
          <w:color w:val="1A2332"/>
          <w:sz w:val="21"/>
          <w:szCs w:val="21"/>
        </w:rPr>
        <w:t xml:space="preserve">: how a client — who by definition lives inside Meridian’s tenant — is given a narrow window onto its own work without becoming a tenant at all. That is the client portal (10.2), an access mode rather than a relationship type.</w:t>
      </w:r>
    </w:p>
    <w:p>
      <w:pPr>
        <w:pStyle w:val="Heading3"/>
        <w:spacing w:after="80" w:before="180"/>
      </w:pPr>
      <w:r>
        <w:rPr>
          <w:rFonts w:ascii="Calibri" w:cs="Calibri" w:eastAsia="Calibri" w:hAnsi="Calibri"/>
          <w:b/>
          <w:bCs/>
          <w:color w:val="1A2332"/>
          <w:sz w:val="22"/>
          <w:szCs w:val="22"/>
        </w:rPr>
        <w:t xml:space="preserve">Client vs. brand</w:t>
      </w:r>
    </w:p>
    <w:p>
      <w:pPr>
        <w:spacing w:after="120" w:line="276"/>
      </w:pPr>
      <w:r>
        <w:rPr>
          <w:rFonts w:ascii="Calibri" w:cs="Calibri" w:eastAsia="Calibri" w:hAnsi="Calibri"/>
          <w:color w:val="1A2332"/>
          <w:sz w:val="21"/>
          <w:szCs w:val="21"/>
        </w:rPr>
        <w:t xml:space="preserve">A client (e.g. Kite Card) is the organization work is for; a brand carries the assets and campaigns (Section 8). Usually one client maps to one brand, but a client may hold several brands, and — given the Kite group — clients can be related to one another. Client is therefore its own entity above brand, so the real org structure is representable.</w:t>
      </w:r>
    </w:p>
    <w:p>
      <w:pPr>
        <w:pStyle w:val="Heading2"/>
        <w:spacing w:after="100" w:before="240"/>
      </w:pPr>
      <w:r>
        <w:rPr>
          <w:rFonts w:ascii="Calibri" w:cs="Calibri" w:eastAsia="Calibri" w:hAnsi="Calibri"/>
          <w:b/>
          <w:bCs/>
          <w:color w:val="2C5F7C"/>
          <w:sz w:val="25"/>
          <w:szCs w:val="25"/>
        </w:rPr>
        <w:t xml:space="preserve">10.2 The client portal — a scoped external review surface</w:t>
      </w:r>
    </w:p>
    <w:p>
      <w:pPr>
        <w:spacing w:after="120" w:line="276"/>
      </w:pPr>
      <w:r>
        <w:rPr>
          <w:rFonts w:ascii="Calibri" w:cs="Calibri" w:eastAsia="Calibri" w:hAnsi="Calibri"/>
          <w:color w:val="1A2332"/>
          <w:sz w:val="21"/>
          <w:szCs w:val="21"/>
        </w:rPr>
        <w:t xml:space="preserve">The three relationship types above describe how </w:t>
      </w:r>
      <w:r>
        <w:rPr>
          <w:rFonts w:ascii="Calibri" w:cs="Calibri" w:eastAsia="Calibri" w:hAnsi="Calibri"/>
          <w:i/>
          <w:iCs/>
          <w:color w:val="1A2332"/>
          <w:sz w:val="21"/>
          <w:szCs w:val="21"/>
        </w:rPr>
        <w:t xml:space="preserve">organizations</w:t>
      </w:r>
      <w:r>
        <w:rPr>
          <w:rFonts w:ascii="Calibri" w:cs="Calibri" w:eastAsia="Calibri" w:hAnsi="Calibri"/>
          <w:color w:val="1A2332"/>
          <w:sz w:val="21"/>
          <w:szCs w:val="21"/>
        </w:rPr>
        <w:t xml:space="preserve"> relate to the system. The client portal is a distinct fourth thing: not a relationship type but an </w:t>
      </w:r>
      <w:r>
        <w:rPr>
          <w:rFonts w:ascii="Calibri" w:cs="Calibri" w:eastAsia="Calibri" w:hAnsi="Calibri"/>
          <w:i/>
          <w:iCs/>
          <w:color w:val="1A2332"/>
          <w:sz w:val="21"/>
          <w:szCs w:val="21"/>
        </w:rPr>
        <w:t xml:space="preserve">access mode</w:t>
      </w:r>
      <w:r>
        <w:rPr>
          <w:rFonts w:ascii="Calibri" w:cs="Calibri" w:eastAsia="Calibri" w:hAnsi="Calibri"/>
          <w:color w:val="1A2332"/>
          <w:sz w:val="21"/>
          <w:szCs w:val="21"/>
        </w:rPr>
        <w:t xml:space="preserve"> — a heavily-restricted external surface through which a client (an entity that lives </w:t>
      </w:r>
      <w:r>
        <w:rPr>
          <w:rFonts w:ascii="Calibri" w:cs="Calibri" w:eastAsia="Calibri" w:hAnsi="Calibri"/>
          <w:i/>
          <w:iCs/>
          <w:color w:val="1A2332"/>
          <w:sz w:val="21"/>
          <w:szCs w:val="21"/>
        </w:rPr>
        <w:t xml:space="preserve">inside</w:t>
      </w:r>
      <w:r>
        <w:rPr>
          <w:rFonts w:ascii="Calibri" w:cs="Calibri" w:eastAsia="Calibri" w:hAnsi="Calibri"/>
          <w:color w:val="1A2332"/>
          <w:sz w:val="21"/>
          <w:szCs w:val="21"/>
        </w:rPr>
        <w:t xml:space="preserve"> Meridian’s tenant, per 10.1) is given a narrow window onto its own work. It is deliberately </w:t>
      </w:r>
      <w:r>
        <w:rPr>
          <w:rFonts w:ascii="Calibri" w:cs="Calibri" w:eastAsia="Calibri" w:hAnsi="Calibri"/>
          <w:i/>
          <w:iCs/>
          <w:color w:val="1A2332"/>
          <w:sz w:val="21"/>
          <w:szCs w:val="21"/>
        </w:rPr>
        <w:t xml:space="preserve">not</w:t>
      </w:r>
      <w:r>
        <w:rPr>
          <w:rFonts w:ascii="Calibri" w:cs="Calibri" w:eastAsia="Calibri" w:hAnsi="Calibri"/>
          <w:color w:val="1A2332"/>
          <w:sz w:val="21"/>
          <w:szCs w:val="21"/>
        </w:rPr>
        <w:t xml:space="preserve"> a lightweight peer tenant. A peer tenant operates its own side, allocates its own resources, and runs cross-tenant machinery (10.4); a client-portal user only </w:t>
      </w:r>
      <w:r>
        <w:rPr>
          <w:rFonts w:ascii="Calibri" w:cs="Calibri" w:eastAsia="Calibri" w:hAnsi="Calibri"/>
          <w:i/>
          <w:iCs/>
          <w:color w:val="1A2332"/>
          <w:sz w:val="21"/>
          <w:szCs w:val="21"/>
        </w:rPr>
        <w:t xml:space="preserve">observes and responds</w:t>
      </w:r>
      <w:r>
        <w:rPr>
          <w:rFonts w:ascii="Calibri" w:cs="Calibri" w:eastAsia="Calibri" w:hAnsi="Calibri"/>
          <w:color w:val="1A2332"/>
          <w:sz w:val="21"/>
          <w:szCs w:val="21"/>
        </w:rPr>
        <w:t xml:space="preserve">. Conflating the two would import the expensive joint-project machinery into the common case — exactly the over-engineering 10.1 warns against.</w:t>
      </w:r>
    </w:p>
    <w:p>
      <w:pPr>
        <w:spacing w:after="120" w:line="276"/>
      </w:pPr>
      <w:r>
        <w:rPr>
          <w:rFonts w:ascii="Calibri" w:cs="Calibri" w:eastAsia="Calibri" w:hAnsi="Calibri"/>
          <w:b/>
          <w:bCs/>
          <w:color w:val="1A2332"/>
          <w:sz w:val="21"/>
          <w:szCs w:val="21"/>
        </w:rPr>
        <w:t xml:space="preserve">What the portal is for. </w:t>
      </w:r>
      <w:r>
        <w:rPr>
          <w:rFonts w:ascii="Calibri" w:cs="Calibri" w:eastAsia="Calibri" w:hAnsi="Calibri"/>
          <w:color w:val="1A2332"/>
          <w:sz w:val="21"/>
          <w:szCs w:val="21"/>
        </w:rPr>
        <w:t xml:space="preserve">A client logs into a restricted view of its own projects to do three things, and only three:</w:t>
      </w:r>
    </w:p>
    <w:p>
      <w:pPr>
        <w:pStyle w:val="ListParagraph"/>
        <w:numPr>
          <w:ilvl w:val="0"/>
          <w:numId w:val="2"/>
        </w:numPr>
        <w:spacing w:after="70" w:line="268"/>
      </w:pPr>
      <w:r>
        <w:rPr>
          <w:rFonts w:ascii="Calibri" w:cs="Calibri" w:eastAsia="Calibri" w:hAnsi="Calibri"/>
          <w:b/>
          <w:bCs/>
          <w:color w:val="1A2332"/>
          <w:sz w:val="21"/>
          <w:szCs w:val="21"/>
        </w:rPr>
        <w:t xml:space="preserve">Monitor progress</w:t>
      </w:r>
      <w:r>
        <w:rPr>
          <w:rFonts w:ascii="Calibri" w:cs="Calibri" w:eastAsia="Calibri" w:hAnsi="Calibri"/>
          <w:color w:val="1A2332"/>
          <w:sz w:val="21"/>
          <w:szCs w:val="21"/>
        </w:rPr>
        <w:t xml:space="preserve"> — see the status, milestones, and deliverable states of the work Meridian is doing for it. The same roll-up the internal dashboards read (Section 6), filtered to this client’s own work and stripped of internal signal.</w:t>
      </w:r>
    </w:p>
    <w:p>
      <w:pPr>
        <w:pStyle w:val="ListParagraph"/>
        <w:numPr>
          <w:ilvl w:val="0"/>
          <w:numId w:val="2"/>
        </w:numPr>
        <w:spacing w:after="70" w:line="268"/>
      </w:pPr>
      <w:r>
        <w:rPr>
          <w:rFonts w:ascii="Calibri" w:cs="Calibri" w:eastAsia="Calibri" w:hAnsi="Calibri"/>
          <w:b/>
          <w:bCs/>
          <w:color w:val="1A2332"/>
          <w:sz w:val="21"/>
          <w:szCs w:val="21"/>
        </w:rPr>
        <w:t xml:space="preserve">Leave feedback directly on deliverables</w:t>
      </w:r>
      <w:r>
        <w:rPr>
          <w:rFonts w:ascii="Calibri" w:cs="Calibri" w:eastAsia="Calibri" w:hAnsi="Calibri"/>
          <w:color w:val="1A2332"/>
          <w:sz w:val="21"/>
          <w:szCs w:val="21"/>
        </w:rPr>
        <w:t xml:space="preserve"> — pinned/timecoded comments on the client’s own deliverables, captured through the same Tier-2 review engine as internal feedback (Section 8.2). The difference is provenance: feedback entered here is client-sourced at the point of capture, not transcribed later by an account manager.</w:t>
      </w:r>
    </w:p>
    <w:p>
      <w:pPr>
        <w:pStyle w:val="ListParagraph"/>
        <w:numPr>
          <w:ilvl w:val="0"/>
          <w:numId w:val="2"/>
        </w:numPr>
        <w:spacing w:after="70" w:line="268"/>
      </w:pPr>
      <w:r>
        <w:rPr>
          <w:rFonts w:ascii="Calibri" w:cs="Calibri" w:eastAsia="Calibri" w:hAnsi="Calibri"/>
          <w:b/>
          <w:bCs/>
          <w:color w:val="1A2332"/>
          <w:sz w:val="21"/>
          <w:szCs w:val="21"/>
        </w:rPr>
        <w:t xml:space="preserve">Approve deliverables</w:t>
      </w:r>
      <w:r>
        <w:rPr>
          <w:rFonts w:ascii="Calibri" w:cs="Calibri" w:eastAsia="Calibri" w:hAnsi="Calibri"/>
          <w:color w:val="1A2332"/>
          <w:sz w:val="21"/>
          <w:szCs w:val="21"/>
        </w:rPr>
        <w:t xml:space="preserve"> — a first-class, audited approval event: who approved, which deliverable version, when. Approval is the client’s most consequential action and the one most worth having as tamper-evident record rather than an email an AM screenshots.</w:t>
      </w:r>
    </w:p>
    <w:p>
      <w:pPr>
        <w:spacing w:after="120" w:line="276"/>
      </w:pPr>
      <w:r>
        <w:rPr>
          <w:rFonts w:ascii="Calibri" w:cs="Calibri" w:eastAsia="Calibri" w:hAnsi="Calibri"/>
          <w:b/>
          <w:bCs/>
          <w:color w:val="1A2332"/>
          <w:sz w:val="21"/>
          <w:szCs w:val="21"/>
        </w:rPr>
        <w:t xml:space="preserve">Why capture-at-source matters — the attribution upgrade. </w:t>
      </w:r>
      <w:r>
        <w:rPr>
          <w:rFonts w:ascii="Calibri" w:cs="Calibri" w:eastAsia="Calibri" w:hAnsi="Calibri"/>
          <w:color w:val="1A2332"/>
          <w:sz w:val="21"/>
          <w:szCs w:val="21"/>
        </w:rPr>
        <w:t xml:space="preserve">This is the load-bearing reason the portal is not a cosmetic convenience. Section 5.5 makes clean, fair attribution the requirement the whole accountability model rests on: every unit of elapsed time must be attributable to a responsible party (assignee / client / dependency / approver), and the pausable clock (5.4) only pauses fairly when the system genuinely knows the work is blocked on the client. When feedback and approvals are AM-logged, the client’s contribution to the timeline is hearsay — reconstructed second-hand, contestable once SLAs feed rewards. When the client acts in the portal directly, the “blocked on client” interval, the feedback round, and the approval are all sourced from the client themselves. The attribution the accountability engine already needs stops being transcribed and starts being recorded at source — the same principle as native contextual chat (Section 7), applied to the client boundary.</w:t>
      </w:r>
    </w:p>
    <w:p>
      <w:pPr>
        <w:spacing w:after="120" w:line="276"/>
      </w:pPr>
      <w:r>
        <w:rPr>
          <w:rFonts w:ascii="Calibri" w:cs="Calibri" w:eastAsia="Calibri" w:hAnsi="Calibri"/>
          <w:b/>
          <w:bCs/>
          <w:color w:val="1A2332"/>
          <w:sz w:val="21"/>
          <w:szCs w:val="21"/>
        </w:rPr>
        <w:t xml:space="preserve">What the portal never exposes. </w:t>
      </w:r>
      <w:r>
        <w:rPr>
          <w:rFonts w:ascii="Calibri" w:cs="Calibri" w:eastAsia="Calibri" w:hAnsi="Calibri"/>
          <w:color w:val="1A2332"/>
          <w:sz w:val="21"/>
          <w:szCs w:val="21"/>
        </w:rPr>
        <w:t xml:space="preserve">The portal is defined as much by its exclusions as its inclusions. A client-portal user never sees Meridian internals: not rates, not capacity or utilization, not other clients, not internal-only threads, not performance or accountability data, not any other client’s work. Progress is shown as the client-facing shape of a deliverable’s state, never the internal capacity or SLA machinery underneath it. This is the Surface-vs-Engine contract (Section 2.3) and role-scoping principle (Section 6) pushed to its most restrictive setting: the external surface shows the least of any role in the system.</w:t>
      </w:r>
    </w:p>
    <w:p>
      <w:pPr>
        <w:spacing w:after="120" w:line="276"/>
      </w:pPr>
      <w:r>
        <w:rPr>
          <w:rFonts w:ascii="Calibri" w:cs="Calibri" w:eastAsia="Calibri" w:hAnsi="Calibri"/>
          <w:b/>
          <w:bCs/>
          <w:color w:val="1A2332"/>
          <w:sz w:val="21"/>
          <w:szCs w:val="21"/>
        </w:rPr>
        <w:t xml:space="preserve">Storage implication — reinforces own-storage, not YouTube. </w:t>
      </w:r>
      <w:r>
        <w:rPr>
          <w:rFonts w:ascii="Calibri" w:cs="Calibri" w:eastAsia="Calibri" w:hAnsi="Calibri"/>
          <w:color w:val="1A2332"/>
          <w:sz w:val="21"/>
          <w:szCs w:val="21"/>
        </w:rPr>
        <w:t xml:space="preserve">Because clients review confidential in-progress media through the portal, the portal is another reason media must live on owned, access-controlled, signed-URL storage (Section 8.3) and never on YouTube or any public host. Portal media access is per-deliverable and signed, scoped to the client’s own work, and expires — the same media-record decoupling already designed, with the client’s row-level scope as one more filter on it.</w:t>
      </w:r>
    </w:p>
    <w:p>
      <w:pPr>
        <w:spacing w:after="120" w:line="276"/>
      </w:pPr>
      <w:r>
        <w:rPr>
          <w:rFonts w:ascii="Calibri" w:cs="Calibri" w:eastAsia="Calibri" w:hAnsi="Calibri"/>
          <w:b/>
          <w:bCs/>
          <w:color w:val="1A2332"/>
          <w:sz w:val="21"/>
          <w:szCs w:val="21"/>
        </w:rPr>
        <w:t xml:space="preserve">Planning calendar — proactive lead-time enforcement. </w:t>
      </w:r>
      <w:r>
        <w:rPr>
          <w:rFonts w:ascii="Calibri" w:cs="Calibri" w:eastAsia="Calibri" w:hAnsi="Calibri"/>
          <w:color w:val="1A2332"/>
          <w:sz w:val="21"/>
          <w:szCs w:val="21"/>
        </w:rPr>
        <w:t xml:space="preserve">The three actions above are reactive: they capture what happens once work is under way. The planning calendar is the portal’s one proactive surface, and it exists to solve a specific, recurring problem with established clients — work arriving with unrealistic deadlines because the client did not plan its own marketing calendar in advance. The cost of that lands entirely on Meridian: rushed delivery, SLAs blown through no fault of the maker, and no record that the client caused the compression. The calendar inverts the flow. Rather than reacting to whatever arrives, Meridian agrees the client’s campaign and content calendar up front — typically once a year with the client’s marketing team — and the system then enforces the lead times that calendar implies.</w:t>
      </w:r>
    </w:p>
    <w:p>
      <w:pPr>
        <w:spacing w:after="120" w:line="276"/>
      </w:pPr>
      <w:r>
        <w:rPr>
          <w:rFonts w:ascii="Calibri" w:cs="Calibri" w:eastAsia="Calibri" w:hAnsi="Calibri"/>
          <w:b/>
          <w:bCs/>
          <w:color w:val="1A2332"/>
          <w:sz w:val="21"/>
          <w:szCs w:val="21"/>
        </w:rPr>
        <w:t xml:space="preserve">The mechanism — backward planning from an agreed date. </w:t>
      </w:r>
      <w:r>
        <w:rPr>
          <w:rFonts w:ascii="Calibri" w:cs="Calibri" w:eastAsia="Calibri" w:hAnsi="Calibri"/>
          <w:color w:val="1A2332"/>
          <w:sz w:val="21"/>
          <w:szCs w:val="21"/>
        </w:rPr>
        <w:t xml:space="preserve">The calendar rests on machinery the platform already has, read in the opposite direction. The SLA engine (Section 5.4) derives a deadline from a work type — it already knows how long a social post, a video, or a brand identity takes. The planning calendar uses that same per-work-type duration the other way round: given an agreed end date (a go-live, a post date, a launch), it computes the must-commence-by date as end date minus lead time, where lead time is the work’s expected duration plus the buffer for the client’s own feedback rounds (already modelled as client-side time by the pausable clock). Nothing new is estimated; the calendar is deadline derivation pointed backwards and surfaced as a date the client agrees to in advance rather than discovers too late.</w:t>
      </w:r>
    </w:p>
    <w:p>
      <w:pPr>
        <w:spacing w:after="120" w:line="276"/>
      </w:pPr>
      <w:r>
        <w:rPr>
          <w:rFonts w:ascii="Calibri" w:cs="Calibri" w:eastAsia="Calibri" w:hAnsi="Calibri"/>
          <w:i/>
          <w:iCs/>
          <w:color w:val="1A2332"/>
          <w:sz w:val="21"/>
          <w:szCs w:val="21"/>
        </w:rPr>
        <w:t xml:space="preserve">One object, two readings. </w:t>
      </w:r>
      <w:r>
        <w:rPr>
          <w:rFonts w:ascii="Calibri" w:cs="Calibri" w:eastAsia="Calibri" w:hAnsi="Calibri"/>
          <w:color w:val="1A2332"/>
          <w:sz w:val="21"/>
          <w:szCs w:val="21"/>
        </w:rPr>
        <w:t xml:space="preserve">Forward: “work starts today → it will be done by X.” Backward: “you want it live on X → work must start by Y.” Same lead-time number; the calendar is the backward reading made visible and enforceable.</w:t>
      </w:r>
    </w:p>
    <w:p>
      <w:pPr>
        <w:spacing w:after="120" w:line="276"/>
      </w:pPr>
      <w:r>
        <w:rPr>
          <w:rFonts w:ascii="Calibri" w:cs="Calibri" w:eastAsia="Calibri" w:hAnsi="Calibri"/>
          <w:b/>
          <w:bCs/>
          <w:color w:val="1A2332"/>
          <w:sz w:val="21"/>
          <w:szCs w:val="21"/>
        </w:rPr>
        <w:t xml:space="preserve">What it does. </w:t>
      </w:r>
      <w:r>
        <w:rPr>
          <w:rFonts w:ascii="Calibri" w:cs="Calibri" w:eastAsia="Calibri" w:hAnsi="Calibri"/>
          <w:color w:val="1A2332"/>
          <w:sz w:val="21"/>
          <w:szCs w:val="21"/>
        </w:rPr>
        <w:t xml:space="preserve">The calendar runs a simple loop:</w:t>
      </w:r>
    </w:p>
    <w:p>
      <w:pPr>
        <w:pStyle w:val="ListParagraph"/>
        <w:numPr>
          <w:ilvl w:val="0"/>
          <w:numId w:val="2"/>
        </w:numPr>
        <w:spacing w:after="70" w:line="268"/>
      </w:pPr>
      <w:r>
        <w:rPr>
          <w:rFonts w:ascii="Calibri" w:cs="Calibri" w:eastAsia="Calibri" w:hAnsi="Calibri"/>
          <w:b/>
          <w:bCs/>
          <w:color w:val="1A2332"/>
          <w:sz w:val="21"/>
          <w:szCs w:val="21"/>
        </w:rPr>
        <w:t xml:space="preserve">Agree the calendar up front</w:t>
      </w:r>
      <w:r>
        <w:rPr>
          <w:rFonts w:ascii="Calibri" w:cs="Calibri" w:eastAsia="Calibri" w:hAnsi="Calibri"/>
          <w:color w:val="1A2332"/>
          <w:sz w:val="21"/>
          <w:szCs w:val="21"/>
        </w:rPr>
        <w:t xml:space="preserve"> — Meridian and the client populate a shared annual calendar with known commitments. Entries can be firm (dated), provisional (a rough month or quarter, no brief yet), or recurring (retainer cadence — standing social volume, monthly deliverables), the last using the reservation-series pattern noted in Section 11.</w:t>
      </w:r>
    </w:p>
    <w:p>
      <w:pPr>
        <w:pStyle w:val="ListParagraph"/>
        <w:numPr>
          <w:ilvl w:val="0"/>
          <w:numId w:val="2"/>
        </w:numPr>
        <w:spacing w:after="70" w:line="268"/>
      </w:pPr>
      <w:r>
        <w:rPr>
          <w:rFonts w:ascii="Calibri" w:cs="Calibri" w:eastAsia="Calibri" w:hAnsi="Calibri"/>
          <w:b/>
          <w:bCs/>
          <w:color w:val="1A2332"/>
          <w:sz w:val="21"/>
          <w:szCs w:val="21"/>
        </w:rPr>
        <w:t xml:space="preserve">Compute commence-by dates automatically</w:t>
      </w:r>
      <w:r>
        <w:rPr>
          <w:rFonts w:ascii="Calibri" w:cs="Calibri" w:eastAsia="Calibri" w:hAnsi="Calibri"/>
          <w:color w:val="1A2332"/>
          <w:sz w:val="21"/>
          <w:szCs w:val="21"/>
        </w:rPr>
        <w:t xml:space="preserve"> — for every dated entry the system works backward through the work type’s lead time and marks the date work must begin to hit that end date at full quality, with no compression and full feedback rounds.</w:t>
      </w:r>
    </w:p>
    <w:p>
      <w:pPr>
        <w:pStyle w:val="ListParagraph"/>
        <w:numPr>
          <w:ilvl w:val="0"/>
          <w:numId w:val="2"/>
        </w:numPr>
        <w:spacing w:after="70" w:line="268"/>
      </w:pPr>
      <w:r>
        <w:rPr>
          <w:rFonts w:ascii="Calibri" w:cs="Calibri" w:eastAsia="Calibri" w:hAnsi="Calibri"/>
          <w:b/>
          <w:bCs/>
          <w:color w:val="1A2332"/>
          <w:sz w:val="21"/>
          <w:szCs w:val="21"/>
        </w:rPr>
        <w:t xml:space="preserve">Fire reminders as commence-by approaches</w:t>
      </w:r>
      <w:r>
        <w:rPr>
          <w:rFonts w:ascii="Calibri" w:cs="Calibri" w:eastAsia="Calibri" w:hAnsi="Calibri"/>
          <w:color w:val="1A2332"/>
          <w:sz w:val="21"/>
          <w:szCs w:val="21"/>
        </w:rPr>
        <w:t xml:space="preserve"> — the accountability instrument. As a commence-by date nears with no brief received, the system nudges the client first (in the portal), then the Meridian account manager. The message is concrete: “to hit your March 12 launch at full quality, the brief needs to land by February 20, and we have not received it.” Because the reminder is generated from the client’s own agreed calendar, it is the client’s plan holding them to account, not Meridian nagging.</w:t>
      </w:r>
    </w:p>
    <w:p>
      <w:pPr>
        <w:pStyle w:val="ListParagraph"/>
        <w:numPr>
          <w:ilvl w:val="0"/>
          <w:numId w:val="2"/>
        </w:numPr>
        <w:spacing w:after="70" w:line="268"/>
      </w:pPr>
      <w:r>
        <w:rPr>
          <w:rFonts w:ascii="Calibri" w:cs="Calibri" w:eastAsia="Calibri" w:hAnsi="Calibri"/>
          <w:b/>
          <w:bCs/>
          <w:color w:val="1A2332"/>
          <w:sz w:val="21"/>
          <w:szCs w:val="21"/>
        </w:rPr>
        <w:t xml:space="preserve">Capture the record</w:t>
      </w:r>
      <w:r>
        <w:rPr>
          <w:rFonts w:ascii="Calibri" w:cs="Calibri" w:eastAsia="Calibri" w:hAnsi="Calibri"/>
          <w:color w:val="1A2332"/>
          <w:sz w:val="21"/>
          <w:szCs w:val="21"/>
        </w:rPr>
        <w:t xml:space="preserve"> — if the client blows past the commence-by date and still demands the original deadline, that is now a logged, timestamped event: the calendar was agreed, the reminder fired, the brief was late. It feeds SLA attribution (Section 5.5) so a compressed timeline is provably client-caused — protecting the assignee’s performance score and giving Client Services a defensible artifact.</w:t>
      </w:r>
    </w:p>
    <w:p>
      <w:pPr>
        <w:spacing w:after="120" w:line="276"/>
      </w:pPr>
      <w:r>
        <w:rPr>
          <w:rFonts w:ascii="Calibri" w:cs="Calibri" w:eastAsia="Calibri" w:hAnsi="Calibri"/>
          <w:b/>
          <w:bCs/>
          <w:color w:val="1A2332"/>
          <w:sz w:val="21"/>
          <w:szCs w:val="21"/>
        </w:rPr>
        <w:t xml:space="preserve">Feeding the internal demand view. </w:t>
      </w:r>
      <w:r>
        <w:rPr>
          <w:rFonts w:ascii="Calibri" w:cs="Calibri" w:eastAsia="Calibri" w:hAnsi="Calibri"/>
          <w:color w:val="1A2332"/>
          <w:sz w:val="21"/>
          <w:szCs w:val="21"/>
        </w:rPr>
        <w:t xml:space="preserve">Because every entry carries a work type and an end date, the same calendar aggregated across all clients is Meridian’s demand forecast — expected load by discipline and by week, answering the capacity-planning question (“are we about to be underwater in production in March?”) as a byproduct of planning the clients themselves did. An established client’s expected demand assembles from three sources into one view: the retainer baseline (recurring entries), known upcoming campaigns (provisional entries), and historical cadence (what the client actually commissioned before, used to surface gaps — “last year you ran a Ramadan campaign; nothing is on the calendar yet this year” — as a prompt, never an auto-booking). This aggregate view is Meridian-only.</w:t>
      </w:r>
    </w:p>
    <w:p>
      <w:pPr>
        <w:spacing w:after="120" w:line="276"/>
      </w:pPr>
      <w:r>
        <w:rPr>
          <w:rFonts w:ascii="Calibri" w:cs="Calibri" w:eastAsia="Calibri" w:hAnsi="Calibri"/>
          <w:b/>
          <w:bCs/>
          <w:color w:val="1A2332"/>
          <w:sz w:val="21"/>
          <w:szCs w:val="21"/>
        </w:rPr>
        <w:t xml:space="preserve">Confidentiality — the split. </w:t>
      </w:r>
      <w:r>
        <w:rPr>
          <w:rFonts w:ascii="Calibri" w:cs="Calibri" w:eastAsia="Calibri" w:hAnsi="Calibri"/>
          <w:color w:val="1A2332"/>
          <w:sz w:val="21"/>
          <w:szCs w:val="21"/>
        </w:rPr>
        <w:t xml:space="preserve">The calendar sits on both sides of the client boundary, so the split is explicit and enforced by the same row- and field-level scoping as the rest of the portal. The client sees only its own calendar — its agreed dates, its commence-by triggers, its reminders. The client never sees Meridian’s aggregate demand view, Meridian’s capacity or utilization, any other client’s calendar or load, or how its work competes for shared resources: the client sees its row, Meridian sees the sum. This bears on Open Decision 20 (whether clients see internal dates): the commence-by date is safe to show because it is not an Meridian internal working deadline — it is the client’s own obligation, derived from the client’s own end date. It is “when your homework is due,” which keeps the reminder client-facing without leaking Meridian’s internal timeline.</w:t>
      </w:r>
    </w:p>
    <w:p>
      <w:pPr>
        <w:pStyle w:val="Heading3"/>
        <w:spacing w:after="80" w:before="180"/>
      </w:pPr>
      <w:r>
        <w:rPr>
          <w:rFonts w:ascii="Calibri" w:cs="Calibri" w:eastAsia="Calibri" w:hAnsi="Calibri"/>
          <w:b/>
          <w:bCs/>
          <w:color w:val="1A2332"/>
          <w:sz w:val="22"/>
          <w:szCs w:val="22"/>
        </w:rPr>
        <w:t xml:space="preserve">The campaign calendar in the portal</w:t>
      </w:r>
    </w:p>
    <w:p>
      <w:pPr>
        <w:spacing w:after="120" w:line="276"/>
      </w:pPr>
      <w:r>
        <w:rPr>
          <w:rFonts w:ascii="Calibri" w:cs="Calibri" w:eastAsia="Calibri" w:hAnsi="Calibri"/>
          <w:color w:val="1A2332"/>
          <w:sz w:val="21"/>
          <w:szCs w:val="21"/>
        </w:rPr>
        <w:t xml:space="preserve">The portal carries a second calendar surface beside the planning calendar: the campaign calendar, one for each of the client’s active campaigns (defined in Section 8.1). The planning calendar is the forward instrument — agree the year’s dates up front, get reminded when each brief must land. The campaign calendar is the client’s window onto a campaign already under way: its milestones and go-live dates as the work is produced, and each deliverable’s state as it progresses. Because every campaign automatically has one, there is nothing for an account manager to assemble per client and nothing that can be forgotten.</w:t>
      </w:r>
    </w:p>
    <w:p>
      <w:pPr>
        <w:spacing w:after="120" w:line="276"/>
      </w:pPr>
      <w:r>
        <w:rPr>
          <w:rFonts w:ascii="Calibri" w:cs="Calibri" w:eastAsia="Calibri" w:hAnsi="Calibri"/>
          <w:color w:val="1A2332"/>
          <w:sz w:val="21"/>
          <w:szCs w:val="21"/>
        </w:rPr>
        <w:t xml:space="preserve">What the client sees is the client-appropriate projection of the campaign’s schedule — milestones and delivery dates, not the internal working deadlines or SLA clock beneath them — held to exactly the exclusions that govern the rest of the portal: no capacity, no utilization, no other client’s work, no internal performance data. This is the same client-facing-dates posture reached for the planning calendar and Open Decision 20: the client sees when things are due to land, never Meridian’s internal timeline.</w:t>
      </w:r>
    </w:p>
    <w:p>
      <w:pPr>
        <w:spacing w:after="120" w:line="276"/>
      </w:pPr>
      <w:r>
        <w:rPr>
          <w:rFonts w:ascii="Calibri" w:cs="Calibri" w:eastAsia="Calibri" w:hAnsi="Calibri"/>
          <w:color w:val="1A2332"/>
          <w:sz w:val="21"/>
          <w:szCs w:val="21"/>
        </w:rPr>
        <w:t xml:space="preserve">The campaign calendar shows a reference link back to the planning-calendar entry the campaign was agreed under, so the client can move between “the year I agreed” and “this campaign as it runs.” The link is context only, not a sync (Section 8.1): a date that moves on one calendar does not silently move on the other. The planning calendar stays the agreed-commitment record; the campaign calendar tracks reality against it. Resolved (v15): the client’s campaign calendar exposes milestone and go-live dates only, not deliverable-level dates. These milestones were agreed with the client up front, so surfacing them adds no new commitment exposure, whereas deliverable-level detail would — so it stays internal. This matches the milestone-only posture of Open Decisions 19 and 20.</w:t>
      </w:r>
    </w:p>
    <w:tbl>
      <w:tblPr>
        <w:tblW w:type="dxa" w:w="9360"/>
        <w:tblBorders>
          <w:top w:val="single" w:color="FBF0E6" w:sz="2"/>
          <w:left w:val="single" w:color="8A5A2B" w:sz="24"/>
          <w:bottom w:val="single" w:color="FBF0E6" w:sz="2"/>
          <w:right w:val="single" w:color="FBF0E6" w:sz="2"/>
          <w:insideH w:val="none"/>
          <w:insideV w:val="none"/>
        </w:tblBorders>
      </w:tblPr>
      <w:tblGrid>
        <w:gridCol w:w="9360"/>
      </w:tblGrid>
      <w:tr>
        <w:tc>
          <w:tcPr>
            <w:tcW w:type="dxa" w:w="9360"/>
            <w:shd w:fill="FBF0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Open decisions — planning calendar</w:t>
            </w:r>
          </w:p>
          <w:p>
            <w:pPr>
              <w:spacing w:after="120" w:line="276"/>
            </w:pPr>
            <w:r>
              <w:rPr>
                <w:rFonts w:ascii="Calibri" w:cs="Calibri" w:eastAsia="Calibri" w:hAnsi="Calibri"/>
                <w:color w:val="1A2332"/>
                <w:sz w:val="20"/>
                <w:szCs w:val="20"/>
              </w:rPr>
              <w:t xml:space="preserve">Resolved at dev-plan time. (a) Lead time for provisional entries: a briefed campaign has a work type and therefore a lead time; a provisional “something in March” does not — does the client pick a rough work type, or does a default lead time apply until the brief firms it? (b) Reminder escalation ladder: how many nudges, at what intervals, and when it escalates from client-only to looping in the account manager — too aggressive trains people to ignore it, too soft defeats the purpose. (c) Entry ownership: can the client add and move entries freely, or does the account manager co-own them (client proposes, AM confirms) so a moved date is a logged negotiation rather than a silent edit? (d) Forecast weighting: whether provisional entries are weighted lower than firmed ones in the aggregate demand view, or shown as a separate band.</w:t>
            </w:r>
          </w:p>
        </w:tc>
      </w:tr>
    </w:tbl>
    <w:tbl>
      <w:tblPr>
        <w:tblW w:type="dxa" w:w="9360"/>
        <w:tblBorders>
          <w:top w:val="single" w:color="FBF0E6" w:sz="2"/>
          <w:left w:val="single" w:color="8A5A2B" w:sz="24"/>
          <w:bottom w:val="single" w:color="FBF0E6" w:sz="2"/>
          <w:right w:val="single" w:color="FBF0E6" w:sz="2"/>
          <w:insideH w:val="none"/>
          <w:insideV w:val="none"/>
        </w:tblBorders>
      </w:tblPr>
      <w:tblGrid>
        <w:gridCol w:w="9360"/>
      </w:tblGrid>
      <w:tr>
        <w:tc>
          <w:tcPr>
            <w:tcW w:type="dxa" w:w="9360"/>
            <w:shd w:fill="FBF0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Highest-risk surface — inherits disproportionate testing</w:t>
            </w:r>
          </w:p>
          <w:p>
            <w:pPr>
              <w:spacing w:after="120" w:line="276"/>
            </w:pPr>
            <w:r>
              <w:rPr>
                <w:rFonts w:ascii="Calibri" w:cs="Calibri" w:eastAsia="Calibri" w:hAnsi="Calibri"/>
                <w:color w:val="1A2332"/>
                <w:sz w:val="20"/>
                <w:szCs w:val="20"/>
              </w:rPr>
              <w:t xml:space="preserve">The client portal is an external-facing access path into a system whose default posture is internal. Like the joint-project RLS (10.4), it is a place where a scoping bug is a confidentiality breach — here, leaking Meridian internals or another client’s work to an outside party. It therefore inherits the same disproportionate-testing flag: every tile, thread, deliverable, and media URL reachable through the portal must correctly answer “is this field client-visible, and is it this client’s own work?” The portal’s advantage over the joint-project case is that visibility is strictly one-directional and read-mostly (observe, comment, approve — never allocate or configure), which bounds the surface. But external reachability raises the consequence of any leak, so it is designed and tested with the same care as the two-part RLS, not less.</w:t>
            </w:r>
          </w:p>
        </w:tc>
      </w:tr>
    </w:tbl>
    <w:p>
      <w:pPr>
        <w:pStyle w:val="Heading2"/>
        <w:spacing w:after="100" w:before="240"/>
      </w:pPr>
      <w:r>
        <w:rPr>
          <w:rFonts w:ascii="Calibri" w:cs="Calibri" w:eastAsia="Calibri" w:hAnsi="Calibri"/>
          <w:b/>
          <w:bCs/>
          <w:color w:val="2C5F7C"/>
          <w:sz w:val="25"/>
          <w:szCs w:val="25"/>
        </w:rPr>
        <w:t xml:space="preserve">10.3 Isolation — the default</w:t>
      </w:r>
    </w:p>
    <w:p>
      <w:pPr>
        <w:pStyle w:val="ListParagraph"/>
        <w:numPr>
          <w:ilvl w:val="0"/>
          <w:numId w:val="2"/>
        </w:numPr>
        <w:spacing w:after="70" w:line="268"/>
      </w:pPr>
      <w:r>
        <w:rPr>
          <w:rFonts w:ascii="Calibri" w:cs="Calibri" w:eastAsia="Calibri" w:hAnsi="Calibri"/>
          <w:b/>
          <w:bCs/>
          <w:color w:val="1A2332"/>
          <w:sz w:val="21"/>
          <w:szCs w:val="21"/>
        </w:rPr>
        <w:t xml:space="preserve">Tenant boundary on every table</w:t>
      </w:r>
      <w:r>
        <w:rPr>
          <w:rFonts w:ascii="Calibri" w:cs="Calibri" w:eastAsia="Calibri" w:hAnsi="Calibri"/>
          <w:color w:val="1A2332"/>
          <w:sz w:val="21"/>
          <w:szCs w:val="21"/>
        </w:rPr>
        <w:t xml:space="preserve"> — on Supabase, enforced through Row-Level Security so isolation is structural, not application-dependent.</w:t>
      </w:r>
    </w:p>
    <w:p>
      <w:pPr>
        <w:pStyle w:val="ListParagraph"/>
        <w:numPr>
          <w:ilvl w:val="0"/>
          <w:numId w:val="2"/>
        </w:numPr>
        <w:spacing w:after="70" w:line="268"/>
      </w:pPr>
      <w:r>
        <w:rPr>
          <w:rFonts w:ascii="Calibri" w:cs="Calibri" w:eastAsia="Calibri" w:hAnsi="Calibri"/>
          <w:b/>
          <w:bCs/>
          <w:color w:val="1A2332"/>
          <w:sz w:val="21"/>
          <w:szCs w:val="21"/>
        </w:rPr>
        <w:t xml:space="preserve">Configurability over hard-coding</w:t>
      </w:r>
      <w:r>
        <w:rPr>
          <w:rFonts w:ascii="Calibri" w:cs="Calibri" w:eastAsia="Calibri" w:hAnsi="Calibri"/>
          <w:color w:val="1A2332"/>
          <w:sz w:val="21"/>
          <w:szCs w:val="21"/>
        </w:rPr>
        <w:t xml:space="preserve"> — SLA profiles, capacity rules, approval workflows, and the work-type taxonomy become per-customer configuration.</w:t>
      </w:r>
    </w:p>
    <w:p>
      <w:pPr>
        <w:pStyle w:val="ListParagraph"/>
        <w:numPr>
          <w:ilvl w:val="0"/>
          <w:numId w:val="2"/>
        </w:numPr>
        <w:spacing w:after="70" w:line="268"/>
      </w:pPr>
      <w:r>
        <w:rPr>
          <w:rFonts w:ascii="Calibri" w:cs="Calibri" w:eastAsia="Calibri" w:hAnsi="Calibri"/>
          <w:b/>
          <w:bCs/>
          <w:color w:val="1A2332"/>
          <w:sz w:val="21"/>
          <w:szCs w:val="21"/>
        </w:rPr>
        <w:t xml:space="preserve">Clean data ownership &amp; export</w:t>
      </w:r>
      <w:r>
        <w:rPr>
          <w:rFonts w:ascii="Calibri" w:cs="Calibri" w:eastAsia="Calibri" w:hAnsi="Calibri"/>
          <w:color w:val="1A2332"/>
          <w:sz w:val="21"/>
          <w:szCs w:val="21"/>
        </w:rPr>
        <w:t xml:space="preserve"> — commercial customers will require portable, isolated data; reinforces building on fully-owned infrastructure.</w:t>
      </w:r>
    </w:p>
    <w:p>
      <w:pPr>
        <w:spacing w:after="120" w:line="276"/>
      </w:pPr>
      <w:r>
        <w:rPr>
          <w:rFonts w:ascii="Calibri" w:cs="Calibri" w:eastAsia="Calibri" w:hAnsi="Calibri"/>
          <w:color w:val="1A2332"/>
          <w:sz w:val="21"/>
          <w:szCs w:val="21"/>
        </w:rPr>
        <w:t xml:space="preserve">Tenancy model: </w:t>
      </w:r>
      <w:r>
        <w:rPr>
          <w:rFonts w:ascii="Calibri" w:cs="Calibri" w:eastAsia="Calibri" w:hAnsi="Calibri"/>
          <w:b/>
          <w:bCs/>
          <w:color w:val="1A2332"/>
          <w:sz w:val="21"/>
          <w:szCs w:val="21"/>
        </w:rPr>
        <w:t xml:space="preserve">shared-schema-with-RLS</w:t>
      </w:r>
      <w:r>
        <w:rPr>
          <w:rFonts w:ascii="Calibri" w:cs="Calibri" w:eastAsia="Calibri" w:hAnsi="Calibri"/>
          <w:color w:val="1A2332"/>
          <w:sz w:val="21"/>
          <w:szCs w:val="21"/>
        </w:rPr>
        <w:t xml:space="preserve">, now firmly decided — peer-tenant collaboration is far harder under schema-per-tenant, so the collaboration requirement settles the model.</w:t>
      </w:r>
    </w:p>
    <w:p>
      <w:pPr>
        <w:pStyle w:val="Heading2"/>
        <w:spacing w:after="100" w:before="240"/>
      </w:pPr>
      <w:r>
        <w:rPr>
          <w:rFonts w:ascii="Calibri" w:cs="Calibri" w:eastAsia="Calibri" w:hAnsi="Calibri"/>
          <w:b/>
          <w:bCs/>
          <w:color w:val="2C5F7C"/>
          <w:sz w:val="25"/>
          <w:szCs w:val="25"/>
        </w:rPr>
        <w:t xml:space="preserve">10.4 Joint projects — symmetric shared workspace, single host</w:t>
      </w:r>
    </w:p>
    <w:p>
      <w:pPr>
        <w:spacing w:after="120" w:line="276"/>
      </w:pPr>
      <w:r>
        <w:rPr>
          <w:rFonts w:ascii="Calibri" w:cs="Calibri" w:eastAsia="Calibri" w:hAnsi="Calibri"/>
          <w:color w:val="1A2332"/>
          <w:sz w:val="21"/>
          <w:szCs w:val="21"/>
        </w:rPr>
        <w:t xml:space="preserve">For the one or two peer-tenant collaborations, a joint project is a genuinely shared workspace, not a host-owned project with a guest looking in. Because Meridian and the peer share the workload, both sides allocate their own resources and both need to see resources allocated, progress, and communications on the shared work. Visibility is bidirectional — but bounded.</w:t>
      </w:r>
    </w:p>
    <w:p>
      <w:pPr>
        <w:pStyle w:val="Heading3"/>
        <w:spacing w:after="80" w:before="180"/>
      </w:pPr>
      <w:r>
        <w:rPr>
          <w:rFonts w:ascii="Calibri" w:cs="Calibri" w:eastAsia="Calibri" w:hAnsi="Calibri"/>
          <w:b/>
          <w:bCs/>
          <w:color w:val="1A2332"/>
          <w:sz w:val="22"/>
          <w:szCs w:val="22"/>
        </w:rPr>
        <w:t xml:space="preserve">One nominal host owns; both sides operate</w:t>
      </w:r>
    </w:p>
    <w:p>
      <w:pPr>
        <w:spacing w:after="120" w:line="276"/>
      </w:pPr>
      <w:r>
        <w:rPr>
          <w:rFonts w:ascii="Calibri" w:cs="Calibri" w:eastAsia="Calibri" w:hAnsi="Calibri"/>
          <w:color w:val="1A2332"/>
          <w:sz w:val="21"/>
          <w:szCs w:val="21"/>
        </w:rPr>
        <w:t xml:space="preserve">Each joint project has a single nominal host tenant that owns its configuration — SLA profiles, approval rules, work-type setup, and the final say. This keeps authority unambiguous (no “whose rules when they differ” deadlock) while work and visibility remain shared both ways. Shared operation, single ownership.</w:t>
      </w:r>
    </w:p>
    <w:p>
      <w:pPr>
        <w:pStyle w:val="Heading3"/>
        <w:spacing w:after="80" w:before="180"/>
      </w:pPr>
      <w:r>
        <w:rPr>
          <w:rFonts w:ascii="Calibri" w:cs="Calibri" w:eastAsia="Calibri" w:hAnsi="Calibri"/>
          <w:b/>
          <w:bCs/>
          <w:color w:val="1A2332"/>
          <w:sz w:val="22"/>
          <w:szCs w:val="22"/>
        </w:rPr>
        <w:t xml:space="preserve">Bidirectional but bounded visibility</w:t>
      </w:r>
    </w:p>
    <w:p>
      <w:pPr>
        <w:spacing w:after="120" w:line="276"/>
      </w:pPr>
      <w:r>
        <w:rPr>
          <w:rFonts w:ascii="Calibri" w:cs="Calibri" w:eastAsia="Calibri" w:hAnsi="Calibri"/>
          <w:color w:val="1A2332"/>
          <w:sz w:val="21"/>
          <w:szCs w:val="21"/>
        </w:rPr>
        <w:t xml:space="preserve">Within a joint project, each tenant sees the shared work — the other side's allocations on this project, shared progress and milestones, and shared threads. Neither sees the other's </w:t>
      </w:r>
      <w:r>
        <w:rPr>
          <w:rFonts w:ascii="Calibri" w:cs="Calibri" w:eastAsia="Calibri" w:hAnsi="Calibri"/>
          <w:i/>
          <w:iCs/>
          <w:color w:val="1A2332"/>
          <w:sz w:val="21"/>
          <w:szCs w:val="21"/>
        </w:rPr>
        <w:t xml:space="preserve">unrelated</w:t>
      </w:r>
      <w:r>
        <w:rPr>
          <w:rFonts w:ascii="Calibri" w:cs="Calibri" w:eastAsia="Calibri" w:hAnsi="Calibri"/>
          <w:color w:val="1A2332"/>
          <w:sz w:val="21"/>
          <w:szCs w:val="21"/>
        </w:rPr>
        <w:t xml:space="preserve"> internal data: not internal rates, capacity ceilings, other clients, other projects, or performance data. “Shared” is per-field and per-record, evaluated symmetrically for both tenants — some data crosses the boundary, most never does.</w:t>
      </w:r>
    </w:p>
    <w:p>
      <w:pPr>
        <w:pStyle w:val="ListParagraph"/>
        <w:numPr>
          <w:ilvl w:val="0"/>
          <w:numId w:val="2"/>
        </w:numPr>
        <w:spacing w:after="70" w:line="268"/>
      </w:pPr>
      <w:r>
        <w:rPr>
          <w:rFonts w:ascii="Calibri" w:cs="Calibri" w:eastAsia="Calibri" w:hAnsi="Calibri"/>
          <w:b/>
          <w:bCs/>
          <w:color w:val="1A2332"/>
          <w:sz w:val="21"/>
          <w:szCs w:val="21"/>
        </w:rPr>
        <w:t xml:space="preserve">Resources</w:t>
      </w:r>
      <w:r>
        <w:rPr>
          <w:rFonts w:ascii="Calibri" w:cs="Calibri" w:eastAsia="Calibri" w:hAnsi="Calibri"/>
          <w:color w:val="1A2332"/>
          <w:sz w:val="21"/>
          <w:szCs w:val="21"/>
        </w:rPr>
        <w:t xml:space="preserve"> — a joint project's schedule is the union of both tenants' allocations. Each side manages only its own resources (you cannot book the other company's people) but both see the combined picture. Allocations on a joint project are tenant-tagged.</w:t>
      </w:r>
    </w:p>
    <w:p>
      <w:pPr>
        <w:pStyle w:val="ListParagraph"/>
        <w:numPr>
          <w:ilvl w:val="0"/>
          <w:numId w:val="2"/>
        </w:numPr>
        <w:spacing w:after="70" w:line="268"/>
      </w:pPr>
      <w:r>
        <w:rPr>
          <w:rFonts w:ascii="Calibri" w:cs="Calibri" w:eastAsia="Calibri" w:hAnsi="Calibri"/>
          <w:b/>
          <w:bCs/>
          <w:color w:val="1A2332"/>
          <w:sz w:val="21"/>
          <w:szCs w:val="21"/>
        </w:rPr>
        <w:t xml:space="preserve">Progress</w:t>
      </w:r>
      <w:r>
        <w:rPr>
          <w:rFonts w:ascii="Calibri" w:cs="Calibri" w:eastAsia="Calibri" w:hAnsi="Calibri"/>
          <w:color w:val="1A2332"/>
          <w:sz w:val="21"/>
          <w:szCs w:val="21"/>
        </w:rPr>
        <w:t xml:space="preserve"> — the joint project's status, milestones, and deliverable states are shared, and it appears on both tenants' dashboards and exception feeds — showing the shared work's health, never the other side's internal capacity.</w:t>
      </w:r>
    </w:p>
    <w:p>
      <w:pPr>
        <w:pStyle w:val="ListParagraph"/>
        <w:numPr>
          <w:ilvl w:val="0"/>
          <w:numId w:val="2"/>
        </w:numPr>
        <w:spacing w:after="70" w:line="268"/>
      </w:pPr>
      <w:r>
        <w:rPr>
          <w:rFonts w:ascii="Calibri" w:cs="Calibri" w:eastAsia="Calibri" w:hAnsi="Calibri"/>
          <w:b/>
          <w:bCs/>
          <w:color w:val="1A2332"/>
          <w:sz w:val="21"/>
          <w:szCs w:val="21"/>
        </w:rPr>
        <w:t xml:space="preserve">Communications</w:t>
      </w:r>
      <w:r>
        <w:rPr>
          <w:rFonts w:ascii="Calibri" w:cs="Calibri" w:eastAsia="Calibri" w:hAnsi="Calibri"/>
          <w:color w:val="1A2332"/>
          <w:sz w:val="21"/>
          <w:szCs w:val="21"/>
        </w:rPr>
        <w:t xml:space="preserve"> — chat on a joint project is cross-tenant by default: a shared workspace conversation both companies join. Internal-only threads are the exception each side can keep private.</w:t>
      </w:r>
    </w:p>
    <w:p>
      <w:pPr>
        <w:pStyle w:val="Heading3"/>
        <w:spacing w:after="80" w:before="180"/>
      </w:pPr>
      <w:r>
        <w:rPr>
          <w:rFonts w:ascii="Calibri" w:cs="Calibri" w:eastAsia="Calibri" w:hAnsi="Calibri"/>
          <w:b/>
          <w:bCs/>
          <w:color w:val="1A2332"/>
          <w:sz w:val="22"/>
          <w:szCs w:val="22"/>
        </w:rPr>
        <w:t xml:space="preserve">Cross-tenant identity &amp; the two-part RLS</w:t>
      </w:r>
    </w:p>
    <w:p>
      <w:pPr>
        <w:spacing w:after="120" w:line="276"/>
      </w:pPr>
      <w:r>
        <w:rPr>
          <w:rFonts w:ascii="Calibri" w:cs="Calibri" w:eastAsia="Calibri" w:hAnsi="Calibri"/>
          <w:color w:val="1A2332"/>
          <w:sz w:val="21"/>
          <w:szCs w:val="21"/>
        </w:rPr>
        <w:t xml:space="preserve">A collaborator is a full user in their own tenant, granted a scoped role into the shared project — home-tenant identity plus a project-scoped grant; their home role does not carry over. Row-level security becomes: “your tenant's rows, </w:t>
      </w:r>
      <w:r>
        <w:rPr>
          <w:rFonts w:ascii="Calibri" w:cs="Calibri" w:eastAsia="Calibri" w:hAnsi="Calibri"/>
          <w:i/>
          <w:iCs/>
          <w:color w:val="1A2332"/>
          <w:sz w:val="21"/>
          <w:szCs w:val="21"/>
        </w:rPr>
        <w:t xml:space="preserve">plus</w:t>
      </w:r>
      <w:r>
        <w:rPr>
          <w:rFonts w:ascii="Calibri" w:cs="Calibri" w:eastAsia="Calibri" w:hAnsi="Calibri"/>
          <w:color w:val="1A2332"/>
          <w:sz w:val="21"/>
          <w:szCs w:val="21"/>
        </w:rPr>
        <w:t xml:space="preserve"> joint-project rows you are granted, with per-field rules about what crosses the boundary, evaluated symmetrically for both tenants.” This is the system's most security-critical layer.</w:t>
      </w:r>
    </w:p>
    <w:tbl>
      <w:tblPr>
        <w:tblW w:type="dxa" w:w="9360"/>
        <w:tblBorders>
          <w:top w:val="single" w:color="FBF0E6" w:sz="2"/>
          <w:left w:val="single" w:color="8A5A2B" w:sz="24"/>
          <w:bottom w:val="single" w:color="FBF0E6" w:sz="2"/>
          <w:right w:val="single" w:color="FBF0E6" w:sz="2"/>
          <w:insideH w:val="none"/>
          <w:insideV w:val="none"/>
        </w:tblBorders>
      </w:tblPr>
      <w:tblGrid>
        <w:gridCol w:w="9360"/>
      </w:tblGrid>
      <w:tr>
        <w:tc>
          <w:tcPr>
            <w:tcW w:type="dxa" w:w="9360"/>
            <w:shd w:fill="FBF0E6" w:val="clear"/>
            <w:tcMar>
              <w:top w:type="dxa" w:w="120"/>
              <w:left w:type="dxa" w:w="200"/>
              <w:bottom w:type="dxa" w:w="120"/>
              <w:right w:type="dxa" w:w="200"/>
            </w:tcMar>
          </w:tcPr>
          <w:p>
            <w:pPr>
              <w:spacing w:after="60"/>
            </w:pPr>
            <w:r>
              <w:rPr>
                <w:rFonts w:ascii="Calibri" w:cs="Calibri" w:eastAsia="Calibri" w:hAnsi="Calibri"/>
                <w:b/>
                <w:bCs/>
                <w:caps/>
                <w:color w:val="8A5A2B"/>
                <w:sz w:val="20"/>
                <w:szCs w:val="20"/>
              </w:rPr>
              <w:t xml:space="preserve">Highest-risk surface — disproportionate testing required</w:t>
            </w:r>
          </w:p>
          <w:p>
            <w:pPr>
              <w:spacing w:after="120" w:line="276"/>
            </w:pPr>
            <w:r>
              <w:rPr>
                <w:rFonts w:ascii="Calibri" w:cs="Calibri" w:eastAsia="Calibri" w:hAnsi="Calibri"/>
                <w:color w:val="1A2332"/>
                <w:sz w:val="20"/>
                <w:szCs w:val="20"/>
              </w:rPr>
              <w:t xml:space="preserve">Symmetric bidirectional sharing is the highest-risk surface in the system. With visibility running both ways and both sides allocating resources and communicating, every resource view, progress roll-up, thread, and dashboard tile on a joint project must correctly answer “which side is this, and is this field shared or internal?” The two-part, per-field, symmetric RLS is the enforcement boundary; a bug here is a cross-tenant data leak, the most serious failure the system can have. This surface warrants the most careful design and disproportionate testing relative to how simple it looks — it is both the highest-value collaboration feature and the highest-consequence place for a leak.</w:t>
            </w:r>
          </w:p>
        </w:tc>
      </w:tr>
    </w:tbl>
    <w:p>
      <w:pPr>
        <w:pStyle w:val="Heading1"/>
        <w:spacing w:after="140" w:before="360"/>
      </w:pPr>
      <w:r>
        <w:rPr>
          <w:rFonts w:ascii="Calibri" w:cs="Calibri" w:eastAsia="Calibri" w:hAnsi="Calibri"/>
          <w:b/>
          <w:bCs/>
          <w:color w:val="1A2332"/>
          <w:sz w:val="30"/>
          <w:szCs w:val="30"/>
        </w:rPr>
        <w:t xml:space="preserve">11. Open Decisions</w:t>
      </w:r>
    </w:p>
    <w:p>
      <w:pPr>
        <w:spacing w:after="120" w:line="276"/>
      </w:pPr>
      <w:r>
        <w:rPr>
          <w:rFonts w:ascii="Calibri" w:cs="Calibri" w:eastAsia="Calibri" w:hAnsi="Calibri"/>
          <w:color w:val="1A2332"/>
          <w:sz w:val="21"/>
          <w:szCs w:val="21"/>
        </w:rPr>
        <w:t xml:space="preserve">Deliberately unresolved items, collected for follow-up. These are design-thinking decisions best made before code generation, since ambiguity here causes rework.</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500"/>
        <w:gridCol w:w="3860"/>
        <w:gridCol w:w="5000"/>
      </w:tblGrid>
      <w:tr>
        <w:trPr>
          <w:tblHeader/>
        </w:trPr>
        <w:tc>
          <w:tcPr>
            <w:tcW w:type="dxa" w:w="5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386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Open decision</w:t>
            </w:r>
          </w:p>
        </w:tc>
        <w:tc>
          <w:tcPr>
            <w:tcW w:type="dxa" w:w="50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Notes / leaning</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1</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Full list of human-resource accountability types</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The single highest-leverage item. For each role: deliverable-SLA, response-SLA, outcome/target, coverage, measured-elsewhere, or none. Resolves most structural questions at once.</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2</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Is accountability in scope for v1, or a later phase?</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Plausible that v1 ships scheduling + capacity + billing for all resource types, with accountability profiles (starting creative SLAs) as phase 2. Lets the universal layer ship and be validated first.</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3</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Tenancy model</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Shared-schema-with-RLS vs. schema-per-tenant. Now firmly leaning shared-schema, since invited-tenant collaboration effectively requires it.</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4</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Deadline authority (bespoke jobs)</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Who sets/changes deadlines; changes after start logged as scope-change events, not silent edits.</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5</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Pause-state control</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Self-service vs. approval-required. Leaning self-service logged as a visible, reversible claim.</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6</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Performance aggregation policy</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How SLA outcomes roll into a metric (weighting, near-miss vs. severe, credit for beating deadlines).</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7</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Do support/non-creative roles need any SLA at all?</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Determines whether the SLA engine is one-with-variations or a broader accountability framework.</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8</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Billing: build vs. embed — RESOLVED</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RESOLVED (finance questionnaire, A. Sye, Finance Lead): no billing engine. Finance runs Odoo and wants the platform to feed it, not replace it. The platform produces a period-locked export (import file + readable report) rather than issuing invoices. This settles the layer as an export/interface, detailed in §9.5.</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9</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Role surfaces: fixed vs. configurable</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Fixed role-based views for v1, structured to become configurable per-customer role surfaces later. Confirm the role list itself.</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10</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Exception triggers: automatic vs. manual flag</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How something becomes a surfaced exception on a dashboard. Leaning both: automatic thresholds plus a manual at-risk flag that itself becomes an exception.</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11</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Health-as-a-measure governance</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Once department/company health is visible to leadership, it becomes a de facto measure of leads. Reward honest amber over fake green; design health to expose hidden problems.</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12</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Joint-project rule authority</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RESOLVED: a single nominal host tenant owns each joint project's configuration and rules, while work and visibility are shared bidirectionally.</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13</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Cross-tenant performance attribution</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Whether performance on joint work counts, and for whom (host, peer, both). Affects the accountability model on shared projects. Still open.</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14</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Real-time chat scaling</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Confirm consolidated Supabase subscriptions (per tenant/project) resolve the fan-out/cost issue before considering SpacetimeDB as a dedicated real-time layer.</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15</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Media master retention window</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How long client contracts / legal require the actual delivered master to be reproducible. Sets the cold-storage window; past it, proxy-only.</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16</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Intermediate-version masters</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Whether full masters of rejected intermediate cuts must be kept, or only approved finals as masters (intermediates as proxies). Biggest storage variable.</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17</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Editor upload formats</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Web-ready MP4 (small bespoke review layer, maybe no transcoding) vs. raw masters e.g. ProRes (needs a transcoding step, or lean on Frame.io for video). Decides build size.</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18</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Frame.io coupling depth</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Link-out (cheap, minimal build) vs. deep API integration (pulls review status into the accountability dashboard, but likely needs Frame.io's Enterprise tier). Start link-out.</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19</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Client-portal approval granularity — RESOLVED (v15)</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RESOLVED (v15): clients approve at the milestone/stream level — it matches how clients think (“sign off the shoot,” not each cut) and lines up with the milestone-only campaign-calendar exposure (§8.1, §10.2). Deliverable-level detail is still captured internally via the Tier-2 review record, and milestone approval roll-up feeds campaign health (Section 6).</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20</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Do clients see deadlines / timelines? — RESOLVED (v15)</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RESOLVED (v15): the portal shows client-facing milestone and go-live dates only, never internal working deadlines or the SLA clock. Because the deliverable milestones were agreed with the client up front, exposing them creates no new commitment risk while giving the client a real schedule; deliverable-level dates and all internal capacity signal stay hidden.</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21</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Client-portal v1 sub-step ordering</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Confirmed in the MVP (it upgrades attribution from AM-logged to captured-at-source, Section 5.5/10.2), but the MVP itself decomposes into logical sub-steps. Open: whether the portal ships as one unit or the three portal actions (monitor → feedback → approve) sequence across sub-steps, and in what order relative to the internal Tier-2 review it rides on. Resolved when the detailed dev plan is drawn up.</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22</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Planning-calendar scope &amp; phasing</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The portal planning calendar (§10.2) depends on the portal, work-type lead times (§5.4), and recurring entries all existing first — so it is a post-portal phase, not MVP. The campaign calendar is different: the internal campaign-calendar projection is MVP — it only reads the streams, deliverables, milestones and SLA-derived dates the schema already holds and stores no new scheduling data — and the client-portal campaign calendar rides with the portal itself. Neither depends on the planning calendar, backward lead-time planning, or recurring entries, so the campaign calendar is not deferred alongside the planning calendar. Its own open decisions (provisional-entry lead time, reminder escalation, entry ownership, forecast weighting) are listed in §10.2. Confirmed as a client-portal feature, not a separate surface.</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23</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Odoo import template / code format</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Finance answered “nothing specific required currently,” so the analytic-account code is nullable free-text for now. Open: the exact import template and whether analytic-account codes must be validated to match Odoo exactly. Firm up once Finance confirms the template.</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24</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Finance export — push vs. pull</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Whether the daily export is pushed on a schedule (an Edge Function writes the file / posts to Finance) or pulled on demand (Finance downloads when needed). Leaning scheduled push with a manual on-demand re-run, both respecting the month-end lock.</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25</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Deck version granularity — session vs. save</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Collabora saves periodically during an editing session, so a long multi-contributor session produces many PutFile callbacks. Versioning every callback creates noise; versioning only on close risks loss. Leaning session-collapsed versions with a forced version at approval and at client delivery. Resolve at dev-plan time.</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26</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Collabora deployment — CODE image vs. build from source</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The convenience CODE image carries a 10-document / 20-connection cap and is stated as unsuitable for deployment; the licence (MPL 2.0) has no such limit. Production therefore needs a source build or a supported subscription (€3/user/month, which buys support rather than the software). Weigh solo-maintenance burden of self-building against a per-user fee this platform exists to avoid. Note: largely settled by Open Decision 29 — the edit-event patch forces a source build regardless.</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27</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Huddle recording consent — jurisdictional policy</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Recording is default-on with notice, a visible indicator, and an audited creator opt-out. Open: whether a per-tenant or per-jurisdiction policy switch is needed given operations across Iraq, UAE and Egypt plus client participants elsewhere. Needs a real answer before external participants are recorded, not a checkbox.</w:t>
            </w:r>
          </w:p>
        </w:tc>
      </w:tr>
      <w:tr>
        <w:tc>
          <w:tcPr>
            <w:tcW w:type="dxa" w:w="500"/>
            <w:shd w:fill="EEF2F5" w:val="clear"/>
            <w:tcMar>
              <w:top w:type="dxa" w:w="50"/>
              <w:left w:type="dxa" w:w="100"/>
              <w:bottom w:type="dxa" w:w="50"/>
              <w:right w:type="dxa" w:w="100"/>
            </w:tcMar>
          </w:tcPr>
          <w:p>
            <w:r>
              <w:rPr>
                <w:rFonts w:ascii="Calibri" w:cs="Calibri" w:eastAsia="Calibri" w:hAnsi="Calibri"/>
                <w:color w:val="1A2332"/>
                <w:sz w:val="19"/>
                <w:szCs w:val="19"/>
              </w:rPr>
              <w:t xml:space="preserve">28</w:t>
            </w:r>
          </w:p>
        </w:tc>
        <w:tc>
          <w:tcPr>
            <w:tcW w:type="dxa" w:w="3860"/>
            <w:shd w:fill="EEF2F5" w:val="clear"/>
            <w:tcMar>
              <w:top w:type="dxa" w:w="50"/>
              <w:left w:type="dxa" w:w="100"/>
              <w:bottom w:type="dxa" w:w="50"/>
              <w:right w:type="dxa" w:w="100"/>
            </w:tcMar>
          </w:tcPr>
          <w:p>
            <w:r>
              <w:rPr>
                <w:rFonts w:ascii="Calibri" w:cs="Calibri" w:eastAsia="Calibri" w:hAnsi="Calibri"/>
                <w:color w:val="1A2332"/>
                <w:sz w:val="19"/>
                <w:szCs w:val="19"/>
              </w:rPr>
              <w:t xml:space="preserve">LiveKit — TURN and Egress deployment</w:t>
            </w:r>
          </w:p>
        </w:tc>
        <w:tc>
          <w:tcPr>
            <w:tcW w:type="dxa" w:w="5000"/>
            <w:shd w:fill="EEF2F5" w:val="clear"/>
            <w:tcMar>
              <w:top w:type="dxa" w:w="50"/>
              <w:left w:type="dxa" w:w="100"/>
              <w:bottom w:type="dxa" w:w="50"/>
              <w:right w:type="dxa" w:w="100"/>
            </w:tcMar>
          </w:tcPr>
          <w:p>
            <w:r>
              <w:rPr>
                <w:rFonts w:ascii="Calibri" w:cs="Calibri" w:eastAsia="Calibri" w:hAnsi="Calibri"/>
                <w:color w:val="1A2332"/>
                <w:sz w:val="19"/>
                <w:szCs w:val="19"/>
              </w:rPr>
              <w:t xml:space="preserve">Self-hosted LiveKit requires coturn configured separately; corporate firewalls are where WebRTC fails and client-side joins from restricted networks are the case that must work. Egress is a separate service with its own resource footprint. Untested — run a connectivity and recording test as Collabora was tested before committing.</w:t>
            </w:r>
          </w:p>
        </w:tc>
      </w:tr>
      <w:tr>
        <w:tc>
          <w:tcPr>
            <w:tcW w:type="dxa" w:w="500"/>
            <w:shd w:fill="FFFFFF" w:val="clear"/>
            <w:tcMar>
              <w:top w:type="dxa" w:w="50"/>
              <w:left w:type="dxa" w:w="100"/>
              <w:bottom w:type="dxa" w:w="50"/>
              <w:right w:type="dxa" w:w="100"/>
            </w:tcMar>
          </w:tcPr>
          <w:p>
            <w:r>
              <w:rPr>
                <w:rFonts w:ascii="Calibri" w:cs="Calibri" w:eastAsia="Calibri" w:hAnsi="Calibri"/>
                <w:color w:val="1A2332"/>
                <w:sz w:val="19"/>
                <w:szCs w:val="19"/>
              </w:rPr>
              <w:t xml:space="preserve">29</w:t>
            </w:r>
          </w:p>
        </w:tc>
        <w:tc>
          <w:tcPr>
            <w:tcW w:type="dxa" w:w="3860"/>
            <w:shd w:fill="FFFFFF" w:val="clear"/>
            <w:tcMar>
              <w:top w:type="dxa" w:w="50"/>
              <w:left w:type="dxa" w:w="100"/>
              <w:bottom w:type="dxa" w:w="50"/>
              <w:right w:type="dxa" w:w="100"/>
            </w:tcMar>
          </w:tcPr>
          <w:p>
            <w:r>
              <w:rPr>
                <w:rFonts w:ascii="Calibri" w:cs="Calibri" w:eastAsia="Calibri" w:hAnsi="Calibri"/>
                <w:color w:val="1A2332"/>
                <w:sz w:val="19"/>
                <w:szCs w:val="19"/>
              </w:rPr>
              <w:t xml:space="preserve">Collabora edit-event patch — scope and upstreaming</w:t>
            </w:r>
          </w:p>
        </w:tc>
        <w:tc>
          <w:tcPr>
            <w:tcW w:type="dxa" w:w="5000"/>
            <w:shd w:fill="FFFFFF" w:val="clear"/>
            <w:tcMar>
              <w:top w:type="dxa" w:w="50"/>
              <w:left w:type="dxa" w:w="100"/>
              <w:bottom w:type="dxa" w:w="50"/>
              <w:right w:type="dxa" w:w="100"/>
            </w:tcMar>
          </w:tcPr>
          <w:p>
            <w:r>
              <w:rPr>
                <w:rFonts w:ascii="Calibri" w:cs="Calibri" w:eastAsia="Calibri" w:hAnsi="Calibri"/>
                <w:color w:val="1A2332"/>
                <w:sz w:val="19"/>
                <w:szCs w:val="19"/>
              </w:rPr>
              <w:t xml:space="preserve">Slide-level audit attribution requires patching Collabora to emit per-user edit events (§8.4). Open: what LibreOfficeKit knows at broadcast (object/coordinate vs. slide identity) — read the source before estimating; whether to emit per-edit or per-interval-per-slide; and whether to attempt upstreaming to escape permanent rebase cost. This decision supersedes OD 26 — patching forces the source-build route.</w:t>
            </w:r>
          </w:p>
        </w:tc>
      </w:tr>
    </w:tbl>
    <w:p>
      <w:pPr>
        <w:pStyle w:val="Heading1"/>
        <w:spacing w:after="140" w:before="360"/>
      </w:pPr>
      <w:r>
        <w:rPr>
          <w:rFonts w:ascii="Calibri" w:cs="Calibri" w:eastAsia="Calibri" w:hAnsi="Calibri"/>
          <w:b/>
          <w:bCs/>
          <w:color w:val="1A2332"/>
          <w:sz w:val="30"/>
          <w:szCs w:val="30"/>
        </w:rPr>
        <w:t xml:space="preserve">12. Indicative Phasing</w:t>
      </w:r>
    </w:p>
    <w:p>
      <w:pPr>
        <w:spacing w:after="120" w:line="276"/>
      </w:pPr>
      <w:r>
        <w:rPr>
          <w:rFonts w:ascii="Calibri" w:cs="Calibri" w:eastAsia="Calibri" w:hAnsi="Calibri"/>
          <w:color w:val="1A2332"/>
          <w:sz w:val="21"/>
          <w:szCs w:val="21"/>
        </w:rPr>
        <w:t xml:space="preserve">Phasing separates what ships when at the surface from what the schema must assume from the start. The scheduling surface ships first for practical reasons, but the accountability engine is the spine (Section 1) — the data model assumes it from day one even though its user-facing surfaces arrive in a later phase. Timeline assumes a solo developer working with heavy AI assistance.</w:t>
      </w:r>
    </w:p>
    <w:tbl>
      <w:tblPr>
        <w:tblW w:type="dxa" w:w="9360"/>
        <w:tblBorders>
          <w:top w:val="single" w:color="C8D2DA" w:sz="2"/>
          <w:left w:val="single" w:color="C8D2DA" w:sz="2"/>
          <w:bottom w:val="single" w:color="C8D2DA" w:sz="2"/>
          <w:right w:val="single" w:color="C8D2DA" w:sz="2"/>
          <w:insideH w:val="single" w:color="C8D2DA" w:sz="2"/>
          <w:insideV w:val="single" w:color="C8D2DA" w:sz="2"/>
        </w:tblBorders>
      </w:tblPr>
      <w:tblGrid>
        <w:gridCol w:w="1400"/>
        <w:gridCol w:w="6360"/>
        <w:gridCol w:w="1600"/>
      </w:tblGrid>
      <w:tr>
        <w:trPr>
          <w:tblHeader/>
        </w:trPr>
        <w:tc>
          <w:tcPr>
            <w:tcW w:type="dxa" w:w="14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dxa" w:w="636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Scope</w:t>
            </w:r>
          </w:p>
        </w:tc>
        <w:tc>
          <w:tcPr>
            <w:tcW w:type="dxa" w:w="1600"/>
            <w:shd w:fill="2C5F7C" w:val="clear"/>
            <w:tcMar>
              <w:top w:type="dxa" w:w="60"/>
              <w:left w:type="dxa" w:w="100"/>
              <w:bottom w:type="dxa" w:w="60"/>
              <w:right w:type="dxa" w:w="100"/>
            </w:tcMar>
          </w:tcPr>
          <w:p>
            <w:r>
              <w:rPr>
                <w:rFonts w:ascii="Calibri" w:cs="Calibri" w:eastAsia="Calibri" w:hAnsi="Calibri"/>
                <w:b/>
                <w:bCs/>
                <w:color w:val="FFFFFF"/>
                <w:sz w:val="19"/>
                <w:szCs w:val="19"/>
              </w:rPr>
              <w:t xml:space="preserve">Indicative time</w:t>
            </w:r>
          </w:p>
        </w:tc>
      </w:tr>
      <w:tr>
        <w:tc>
          <w:tcPr>
            <w:tcW w:type="dxa" w:w="1400"/>
            <w:shd w:fill="FFFFFF" w:val="clear"/>
            <w:tcMar>
              <w:top w:type="dxa" w:w="50"/>
              <w:left w:type="dxa" w:w="100"/>
              <w:bottom w:type="dxa" w:w="50"/>
              <w:right w:type="dxa" w:w="100"/>
            </w:tcMar>
          </w:tcPr>
          <w:p>
            <w:r>
              <w:rPr>
                <w:rFonts w:ascii="Calibri" w:cs="Calibri" w:eastAsia="Calibri" w:hAnsi="Calibri"/>
                <w:color w:val="1A2332"/>
                <w:sz w:val="19"/>
                <w:szCs w:val="19"/>
              </w:rPr>
              <w:t xml:space="preserve">MVP</w:t>
            </w:r>
          </w:p>
        </w:tc>
        <w:tc>
          <w:tcPr>
            <w:tcW w:type="dxa" w:w="6360"/>
            <w:shd w:fill="FFFFFF" w:val="clear"/>
            <w:tcMar>
              <w:top w:type="dxa" w:w="50"/>
              <w:left w:type="dxa" w:w="100"/>
              <w:bottom w:type="dxa" w:w="50"/>
              <w:right w:type="dxa" w:w="100"/>
            </w:tcMar>
          </w:tcPr>
          <w:p>
            <w:r>
              <w:rPr>
                <w:rFonts w:ascii="Calibri" w:cs="Calibri" w:eastAsia="Calibri" w:hAnsi="Calibri"/>
                <w:color w:val="1A2332"/>
                <w:sz w:val="19"/>
                <w:szCs w:val="19"/>
              </w:rPr>
              <w:t xml:space="preserve">Resource model + capacity, scheduling (timeline), bookings, approval routing, role-scoped views, the individual action-surface dashboard, auth/roles, tenant isolation with joint-project sharing, accountability-ready schema (including the Odoo analytic-account code field, dual cost/charge rate columns, and the ad-hoc job shape with its optional campaign and source-deliverable links, so neither finance keys nor job shapes are retrofitted later), and the scoped client portal (monitor / feedback / approve — capturing client-sourced attribution at source), plus the campaign calendar as a read-only projection over each campaign’s streams, deliverables and milestones (no new scheduling data). The MVP itself decomposes into logical sub-steps at dev-plan time; the portal rides on the Tier-2 review record and need not land in a single step (Open Decision 21)</w:t>
            </w:r>
          </w:p>
        </w:tc>
        <w:tc>
          <w:tcPr>
            <w:tcW w:type="dxa" w:w="1600"/>
            <w:shd w:fill="FFFFFF" w:val="clear"/>
            <w:tcMar>
              <w:top w:type="dxa" w:w="50"/>
              <w:left w:type="dxa" w:w="100"/>
              <w:bottom w:type="dxa" w:w="50"/>
              <w:right w:type="dxa" w:w="100"/>
            </w:tcMar>
          </w:tcPr>
          <w:p>
            <w:r>
              <w:rPr>
                <w:rFonts w:ascii="Calibri" w:cs="Calibri" w:eastAsia="Calibri" w:hAnsi="Calibri"/>
                <w:color w:val="1A2332"/>
                <w:sz w:val="19"/>
                <w:szCs w:val="19"/>
              </w:rPr>
              <w:t xml:space="preserve">~2–4 weeks</w:t>
            </w:r>
          </w:p>
        </w:tc>
      </w:tr>
      <w:tr>
        <w:tc>
          <w:tcPr>
            <w:tcW w:type="dxa" w:w="1400"/>
            <w:shd w:fill="EEF2F5" w:val="clear"/>
            <w:tcMar>
              <w:top w:type="dxa" w:w="50"/>
              <w:left w:type="dxa" w:w="100"/>
              <w:bottom w:type="dxa" w:w="50"/>
              <w:right w:type="dxa" w:w="100"/>
            </w:tcMar>
          </w:tcPr>
          <w:p>
            <w:r>
              <w:rPr>
                <w:rFonts w:ascii="Calibri" w:cs="Calibri" w:eastAsia="Calibri" w:hAnsi="Calibri"/>
                <w:color w:val="1A2332"/>
                <w:sz w:val="19"/>
                <w:szCs w:val="19"/>
              </w:rPr>
              <w:t xml:space="preserve">Full v1</w:t>
            </w:r>
          </w:p>
        </w:tc>
        <w:tc>
          <w:tcPr>
            <w:tcW w:type="dxa" w:w="6360"/>
            <w:shd w:fill="EEF2F5" w:val="clear"/>
            <w:tcMar>
              <w:top w:type="dxa" w:w="50"/>
              <w:left w:type="dxa" w:w="100"/>
              <w:bottom w:type="dxa" w:w="50"/>
              <w:right w:type="dxa" w:w="100"/>
            </w:tcMar>
          </w:tcPr>
          <w:p>
            <w:r>
              <w:rPr>
                <w:rFonts w:ascii="Calibri" w:cs="Calibri" w:eastAsia="Calibri" w:hAnsi="Calibri"/>
                <w:color w:val="1A2332"/>
                <w:sz w:val="19"/>
                <w:szCs w:val="19"/>
              </w:rPr>
              <w:t xml:space="preserve">Adds time tracking, billing/rates, utilization, notifications, reporting, and the oversight exception feed (team-lead dashboard), contextual chat, brief-driven job creation (campaign/stream/deliverable), and Tier-2 media review (pinned image + timecoded video comments), collaborative deck editing via Collabora (§8.4), huddles with recording via LiveKit (§7.4), the finance export to Odoo (period-locked import file + readable report; §9.5), edge-case hardening</w:t>
            </w:r>
          </w:p>
        </w:tc>
        <w:tc>
          <w:tcPr>
            <w:tcW w:type="dxa" w:w="1600"/>
            <w:shd w:fill="EEF2F5" w:val="clear"/>
            <w:tcMar>
              <w:top w:type="dxa" w:w="50"/>
              <w:left w:type="dxa" w:w="100"/>
              <w:bottom w:type="dxa" w:w="50"/>
              <w:right w:type="dxa" w:w="100"/>
            </w:tcMar>
          </w:tcPr>
          <w:p>
            <w:r>
              <w:rPr>
                <w:rFonts w:ascii="Calibri" w:cs="Calibri" w:eastAsia="Calibri" w:hAnsi="Calibri"/>
                <w:color w:val="1A2332"/>
                <w:sz w:val="19"/>
                <w:szCs w:val="19"/>
              </w:rPr>
              <w:t xml:space="preserve">~6–10 weeks total</w:t>
            </w:r>
          </w:p>
        </w:tc>
      </w:tr>
      <w:tr>
        <w:tc>
          <w:tcPr>
            <w:tcW w:type="dxa" w:w="1400"/>
            <w:shd w:fill="FFFFFF" w:val="clear"/>
            <w:tcMar>
              <w:top w:type="dxa" w:w="50"/>
              <w:left w:type="dxa" w:w="100"/>
              <w:bottom w:type="dxa" w:w="50"/>
              <w:right w:type="dxa" w:w="100"/>
            </w:tcMar>
          </w:tcPr>
          <w:p>
            <w:r>
              <w:rPr>
                <w:rFonts w:ascii="Calibri" w:cs="Calibri" w:eastAsia="Calibri" w:hAnsi="Calibri"/>
                <w:color w:val="1A2332"/>
                <w:sz w:val="19"/>
                <w:szCs w:val="19"/>
              </w:rPr>
              <w:t xml:space="preserve">Phase 2</w:t>
            </w:r>
          </w:p>
        </w:tc>
        <w:tc>
          <w:tcPr>
            <w:tcW w:type="dxa" w:w="6360"/>
            <w:shd w:fill="FFFFFF" w:val="clear"/>
            <w:tcMar>
              <w:top w:type="dxa" w:w="50"/>
              <w:left w:type="dxa" w:w="100"/>
              <w:bottom w:type="dxa" w:w="50"/>
              <w:right w:type="dxa" w:w="100"/>
            </w:tcMar>
          </w:tcPr>
          <w:p>
            <w:r>
              <w:rPr>
                <w:rFonts w:ascii="Calibri" w:cs="Calibri" w:eastAsia="Calibri" w:hAnsi="Calibri"/>
                <w:color w:val="1A2332"/>
                <w:sz w:val="19"/>
                <w:szCs w:val="19"/>
              </w:rPr>
              <w:t xml:space="preserve">Accountability surfaces: profiles (creative SLAs first), SLA→performance linkage, audit trail, and department/company health dashboards, full cross-tenant collaboration hardening, media storage lifecycle/tiering, and any deferred Tier-3 media review</w:t>
            </w:r>
          </w:p>
        </w:tc>
        <w:tc>
          <w:tcPr>
            <w:tcW w:type="dxa" w:w="1600"/>
            <w:shd w:fill="FFFFFF" w:val="clear"/>
            <w:tcMar>
              <w:top w:type="dxa" w:w="50"/>
              <w:left w:type="dxa" w:w="100"/>
              <w:bottom w:type="dxa" w:w="50"/>
              <w:right w:type="dxa" w:w="100"/>
            </w:tcMar>
          </w:tcPr>
          <w:p>
            <w:r>
              <w:rPr>
                <w:rFonts w:ascii="Calibri" w:cs="Calibri" w:eastAsia="Calibri" w:hAnsi="Calibri"/>
                <w:color w:val="1A2332"/>
                <w:sz w:val="19"/>
                <w:szCs w:val="19"/>
              </w:rPr>
              <w:t xml:space="preserve">After v1 validated in use</w:t>
            </w:r>
          </w:p>
        </w:tc>
      </w:tr>
    </w:tbl>
    <w:p>
      <w:pPr>
        <w:spacing w:after="80"/>
      </w:pPr>
    </w:p>
    <w:p>
      <w:pPr>
        <w:spacing w:after="120" w:line="276"/>
      </w:pPr>
      <w:r>
        <w:rPr>
          <w:rFonts w:ascii="Calibri" w:cs="Calibri" w:eastAsia="Calibri" w:hAnsi="Calibri"/>
          <w:color w:val="1A2332"/>
          <w:sz w:val="21"/>
          <w:szCs w:val="21"/>
        </w:rPr>
        <w:t xml:space="preserve">Note on estimates: the last 20% (the genuinely hard real-world cases — a booking spanning a holiday, partially cancelled, needing re-approval) takes longer than a demo suggests. The domain edge cases — timezone/DST handling, SLA clock rules across business vs. calendar hours, billing rounding and rate precedence — are cheap to write and expensive to get subtly wrong. Over-specify these before building. </w:t>
      </w:r>
      <w:r>
        <w:rPr>
          <w:rFonts w:ascii="Calibri" w:cs="Calibri" w:eastAsia="Calibri" w:hAnsi="Calibri"/>
          <w:i/>
          <w:iCs/>
          <w:color w:val="5A6472"/>
          <w:sz w:val="21"/>
          <w:szCs w:val="21"/>
        </w:rPr>
        <w:t xml:space="preserve">Treat all timings as indicative.</w:t>
      </w:r>
    </w:p>
    <w:p>
      <w:pPr>
        <w:pStyle w:val="Heading1"/>
        <w:spacing w:after="140" w:before="360"/>
      </w:pPr>
      <w:r>
        <w:rPr>
          <w:rFonts w:ascii="Calibri" w:cs="Calibri" w:eastAsia="Calibri" w:hAnsi="Calibri"/>
          <w:b/>
          <w:bCs/>
          <w:color w:val="1A2332"/>
          <w:sz w:val="30"/>
          <w:szCs w:val="30"/>
        </w:rPr>
        <w:t xml:space="preserve">13. Key Risks &amp; Watch-Items</w:t>
      </w:r>
    </w:p>
    <w:p>
      <w:pPr>
        <w:pStyle w:val="ListParagraph"/>
        <w:numPr>
          <w:ilvl w:val="0"/>
          <w:numId w:val="2"/>
        </w:numPr>
        <w:spacing w:after="70" w:line="268"/>
      </w:pPr>
      <w:r>
        <w:rPr>
          <w:rFonts w:ascii="Calibri" w:cs="Calibri" w:eastAsia="Calibri" w:hAnsi="Calibri"/>
          <w:b/>
          <w:bCs/>
          <w:color w:val="1A2332"/>
          <w:sz w:val="21"/>
          <w:szCs w:val="21"/>
        </w:rPr>
        <w:t xml:space="preserve">Single point of knowledge</w:t>
      </w:r>
      <w:r>
        <w:rPr>
          <w:rFonts w:ascii="Calibri" w:cs="Calibri" w:eastAsia="Calibri" w:hAnsi="Calibri"/>
          <w:color w:val="1A2332"/>
          <w:sz w:val="21"/>
          <w:szCs w:val="21"/>
        </w:rPr>
        <w:t xml:space="preserve"> — a solo build means one person holds the context. Mitigate from day one with real documentation and clean data export, so the organization is not hostage to one person.</w:t>
      </w:r>
    </w:p>
    <w:p>
      <w:pPr>
        <w:pStyle w:val="ListParagraph"/>
        <w:numPr>
          <w:ilvl w:val="0"/>
          <w:numId w:val="2"/>
        </w:numPr>
        <w:spacing w:after="70" w:line="268"/>
      </w:pPr>
      <w:r>
        <w:rPr>
          <w:rFonts w:ascii="Calibri" w:cs="Calibri" w:eastAsia="Calibri" w:hAnsi="Calibri"/>
          <w:b/>
          <w:bCs/>
          <w:color w:val="1A2332"/>
          <w:sz w:val="21"/>
          <w:szCs w:val="21"/>
        </w:rPr>
        <w:t xml:space="preserve">Complexity leaking to the surface</w:t>
      </w:r>
      <w:r>
        <w:rPr>
          <w:rFonts w:ascii="Calibri" w:cs="Calibri" w:eastAsia="Calibri" w:hAnsi="Calibri"/>
          <w:color w:val="1A2332"/>
          <w:sz w:val="21"/>
          <w:szCs w:val="21"/>
        </w:rPr>
        <w:t xml:space="preserve"> — the primary product risk. Enforced by the Surface vs. Engine contract and by role scoping: each role must do its whole job without seeing another role's controls. Validated only through testing with real users doing real tasks.</w:t>
      </w:r>
    </w:p>
    <w:p>
      <w:pPr>
        <w:pStyle w:val="ListParagraph"/>
        <w:numPr>
          <w:ilvl w:val="0"/>
          <w:numId w:val="2"/>
        </w:numPr>
        <w:spacing w:after="70" w:line="268"/>
      </w:pPr>
      <w:r>
        <w:rPr>
          <w:rFonts w:ascii="Calibri" w:cs="Calibri" w:eastAsia="Calibri" w:hAnsi="Calibri"/>
          <w:b/>
          <w:bCs/>
          <w:color w:val="1A2332"/>
          <w:sz w:val="21"/>
          <w:szCs w:val="21"/>
        </w:rPr>
        <w:t xml:space="preserve">Role-scope leakage</w:t>
      </w:r>
      <w:r>
        <w:rPr>
          <w:rFonts w:ascii="Calibri" w:cs="Calibri" w:eastAsia="Calibri" w:hAnsi="Calibri"/>
          <w:color w:val="1A2332"/>
          <w:sz w:val="21"/>
          <w:szCs w:val="21"/>
        </w:rPr>
        <w:t xml:space="preserve"> — if a narrow role (e.g. creative) is ever forced to touch a control belonging to another (e.g. capacity ceilings), the simplicity guarantee breaks. This is the specific failure mode to watch in every feature.</w:t>
      </w:r>
    </w:p>
    <w:p>
      <w:pPr>
        <w:pStyle w:val="ListParagraph"/>
        <w:numPr>
          <w:ilvl w:val="0"/>
          <w:numId w:val="2"/>
        </w:numPr>
        <w:spacing w:after="70" w:line="268"/>
      </w:pPr>
      <w:r>
        <w:rPr>
          <w:rFonts w:ascii="Calibri" w:cs="Calibri" w:eastAsia="Calibri" w:hAnsi="Calibri"/>
          <w:b/>
          <w:bCs/>
          <w:color w:val="1A2332"/>
          <w:sz w:val="21"/>
          <w:szCs w:val="21"/>
        </w:rPr>
        <w:t xml:space="preserve">Copyleft contamination</w:t>
      </w:r>
      <w:r>
        <w:rPr>
          <w:rFonts w:ascii="Calibri" w:cs="Calibri" w:eastAsia="Calibri" w:hAnsi="Calibri"/>
          <w:color w:val="1A2332"/>
          <w:sz w:val="21"/>
          <w:szCs w:val="21"/>
        </w:rPr>
        <w:t xml:space="preserve"> — avoided by treating references as design-only and filtering all embedded libraries for permissive licenses.</w:t>
      </w:r>
    </w:p>
    <w:p>
      <w:pPr>
        <w:pStyle w:val="ListParagraph"/>
        <w:numPr>
          <w:ilvl w:val="0"/>
          <w:numId w:val="2"/>
        </w:numPr>
        <w:spacing w:after="70" w:line="268"/>
      </w:pPr>
      <w:r>
        <w:rPr>
          <w:rFonts w:ascii="Calibri" w:cs="Calibri" w:eastAsia="Calibri" w:hAnsi="Calibri"/>
          <w:b/>
          <w:bCs/>
          <w:color w:val="1A2332"/>
          <w:sz w:val="21"/>
          <w:szCs w:val="21"/>
        </w:rPr>
        <w:t xml:space="preserve">Cross-tenant data leak</w:t>
      </w:r>
      <w:r>
        <w:rPr>
          <w:rFonts w:ascii="Calibri" w:cs="Calibri" w:eastAsia="Calibri" w:hAnsi="Calibri"/>
          <w:color w:val="1A2332"/>
          <w:sz w:val="21"/>
          <w:szCs w:val="21"/>
        </w:rPr>
        <w:t xml:space="preserve"> — the most serious failure mode once joint projects exist. The two-part RLS (own rows plus granted joint-project rows, field-filtered) is the enforcement boundary; joint-project access paths get extra testing and review.</w:t>
      </w:r>
    </w:p>
    <w:p>
      <w:pPr>
        <w:pStyle w:val="ListParagraph"/>
        <w:numPr>
          <w:ilvl w:val="0"/>
          <w:numId w:val="2"/>
        </w:numPr>
        <w:spacing w:after="70" w:line="268"/>
      </w:pPr>
      <w:r>
        <w:rPr>
          <w:rFonts w:ascii="Calibri" w:cs="Calibri" w:eastAsia="Calibri" w:hAnsi="Calibri"/>
          <w:b/>
          <w:bCs/>
          <w:color w:val="1A2332"/>
          <w:sz w:val="21"/>
          <w:szCs w:val="21"/>
        </w:rPr>
        <w:t xml:space="preserve">Client-portal confidentiality leak</w:t>
      </w:r>
      <w:r>
        <w:rPr>
          <w:rFonts w:ascii="Calibri" w:cs="Calibri" w:eastAsia="Calibri" w:hAnsi="Calibri"/>
          <w:color w:val="1A2332"/>
          <w:sz w:val="21"/>
          <w:szCs w:val="21"/>
        </w:rPr>
        <w:t xml:space="preserve"> — the portal (Section 10.2) is an external-facing path into an internally-postured system, so a scoping bug leaks Meridian internals or another client’s work to an outside party. Visibility is strictly one-directional and read-mostly, which bounds the surface, but external reachability raises the consequence. It inherits the same disproportionate-testing flag as the joint-project RLS: every portal-reachable tile, thread, deliverable, and signed media URL must be verified to expose only this client’s own, client-visible fields.</w:t>
      </w:r>
    </w:p>
    <w:p>
      <w:pPr>
        <w:pStyle w:val="ListParagraph"/>
        <w:numPr>
          <w:ilvl w:val="0"/>
          <w:numId w:val="2"/>
        </w:numPr>
        <w:spacing w:after="70" w:line="268"/>
      </w:pPr>
      <w:r>
        <w:rPr>
          <w:rFonts w:ascii="Calibri" w:cs="Calibri" w:eastAsia="Calibri" w:hAnsi="Calibri"/>
          <w:b/>
          <w:bCs/>
          <w:color w:val="1A2332"/>
          <w:sz w:val="21"/>
          <w:szCs w:val="21"/>
        </w:rPr>
        <w:t xml:space="preserve">Real-time as source of truth</w:t>
      </w:r>
      <w:r>
        <w:rPr>
          <w:rFonts w:ascii="Calibri" w:cs="Calibri" w:eastAsia="Calibri" w:hAnsi="Calibri"/>
          <w:color w:val="1A2332"/>
          <w:sz w:val="21"/>
          <w:szCs w:val="21"/>
        </w:rPr>
        <w:t xml:space="preserve"> — avoided by persisting chat to Postgres and treating Realtime as delivery only, so a dropped frame is a re-fetch, not lost data or a broken audit trail.</w:t>
      </w:r>
    </w:p>
    <w:p>
      <w:pPr>
        <w:pStyle w:val="ListParagraph"/>
        <w:numPr>
          <w:ilvl w:val="0"/>
          <w:numId w:val="2"/>
        </w:numPr>
        <w:spacing w:after="70" w:line="268"/>
      </w:pPr>
      <w:r>
        <w:rPr>
          <w:rFonts w:ascii="Calibri" w:cs="Calibri" w:eastAsia="Calibri" w:hAnsi="Calibri"/>
          <w:b/>
          <w:bCs/>
          <w:color w:val="1A2332"/>
          <w:sz w:val="21"/>
          <w:szCs w:val="21"/>
        </w:rPr>
        <w:t xml:space="preserve">Media storage cost</w:t>
      </w:r>
      <w:r>
        <w:rPr>
          <w:rFonts w:ascii="Calibri" w:cs="Calibri" w:eastAsia="Calibri" w:hAnsi="Calibri"/>
          <w:color w:val="1A2332"/>
          <w:sz w:val="21"/>
          <w:szCs w:val="21"/>
        </w:rPr>
        <w:t xml:space="preserve"> — video volume and repeated-review egress are the cost risk. Contained by splitting cheap permanent metadata history from tiered media (hot → cold → proxy-only), decoupling media to egress-cheap storage (B2/R2 behind a CDN), and a retention policy set by contract/legal — not by keeping every master hot forever.</w:t>
      </w:r>
    </w:p>
    <w:p>
      <w:pPr>
        <w:pStyle w:val="ListParagraph"/>
        <w:numPr>
          <w:ilvl w:val="0"/>
          <w:numId w:val="2"/>
        </w:numPr>
        <w:spacing w:after="70" w:line="268"/>
      </w:pPr>
      <w:r>
        <w:rPr>
          <w:rFonts w:ascii="Calibri" w:cs="Calibri" w:eastAsia="Calibri" w:hAnsi="Calibri"/>
          <w:b/>
          <w:bCs/>
          <w:color w:val="1A2332"/>
          <w:sz w:val="21"/>
          <w:szCs w:val="21"/>
        </w:rPr>
        <w:t xml:space="preserve">Performance-metric gaming</w:t>
      </w:r>
      <w:r>
        <w:rPr>
          <w:rFonts w:ascii="Calibri" w:cs="Calibri" w:eastAsia="Calibri" w:hAnsi="Calibri"/>
          <w:color w:val="1A2332"/>
          <w:sz w:val="21"/>
          <w:szCs w:val="21"/>
        </w:rPr>
        <w:t xml:space="preserve"> — once SLAs feed rewards, incentives distort. Counterweights and visible audit trails are required, not optional.</w:t>
      </w:r>
    </w:p>
    <w:p>
      <w:pPr>
        <w:pStyle w:val="ListParagraph"/>
        <w:numPr>
          <w:ilvl w:val="0"/>
          <w:numId w:val="2"/>
        </w:numPr>
        <w:spacing w:after="70" w:line="268"/>
      </w:pPr>
      <w:r>
        <w:rPr>
          <w:rFonts w:ascii="Calibri" w:cs="Calibri" w:eastAsia="Calibri" w:hAnsi="Calibri"/>
          <w:b/>
          <w:bCs/>
          <w:color w:val="1A2332"/>
          <w:sz w:val="21"/>
          <w:szCs w:val="21"/>
        </w:rPr>
        <w:t xml:space="preserve">Finance-export integrity</w:t>
      </w:r>
      <w:r>
        <w:rPr>
          <w:rFonts w:ascii="Calibri" w:cs="Calibri" w:eastAsia="Calibri" w:hAnsi="Calibri"/>
          <w:color w:val="1A2332"/>
          <w:sz w:val="21"/>
          <w:szCs w:val="21"/>
        </w:rPr>
        <w:t xml:space="preserve"> — once the export feeds Odoo and drives invoicing and payroll, a wrong figure or a leak across the month-end lock is a financial error, not a display glitch. The period-lock boundary, the cost-vs-charge rate distinction, and the analytic-account mapping each need testing against Finance’s close; a locked period must be provably frozen.</w:t>
      </w:r>
    </w:p>
    <w:p>
      <w:pPr>
        <w:pStyle w:val="ListParagraph"/>
        <w:numPr>
          <w:ilvl w:val="0"/>
          <w:numId w:val="2"/>
        </w:numPr>
        <w:spacing w:after="70" w:line="268"/>
      </w:pPr>
      <w:r>
        <w:rPr>
          <w:rFonts w:ascii="Calibri" w:cs="Calibri" w:eastAsia="Calibri" w:hAnsi="Calibri"/>
          <w:b/>
          <w:bCs/>
          <w:color w:val="1A2332"/>
          <w:sz w:val="21"/>
          <w:szCs w:val="21"/>
        </w:rPr>
        <w:t xml:space="preserve">Deck editing is a live dependency</w:t>
      </w:r>
      <w:r>
        <w:rPr>
          <w:rFonts w:ascii="Calibri" w:cs="Calibri" w:eastAsia="Calibri" w:hAnsi="Calibri"/>
          <w:color w:val="1A2332"/>
          <w:sz w:val="21"/>
          <w:szCs w:val="21"/>
        </w:rPr>
        <w:t xml:space="preserve"> — hosting the deck in-platform means Collabora sits on the critical path of client-facing creative work. Fidelity round-tripped cleanly in test, but the test was one deck; a format regression, an upgrade, or an unsupported construct in a future deck degrades the artifact that goes to the client. Keep the PowerPoint escape hatch explicit — download, edit natively, re-upload — and re-test fidelity on upgrade rather than assuming it holds.</w:t>
      </w:r>
    </w:p>
    <w:p>
      <w:pPr>
        <w:pStyle w:val="ListParagraph"/>
        <w:numPr>
          <w:ilvl w:val="0"/>
          <w:numId w:val="2"/>
        </w:numPr>
        <w:spacing w:after="70" w:line="268"/>
      </w:pPr>
      <w:r>
        <w:rPr>
          <w:rFonts w:ascii="Calibri" w:cs="Calibri" w:eastAsia="Calibri" w:hAnsi="Calibri"/>
          <w:b/>
          <w:bCs/>
          <w:color w:val="1A2332"/>
          <w:sz w:val="21"/>
          <w:szCs w:val="21"/>
        </w:rPr>
        <w:t xml:space="preserve">Recorded voice is a liability surface</w:t>
      </w:r>
      <w:r>
        <w:rPr>
          <w:rFonts w:ascii="Calibri" w:cs="Calibri" w:eastAsia="Calibri" w:hAnsi="Calibri"/>
          <w:color w:val="1A2332"/>
          <w:sz w:val="21"/>
          <w:szCs w:val="21"/>
        </w:rPr>
        <w:t xml:space="preserve"> — huddle audio is the most sensitive data the platform will hold: unguarded speech, client voices, several jurisdictions. Consent notice, the visible indicator, and the audited opt-out are the controls, but a playback-rights bug leaks a conversation rather than a field. Treat huddle recordings with the same disproportionate testing as the joint-project RLS boundary (§10.4), and resolve the consent policy (Open Decision 27) before any external participant is recorded.</w:t>
      </w:r>
    </w:p>
    <w:p>
      <w:pPr>
        <w:pStyle w:val="ListParagraph"/>
        <w:numPr>
          <w:ilvl w:val="0"/>
          <w:numId w:val="2"/>
        </w:numPr>
        <w:spacing w:after="70" w:line="268"/>
      </w:pPr>
      <w:r>
        <w:rPr>
          <w:rFonts w:ascii="Calibri" w:cs="Calibri" w:eastAsia="Calibri" w:hAnsi="Calibri"/>
          <w:b/>
          <w:bCs/>
          <w:color w:val="1A2332"/>
          <w:sz w:val="21"/>
          <w:szCs w:val="21"/>
        </w:rPr>
        <w:t xml:space="preserve">Carrying a C++ patch</w:t>
      </w:r>
      <w:r>
        <w:rPr>
          <w:rFonts w:ascii="Calibri" w:cs="Calibri" w:eastAsia="Calibri" w:hAnsi="Calibri"/>
          <w:color w:val="1A2332"/>
          <w:sz w:val="21"/>
          <w:szCs w:val="21"/>
        </w:rPr>
        <w:t xml:space="preserve"> — the edit-event patch (§8.4) puts this team in the position of maintaining a fork of a large C++ codebase it did not write, rebased on every upgrade, as a solo developer. This is the single most open-ended maintenance commitment in the plan. Upstreaming is the only real exit; attempt it early rather than after the fork has diverged. If upstreaming fails and the rebase cost proves unsustainable, the fallback is session correlation (inferred attribution) with the audit-grade claim withdrawn — which is a product decision, not a technical one, and should be taken knowingly.</w:t>
      </w:r>
    </w:p>
    <w:p>
      <w:pPr>
        <w:pStyle w:val="ListParagraph"/>
        <w:numPr>
          <w:ilvl w:val="0"/>
          <w:numId w:val="2"/>
        </w:numPr>
        <w:spacing w:after="70" w:line="268"/>
      </w:pPr>
      <w:r>
        <w:rPr>
          <w:rFonts w:ascii="Calibri" w:cs="Calibri" w:eastAsia="Calibri" w:hAnsi="Calibri"/>
          <w:b/>
          <w:bCs/>
          <w:color w:val="1A2332"/>
          <w:sz w:val="21"/>
          <w:szCs w:val="21"/>
        </w:rPr>
        <w:t xml:space="preserve">Retrofit costs</w:t>
      </w:r>
      <w:r>
        <w:rPr>
          <w:rFonts w:ascii="Calibri" w:cs="Calibri" w:eastAsia="Calibri" w:hAnsi="Calibri"/>
          <w:color w:val="1A2332"/>
          <w:sz w:val="21"/>
          <w:szCs w:val="21"/>
        </w:rPr>
        <w:t xml:space="preserve"> — multi-tenancy and clean attribution are expensive to add later; both are designed in from the start.</w:t>
      </w:r>
    </w:p>
    <w:p>
      <w:pPr>
        <w:spacing w:before="300"/>
      </w:pPr>
    </w:p>
    <w:p>
      <w:pPr>
        <w:pBdr>
          <w:top w:val="single" w:color="C8D2DA" w:sz="6"/>
        </w:pBdr>
        <w:spacing w:after="100" w:before="200"/>
      </w:pPr>
    </w:p>
    <w:p>
      <w:pPr>
        <w:spacing w:after="120" w:line="276"/>
      </w:pPr>
      <w:r>
        <w:rPr>
          <w:rFonts w:ascii="Calibri" w:cs="Calibri" w:eastAsia="Calibri" w:hAnsi="Calibri"/>
          <w:i/>
          <w:iCs/>
          <w:color w:val="5A6472"/>
          <w:sz w:val="20"/>
          <w:szCs w:val="20"/>
        </w:rPr>
        <w:t xml:space="preserve">End of fifteenth draft, now grounded in the real Meridian org structure and Kite Group context. This draft resolves the campaign-calendar decisions — the client sees milestone and go-live dates only, approval is taken at the milestone/stream level, milestone and go-live dates are editable only by the account manager, and the campaign calendar (internal projection) sits in the MVP independent of the planning calendar (see §8.1, §10.2 and Open Decisions 19–20). Highest-leverage remaining inputs: the staff survey (how work actually flows), the Excel resource sheet (real capacity tracking), and the agency's media retention and format answers.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2DA" w:sz="4"/>
      </w:pBdr>
      <w:spacing w:before="100"/>
      <w:jc w:val="center"/>
    </w:pPr>
    <w:r>
      <w:rPr>
        <w:rFonts w:ascii="Calibri" w:cs="Calibri" w:eastAsia="Calibri" w:hAnsi="Calibri"/>
        <w:color w:val="5A6472"/>
        <w:sz w:val="16"/>
        <w:szCs w:val="16"/>
      </w:rPr>
      <w:t xml:space="preserve">Resource &amp; Traffic Management Platform — Design Draft</w:t>
    </w:r>
    <w:r>
      <w:rPr>
        <w:rFonts w:ascii="Calibri" w:cs="Calibri" w:eastAsia="Calibri" w:hAnsi="Calibri"/>
        <w:color w:val="5A6472"/>
        <w:sz w:val="16"/>
        <w:szCs w:val="16"/>
      </w:rPr>
      <w:t xml:space="preserve">     Page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&amp; Traffic Management Platform — Design Document</dc:title>
  <dc:creator>Design Draft</dc:creator>
  <cp:lastModifiedBy>Un-named</cp:lastModifiedBy>
  <cp:revision>1</cp:revision>
  <dcterms:created xsi:type="dcterms:W3CDTF">2026-07-06T07:22:14.468Z</dcterms:created>
  <dcterms:modified xsi:type="dcterms:W3CDTF">2026-07-06T07:22:14.480Z</dcterms:modified>
</cp:coreProperties>
</file>

<file path=docProps/custom.xml><?xml version="1.0" encoding="utf-8"?>
<Properties xmlns="http://schemas.openxmlformats.org/officeDocument/2006/custom-properties" xmlns:vt="http://schemas.openxmlformats.org/officeDocument/2006/docPropsVTypes"/>
</file>