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Zeta Mobile - Ramadan 2027 Campaign Brief</w:t>
      </w:r>
    </w:p>
    <w:p>
      <w:r>
        <w:t xml:space="preserve">Prepared for Meridian x Lantern, 14 January 2027</w:t>
      </w:r>
    </w:p>
    <w:p>
      <w:pPr>
        <w:pStyle w:val="Heading2"/>
      </w:pPr>
      <w:r>
        <w:t xml:space="preserve">Background</w:t>
      </w:r>
    </w:p>
    <w:p>
      <w:r>
        <w:t xml:space="preserve">Zeta has led Iraqi mobile for a decade, but the last two Ramadan campaigns were out-shouted by Auracell, whose family-table film took the conversation. Our own brand tracker shows unaided awareness flat at 61% while consideration among under-30s has fallen nine points in eighteen months. Younger customers do not think of us as theirs.</w:t>
      </w:r>
    </w:p>
    <w:p>
      <w:pPr>
        <w:pStyle w:val="Heading2"/>
      </w:pPr>
      <w:r>
        <w:t xml:space="preserve">The Task</w:t>
      </w:r>
    </w:p>
    <w:p>
      <w:r>
        <w:t xml:space="preserve">Make Zeta the network young Iraqis choose for themselves, not the one their father put on the family plan.</w:t>
      </w:r>
    </w:p>
    <w:p>
      <w:pPr>
        <w:pStyle w:val="Heading2"/>
      </w:pPr>
      <w:r>
        <w:t xml:space="preserve">The Beautiful Problem</w:t>
      </w:r>
    </w:p>
    <w:p>
      <w:r>
        <w:t xml:space="preserve">Ramadan is the most collective month of the year, and being young is the most individual time of life. Young people are asked to be part of everything and to be themselves at the same time.</w:t>
      </w:r>
    </w:p>
    <w:p>
      <w:pPr>
        <w:pStyle w:val="Heading2"/>
      </w:pPr>
      <w:r>
        <w:t xml:space="preserve">Audience - Primary</w:t>
      </w:r>
    </w:p>
    <w:p>
      <w:r>
        <w:t xml:space="preserve">Iraqis 18-28, urban, Baghdad, Basra and Erbil. Heavy TikTok and Instagram. They switch SIMs on price without loyalty, and they decide in groups.</w:t>
      </w:r>
    </w:p>
    <w:p>
      <w:pPr>
        <w:pStyle w:val="Heading2"/>
      </w:pPr>
      <w:r>
        <w:t xml:space="preserve">Audience - Secondary</w:t>
      </w:r>
    </w:p>
    <w:p>
      <w:r>
        <w:t xml:space="preserve">The household bill-payer, typically 45-60, who still authorises the family plan.</w:t>
      </w:r>
    </w:p>
    <w:p>
      <w:pPr>
        <w:pStyle w:val="Heading2"/>
      </w:pPr>
      <w:r>
        <w:t xml:space="preserve">Brand - Functional Benefits</w:t>
      </w:r>
    </w:p>
    <w:p>
      <w:r>
        <w:t xml:space="preserve">Widest 4G coverage in the country. Most reliable data during peak iftar hours - the single most important claim we own.</w:t>
      </w:r>
    </w:p>
    <w:p>
      <w:pPr>
        <w:pStyle w:val="Heading2"/>
      </w:pPr>
      <w:r>
        <w:t xml:space="preserve">Brand - Emotional Benefit</w:t>
      </w:r>
    </w:p>
    <w:p>
      <w:r>
        <w:t xml:space="preserve">The confidence that you will not be the one who drops out of the group call.</w:t>
      </w:r>
    </w:p>
    <w:p>
      <w:pPr>
        <w:pStyle w:val="Heading2"/>
      </w:pPr>
      <w:r>
        <w:t xml:space="preserve">Insight</w:t>
      </w:r>
    </w:p>
    <w:p>
      <w:r>
        <w:t xml:space="preserve">In Ramadan, being reachable is a form of respect. Missing the call is not a technical failure, it is a social one.</w:t>
      </w:r>
    </w:p>
    <w:p>
      <w:pPr>
        <w:pStyle w:val="Heading2"/>
      </w:pPr>
      <w:r>
        <w:t xml:space="preserve">The Proposition</w:t>
      </w:r>
    </w:p>
    <w:p>
      <w:r>
        <w:t xml:space="preserve">Zeta keeps you in the room, wherever you are.</w:t>
      </w:r>
    </w:p>
    <w:p>
      <w:pPr>
        <w:pStyle w:val="Heading2"/>
      </w:pPr>
      <w:r>
        <w:t xml:space="preserve">Deliverables</w:t>
      </w:r>
    </w:p>
    <w:p>
      <w:r>
        <w:t xml:space="preserve">One 60-second hero film, three 15-second cutdowns, a key visual adapted for OOH in three cities, and a 30-day social calendar.</w:t>
      </w:r>
    </w:p>
    <w:p>
      <w:pPr>
        <w:pStyle w:val="Heading2"/>
      </w:pPr>
      <w:r>
        <w:t xml:space="preserve">Budget</w:t>
      </w:r>
    </w:p>
    <w:p>
      <w:r>
        <w:t xml:space="preserve">Production up to 180,000,000 IQD. Media handled separately.</w:t>
      </w:r>
    </w:p>
    <w:p>
      <w:pPr>
        <w:pStyle w:val="Heading2"/>
      </w:pPr>
      <w:r>
        <w:t xml:space="preserve">Do's and Don'ts</w:t>
      </w:r>
    </w:p>
    <w:p>
      <w:r>
        <w:t xml:space="preserve">Do not show the iftar table - Auracell owns it. No competitor references. Arabic-first, with Kurdish subtitles for the Erbil cut.</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