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EFB3" w14:textId="77777777" w:rsidR="000B568D" w:rsidRDefault="000B568D" w:rsidP="00F2644D">
      <w:pPr>
        <w:pStyle w:val="Title"/>
        <w:jc w:val="center"/>
        <w:rPr>
          <w:rFonts w:ascii="Arial" w:hAnsi="Arial" w:cs="Arial"/>
          <w:sz w:val="40"/>
          <w:szCs w:val="40"/>
        </w:rPr>
      </w:pPr>
    </w:p>
    <w:p w14:paraId="17FB7B0C" w14:textId="367FF208" w:rsidR="00F2644D" w:rsidRDefault="00F2644D" w:rsidP="00F2644D">
      <w:pPr>
        <w:pStyle w:val="Title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COMP6560 – Assignment Report</w:t>
      </w:r>
    </w:p>
    <w:p w14:paraId="06A69CBE" w14:textId="6A2D1A96" w:rsidR="005263E5" w:rsidRDefault="00F2644D" w:rsidP="00F2644D">
      <w:pPr>
        <w:pStyle w:val="Title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“Predicting Price Movements with Genetic Algorithms”</w:t>
      </w:r>
    </w:p>
    <w:p w14:paraId="5F61EA85" w14:textId="77777777" w:rsidR="0014379E" w:rsidRPr="0014379E" w:rsidRDefault="0014379E" w:rsidP="0014379E"/>
    <w:p w14:paraId="1434FF10" w14:textId="51752F44" w:rsidR="00305073" w:rsidRDefault="00F2644D" w:rsidP="00FB4E2B">
      <w:pPr>
        <w:pStyle w:val="Subtitle"/>
        <w:jc w:val="center"/>
      </w:pPr>
      <w:r>
        <w:t>Edward-Christian Marin (em632)</w:t>
      </w:r>
    </w:p>
    <w:p w14:paraId="17A32BC8" w14:textId="77777777" w:rsidR="00FB4E2B" w:rsidRPr="00FB4E2B" w:rsidRDefault="00FB4E2B" w:rsidP="00FB4E2B"/>
    <w:p w14:paraId="5BFFBAA9" w14:textId="52D62149" w:rsidR="007D393C" w:rsidRPr="007D393C" w:rsidRDefault="009A726D" w:rsidP="007D393C">
      <w:pPr>
        <w:pStyle w:val="Heading1"/>
        <w:numPr>
          <w:ilvl w:val="0"/>
          <w:numId w:val="2"/>
        </w:numPr>
      </w:pPr>
      <w:r>
        <w:t>The Task</w:t>
      </w:r>
    </w:p>
    <w:p w14:paraId="5BF4B914" w14:textId="54FFA29D" w:rsidR="007D393C" w:rsidRDefault="00FB4E2B" w:rsidP="007D393C">
      <w:r>
        <w:t>The task of this assignment is to predict price movements (more specifically, the increase in 14 days) using a Genetic Algorithm with the input being a few technical indicators (such as Simple Moving Average)</w:t>
      </w:r>
      <w:r w:rsidR="001E6B84">
        <w:t>, derived from the daily closing prices of my data.</w:t>
      </w:r>
      <w:r w:rsidR="009A726D">
        <w:t xml:space="preserve"> An example of a data point is: [0, 1, 1, 0, 1, 1, 0] – the first </w:t>
      </w:r>
      <w:r w:rsidR="00776B88">
        <w:t>six</w:t>
      </w:r>
      <w:r w:rsidR="009A726D">
        <w:t xml:space="preserve"> bits are the technical indicator </w:t>
      </w:r>
      <w:r w:rsidR="00776B88">
        <w:t>outputs,</w:t>
      </w:r>
      <w:r w:rsidR="009A726D">
        <w:t xml:space="preserve"> and the last bit is the increase in 14 days (actual value).</w:t>
      </w:r>
    </w:p>
    <w:p w14:paraId="251F2E18" w14:textId="77EAB99B" w:rsidR="007D393C" w:rsidRDefault="007D393C" w:rsidP="007D393C">
      <w:pPr>
        <w:pStyle w:val="Heading1"/>
        <w:numPr>
          <w:ilvl w:val="0"/>
          <w:numId w:val="2"/>
        </w:numPr>
      </w:pPr>
      <w:r>
        <w:t>The Implementation</w:t>
      </w:r>
    </w:p>
    <w:p w14:paraId="7021F973" w14:textId="101FB58F" w:rsidR="007D393C" w:rsidRDefault="007D393C" w:rsidP="007D393C">
      <w:r>
        <w:t>Using the data mentioned above, I managed to write a genetic algorithm that returns an individual with which you can predict the increase of</w:t>
      </w:r>
      <w:r w:rsidR="00F5251C">
        <w:t xml:space="preserve"> a</w:t>
      </w:r>
      <w:r>
        <w:t xml:space="preserve"> price in 14 days quite accurately (with standard</w:t>
      </w:r>
      <w:r w:rsidR="00BE4C6D">
        <w:t xml:space="preserve"> GA</w:t>
      </w:r>
      <w:r>
        <w:t xml:space="preserve"> parameters</w:t>
      </w:r>
      <w:r w:rsidR="00661488">
        <w:t>,</w:t>
      </w:r>
      <w:r>
        <w:t xml:space="preserve"> always having 50%+ success rate).</w:t>
      </w:r>
    </w:p>
    <w:p w14:paraId="43B51A67" w14:textId="0FA8F927" w:rsidR="005B6750" w:rsidRDefault="005B6750" w:rsidP="007D393C">
      <w:r>
        <w:t>I decided to represent my individuals as weights ranging from -1.0 to 1.0 (double numbers)</w:t>
      </w:r>
      <w:r w:rsidR="00FF5E00">
        <w:t xml:space="preserve">; each weight representing a technical indicator output. An example of an individual: [0.000120, 0.544450, -0.232220, 1.0, 0.4555230, 0.112210]. </w:t>
      </w:r>
      <w:r w:rsidR="00193380">
        <w:t xml:space="preserve">I used the standard </w:t>
      </w:r>
      <w:r w:rsidR="00776B88">
        <w:t>one-point</w:t>
      </w:r>
      <w:r w:rsidR="00193380">
        <w:t xml:space="preserve"> mutation (mutate by randomising the double value of the weight) and one point crossover as my genetic operators.</w:t>
      </w:r>
      <w:r w:rsidR="007A3699">
        <w:t xml:space="preserve"> The GA uses the tournament selection for its parent selection process and the termination criteria is a set number of generations.</w:t>
      </w:r>
    </w:p>
    <w:p w14:paraId="67F288E2" w14:textId="3AE541E1" w:rsidR="00AC58F6" w:rsidRDefault="00AC58F6" w:rsidP="007D393C">
      <w:r>
        <w:t>To improve the evaluation of my GA, I divided my input data into training (70%) and testing (30%).</w:t>
      </w:r>
      <w:r w:rsidR="0078428B">
        <w:t xml:space="preserve"> </w:t>
      </w:r>
      <w:r w:rsidR="00776B88">
        <w:t>The GA uses the training data</w:t>
      </w:r>
      <w:r w:rsidR="0078428B">
        <w:t xml:space="preserve"> to generate a good individual, </w:t>
      </w:r>
      <w:r w:rsidR="00776B88">
        <w:t>which</w:t>
      </w:r>
      <w:r w:rsidR="0078428B">
        <w:t xml:space="preserve"> is then used to predict the increase in 14 days of the remaining 30% test data.</w:t>
      </w:r>
    </w:p>
    <w:p w14:paraId="782ECCF4" w14:textId="77777777" w:rsidR="005744DD" w:rsidRDefault="0006656C" w:rsidP="007D393C">
      <w:r>
        <w:t xml:space="preserve">The fitness for this GA works as follows: it starts at 0.0 and increases in value as it predicts wrong (so the lower the fitness, the better the individual). </w:t>
      </w:r>
    </w:p>
    <w:p w14:paraId="67C62A0F" w14:textId="063346C6" w:rsidR="0006656C" w:rsidRDefault="0006656C" w:rsidP="007D393C">
      <w:r>
        <w:t>One of the design decisions that I have made early on, was to introduce a kind of confidence factor into my fitness score during the training phase.</w:t>
      </w:r>
      <w:r w:rsidR="008B2D76">
        <w:t xml:space="preserve"> This would discourage biases to happen towards particular technical indicators, and always produce a well performing individual.</w:t>
      </w:r>
    </w:p>
    <w:p w14:paraId="3229303C" w14:textId="7C5647FC" w:rsidR="00D8699C" w:rsidRDefault="00D8699C" w:rsidP="007D393C">
      <w:r>
        <w:t>The formula for my fitness is:</w:t>
      </w:r>
    </w:p>
    <w:p w14:paraId="15147BA5" w14:textId="5C84AF52" w:rsidR="00D8699C" w:rsidRPr="00D8699C" w:rsidRDefault="00D8699C" w:rsidP="007D39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F=F+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prediction-Y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</m:oMath>
      </m:oMathPara>
    </w:p>
    <w:p w14:paraId="0BC2B7EB" w14:textId="61CD3E3B" w:rsidR="00D8699C" w:rsidRDefault="00D8699C" w:rsidP="007D393C">
      <w:pPr>
        <w:rPr>
          <w:rFonts w:eastAsiaTheme="minorEastAsia"/>
        </w:rPr>
      </w:pPr>
      <w:r>
        <w:rPr>
          <w:rFonts w:eastAsiaTheme="minorEastAsia"/>
        </w:rPr>
        <w:t xml:space="preserve">, </w:t>
      </w:r>
      <w:r w:rsidRPr="00D8699C">
        <w:rPr>
          <w:rFonts w:eastAsiaTheme="minorEastAsia"/>
        </w:rPr>
        <w:t xml:space="preserve">where </w:t>
      </w:r>
      <w:r w:rsidRPr="002B1920">
        <w:rPr>
          <w:rFonts w:eastAsiaTheme="minorEastAsia"/>
          <w:i/>
          <w:iCs/>
        </w:rPr>
        <w:t xml:space="preserve">prediction </w:t>
      </w:r>
      <w:r w:rsidRPr="00D8699C">
        <w:rPr>
          <w:rFonts w:eastAsiaTheme="minorEastAsia"/>
        </w:rPr>
        <w:t>∈</w:t>
      </w:r>
      <w:r>
        <w:rPr>
          <w:rFonts w:eastAsiaTheme="minorEastAsia"/>
        </w:rPr>
        <w:t xml:space="preserve"> </w:t>
      </w:r>
      <w:r w:rsidRPr="00D8699C">
        <w:rPr>
          <w:rFonts w:eastAsiaTheme="minorEastAsia"/>
        </w:rPr>
        <w:t>[0</w:t>
      </w:r>
      <w:r>
        <w:rPr>
          <w:rFonts w:eastAsiaTheme="minorEastAsia"/>
        </w:rPr>
        <w:t>.0</w:t>
      </w:r>
      <w:r w:rsidRPr="00D8699C">
        <w:rPr>
          <w:rFonts w:eastAsiaTheme="minorEastAsia"/>
        </w:rPr>
        <w:t>,</w:t>
      </w:r>
      <w:r w:rsidR="00E315B0">
        <w:rPr>
          <w:rFonts w:eastAsiaTheme="minorEastAsia"/>
        </w:rPr>
        <w:t xml:space="preserve"> </w:t>
      </w:r>
      <w:r w:rsidR="00776B88" w:rsidRPr="00D8699C">
        <w:rPr>
          <w:rFonts w:eastAsiaTheme="minorEastAsia"/>
        </w:rPr>
        <w:t>1</w:t>
      </w:r>
      <w:r w:rsidR="00776B88">
        <w:rPr>
          <w:rFonts w:eastAsiaTheme="minorEastAsia"/>
        </w:rPr>
        <w:t>.0</w:t>
      </w:r>
      <w:r w:rsidR="00776B88" w:rsidRPr="00D8699C">
        <w:rPr>
          <w:rFonts w:eastAsiaTheme="minorEastAsia"/>
        </w:rPr>
        <w:t>] (</w:t>
      </w:r>
      <w:r w:rsidRPr="00D8699C">
        <w:rPr>
          <w:rFonts w:eastAsiaTheme="minorEastAsia"/>
        </w:rPr>
        <w:t>double data type</w:t>
      </w:r>
      <w:r w:rsidR="00776B88" w:rsidRPr="00D8699C">
        <w:rPr>
          <w:rFonts w:eastAsiaTheme="minorEastAsia"/>
        </w:rPr>
        <w:t>), and</w:t>
      </w:r>
      <w:r w:rsidRPr="00D8699C">
        <w:rPr>
          <w:rFonts w:eastAsiaTheme="minorEastAsia"/>
        </w:rPr>
        <w:t xml:space="preserve"> Y is the increase in 14 days from the </w:t>
      </w:r>
      <w:r w:rsidR="003E1F53">
        <w:rPr>
          <w:rFonts w:eastAsiaTheme="minorEastAsia"/>
        </w:rPr>
        <w:t>input.</w:t>
      </w:r>
      <w:r w:rsidR="00CD42FC">
        <w:rPr>
          <w:rFonts w:eastAsiaTheme="minorEastAsia"/>
        </w:rPr>
        <w:t xml:space="preserve"> </w:t>
      </w:r>
      <w:r w:rsidR="008722DE">
        <w:rPr>
          <w:rFonts w:eastAsiaTheme="minorEastAsia"/>
        </w:rPr>
        <w:t xml:space="preserve">This way, two individuals making identical predictions will </w:t>
      </w:r>
      <w:r w:rsidR="00776B88">
        <w:rPr>
          <w:rFonts w:eastAsiaTheme="minorEastAsia"/>
        </w:rPr>
        <w:t>have</w:t>
      </w:r>
      <w:r w:rsidR="008722DE">
        <w:rPr>
          <w:rFonts w:eastAsiaTheme="minorEastAsia"/>
        </w:rPr>
        <w:t xml:space="preserve"> different fitness values based on how confident they were in that prediction (coming from their weight values).</w:t>
      </w:r>
    </w:p>
    <w:p w14:paraId="486D45BB" w14:textId="77777777" w:rsidR="00CD42FC" w:rsidRDefault="00CD42FC" w:rsidP="007D393C">
      <w:pPr>
        <w:rPr>
          <w:rFonts w:eastAsiaTheme="minorEastAsia"/>
        </w:rPr>
      </w:pPr>
    </w:p>
    <w:p w14:paraId="0E6F5264" w14:textId="77777777" w:rsidR="00CD42FC" w:rsidRDefault="00CD42FC" w:rsidP="007D393C">
      <w:pPr>
        <w:rPr>
          <w:rFonts w:eastAsiaTheme="minorEastAsia"/>
        </w:rPr>
      </w:pPr>
    </w:p>
    <w:p w14:paraId="508E93B1" w14:textId="5A6C677F" w:rsidR="00CD42FC" w:rsidRDefault="00CD42FC" w:rsidP="007D393C">
      <w:pPr>
        <w:rPr>
          <w:rFonts w:eastAsiaTheme="minorEastAsia"/>
        </w:rPr>
      </w:pPr>
      <w:r>
        <w:rPr>
          <w:rFonts w:eastAsiaTheme="minorEastAsia"/>
        </w:rPr>
        <w:lastRenderedPageBreak/>
        <w:t>The formula for predicting an output based on the weights</w:t>
      </w:r>
      <w:r w:rsidR="007377DD">
        <w:rPr>
          <w:rFonts w:eastAsiaTheme="minorEastAsia"/>
        </w:rPr>
        <w:t xml:space="preserve"> </w:t>
      </w:r>
      <w:r>
        <w:rPr>
          <w:rFonts w:eastAsiaTheme="minorEastAsia"/>
        </w:rPr>
        <w:t>is:</w:t>
      </w:r>
    </w:p>
    <w:p w14:paraId="0841380E" w14:textId="35BA7803" w:rsidR="00CD42FC" w:rsidRPr="00D8699C" w:rsidRDefault="00CD42FC" w:rsidP="007D393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prediction=S(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(w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52E84581" w14:textId="7E4D802B" w:rsidR="009A726D" w:rsidRDefault="00CD42FC" w:rsidP="00FB4E2B">
      <w:r>
        <w:t>, where n = BITS – 1, w is the weight of that technical indicator and x is the value of the technical indicator from the input data (but false is represented as -1 instead of 0). Also, S is equivalent to the Sigmoid function:</w:t>
      </w:r>
    </w:p>
    <w:p w14:paraId="7E3AE741" w14:textId="64737FA8" w:rsidR="00CD42FC" w:rsidRPr="00CD42FC" w:rsidRDefault="00CD42FC" w:rsidP="00FB4E2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-x</m:t>
                  </m:r>
                </m:sup>
              </m:sSup>
            </m:den>
          </m:f>
        </m:oMath>
      </m:oMathPara>
    </w:p>
    <w:p w14:paraId="3DF53F13" w14:textId="0CE5B628" w:rsidR="00CD42FC" w:rsidRDefault="00CD42FC" w:rsidP="00FB4E2B">
      <w:pPr>
        <w:rPr>
          <w:rFonts w:eastAsiaTheme="minorEastAsia"/>
        </w:rPr>
      </w:pPr>
      <w:r>
        <w:rPr>
          <w:rFonts w:eastAsiaTheme="minorEastAsia"/>
        </w:rPr>
        <w:t>This gives the predictions more value, as there is a confidence factor included in their value (predictions range from 0.0 to 1.0, so the lower/higher the value, the more confident it is in its prediction)</w:t>
      </w:r>
      <w:r w:rsidR="008722DE">
        <w:rPr>
          <w:rFonts w:eastAsiaTheme="minorEastAsia"/>
        </w:rPr>
        <w:t>.</w:t>
      </w:r>
      <w:r w:rsidR="007B390F">
        <w:rPr>
          <w:rFonts w:eastAsiaTheme="minorEastAsia"/>
        </w:rPr>
        <w:t xml:space="preserve"> I have learnt these concepts from further reading on artificial neurons and weight averaging.</w:t>
      </w:r>
    </w:p>
    <w:p w14:paraId="6389D46D" w14:textId="1A7F14D1" w:rsidR="006D5091" w:rsidRDefault="006D5091" w:rsidP="00FB4E2B">
      <w:pPr>
        <w:rPr>
          <w:rFonts w:eastAsiaTheme="minorEastAsia"/>
        </w:rPr>
      </w:pPr>
      <w:r>
        <w:rPr>
          <w:rFonts w:eastAsiaTheme="minorEastAsia"/>
        </w:rPr>
        <w:t xml:space="preserve">To predict on real data, instead of using the equation for the fitness function of the training data, I simply compare the </w:t>
      </w:r>
      <w:r>
        <w:rPr>
          <w:rFonts w:eastAsiaTheme="minorEastAsia"/>
          <w:i/>
          <w:iCs/>
        </w:rPr>
        <w:t>prediction</w:t>
      </w:r>
      <w:r>
        <w:rPr>
          <w:rFonts w:eastAsiaTheme="minorEastAsia"/>
        </w:rPr>
        <w:t xml:space="preserve"> to 0.5 and generate a true or false value based on that:</w:t>
      </w:r>
    </w:p>
    <w:p w14:paraId="184E4C67" w14:textId="1DAC7FA0" w:rsidR="006D5091" w:rsidRPr="006D5091" w:rsidRDefault="006D5091" w:rsidP="00FB4E2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realPrediction=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 1,  if prediction≥0.5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 0,  if prediction&lt;0.5</m:t>
                  </m:r>
                </m:e>
              </m:eqArr>
            </m:e>
          </m:d>
        </m:oMath>
      </m:oMathPara>
    </w:p>
    <w:p w14:paraId="08AEC8AE" w14:textId="69BA4B1B" w:rsidR="006A24BA" w:rsidRDefault="006A24BA" w:rsidP="006A24BA">
      <w:pPr>
        <w:pStyle w:val="Heading1"/>
        <w:numPr>
          <w:ilvl w:val="0"/>
          <w:numId w:val="2"/>
        </w:numPr>
      </w:pPr>
      <w:r>
        <w:t>Experimental Results</w:t>
      </w:r>
    </w:p>
    <w:p w14:paraId="7D932209" w14:textId="1EB18CA8" w:rsidR="00C12A3D" w:rsidRDefault="00C12A3D" w:rsidP="006A24BA">
      <w:r>
        <w:t>This algorithm performs really well, almost always generating an individual that achieves over 50% success rate.</w:t>
      </w:r>
      <w:r w:rsidR="004D202F">
        <w:t xml:space="preserve"> Here is a table </w:t>
      </w:r>
      <w:r w:rsidR="00776B88">
        <w:t>highlighting</w:t>
      </w:r>
      <w:r w:rsidR="004D202F">
        <w:t xml:space="preserve"> several runs</w:t>
      </w:r>
      <w:r w:rsidR="008C4744">
        <w:t xml:space="preserve"> (5 runs each row, averaged):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626"/>
        <w:gridCol w:w="1660"/>
        <w:gridCol w:w="1671"/>
        <w:gridCol w:w="2332"/>
        <w:gridCol w:w="1727"/>
      </w:tblGrid>
      <w:tr w:rsidR="00BB619D" w14:paraId="67038D5C" w14:textId="77777777" w:rsidTr="00B636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E88DDA3" w14:textId="2ED05B38" w:rsidR="00BB619D" w:rsidRPr="00B63666" w:rsidRDefault="00BB619D" w:rsidP="006A24BA">
            <w:pPr>
              <w:rPr>
                <w:sz w:val="20"/>
                <w:szCs w:val="20"/>
              </w:rPr>
            </w:pPr>
            <w:r w:rsidRPr="00B63666">
              <w:rPr>
                <w:sz w:val="20"/>
                <w:szCs w:val="20"/>
              </w:rPr>
              <w:t>Population Size</w:t>
            </w:r>
          </w:p>
        </w:tc>
        <w:tc>
          <w:tcPr>
            <w:tcW w:w="1803" w:type="dxa"/>
          </w:tcPr>
          <w:p w14:paraId="43ABA7A8" w14:textId="6659A1A0" w:rsidR="00BB619D" w:rsidRPr="00B63666" w:rsidRDefault="00BB619D" w:rsidP="006A2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666">
              <w:rPr>
                <w:sz w:val="20"/>
                <w:szCs w:val="20"/>
              </w:rPr>
              <w:t>Max Generations</w:t>
            </w:r>
          </w:p>
        </w:tc>
        <w:tc>
          <w:tcPr>
            <w:tcW w:w="1803" w:type="dxa"/>
          </w:tcPr>
          <w:p w14:paraId="2B4BB206" w14:textId="77A6C53B" w:rsidR="00BB619D" w:rsidRPr="00B63666" w:rsidRDefault="00BB619D" w:rsidP="006A2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666">
              <w:rPr>
                <w:sz w:val="20"/>
                <w:szCs w:val="20"/>
              </w:rPr>
              <w:t>Tournament Size</w:t>
            </w:r>
          </w:p>
        </w:tc>
        <w:tc>
          <w:tcPr>
            <w:tcW w:w="1803" w:type="dxa"/>
          </w:tcPr>
          <w:p w14:paraId="11F9496E" w14:textId="34A34953" w:rsidR="00BB619D" w:rsidRPr="00B63666" w:rsidRDefault="00BB619D" w:rsidP="006A2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666">
              <w:rPr>
                <w:sz w:val="20"/>
                <w:szCs w:val="20"/>
              </w:rPr>
              <w:t>Training Fitness</w:t>
            </w:r>
          </w:p>
        </w:tc>
        <w:tc>
          <w:tcPr>
            <w:tcW w:w="1804" w:type="dxa"/>
          </w:tcPr>
          <w:p w14:paraId="2382ABBF" w14:textId="59A6E58F" w:rsidR="00BB619D" w:rsidRPr="00B63666" w:rsidRDefault="00BB619D" w:rsidP="006A24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666">
              <w:rPr>
                <w:sz w:val="20"/>
                <w:szCs w:val="20"/>
              </w:rPr>
              <w:t>Rate of Success (testing data)</w:t>
            </w:r>
          </w:p>
        </w:tc>
      </w:tr>
      <w:tr w:rsidR="00BB619D" w14:paraId="3E42EF54" w14:textId="77777777" w:rsidTr="00BB6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E52ED7F" w14:textId="66D07388" w:rsidR="00BB619D" w:rsidRPr="00B63666" w:rsidRDefault="00B63666" w:rsidP="006A24BA">
            <w:pPr>
              <w:rPr>
                <w:b w:val="0"/>
                <w:bCs w:val="0"/>
              </w:rPr>
            </w:pPr>
            <w:r w:rsidRPr="00B63666">
              <w:rPr>
                <w:b w:val="0"/>
                <w:bCs w:val="0"/>
              </w:rPr>
              <w:t>100</w:t>
            </w:r>
          </w:p>
        </w:tc>
        <w:tc>
          <w:tcPr>
            <w:tcW w:w="1803" w:type="dxa"/>
          </w:tcPr>
          <w:p w14:paraId="1E6DEA45" w14:textId="52F73FFA" w:rsidR="00BB619D" w:rsidRDefault="00B63666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3" w:type="dxa"/>
          </w:tcPr>
          <w:p w14:paraId="79C11754" w14:textId="79B88EBB" w:rsidR="00BB619D" w:rsidRDefault="00B63666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03" w:type="dxa"/>
          </w:tcPr>
          <w:p w14:paraId="7FA8EF8B" w14:textId="5AF6DF3E" w:rsidR="00BB619D" w:rsidRDefault="004F214E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14E">
              <w:t>217.6151465851801</w:t>
            </w:r>
          </w:p>
        </w:tc>
        <w:tc>
          <w:tcPr>
            <w:tcW w:w="1804" w:type="dxa"/>
          </w:tcPr>
          <w:p w14:paraId="0EFA956B" w14:textId="4F651936" w:rsidR="00BB619D" w:rsidRDefault="004F214E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214E">
              <w:t>56.25%</w:t>
            </w:r>
          </w:p>
        </w:tc>
      </w:tr>
      <w:tr w:rsidR="00BB619D" w14:paraId="62E6FAE0" w14:textId="77777777" w:rsidTr="00BB6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8E451F8" w14:textId="6E21F6F1" w:rsidR="00BB619D" w:rsidRPr="0035197A" w:rsidRDefault="0035197A" w:rsidP="006A24BA">
            <w:pPr>
              <w:rPr>
                <w:b w:val="0"/>
                <w:bCs w:val="0"/>
              </w:rPr>
            </w:pPr>
            <w:r w:rsidRPr="0035197A">
              <w:rPr>
                <w:b w:val="0"/>
                <w:bCs w:val="0"/>
              </w:rPr>
              <w:t>50</w:t>
            </w:r>
          </w:p>
        </w:tc>
        <w:tc>
          <w:tcPr>
            <w:tcW w:w="1803" w:type="dxa"/>
          </w:tcPr>
          <w:p w14:paraId="5A295283" w14:textId="5BCB2A88" w:rsidR="00BB619D" w:rsidRDefault="0035197A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03" w:type="dxa"/>
          </w:tcPr>
          <w:p w14:paraId="7E4F4700" w14:textId="1C2B8650" w:rsidR="00BB619D" w:rsidRDefault="0035197A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03" w:type="dxa"/>
          </w:tcPr>
          <w:p w14:paraId="4263BBEB" w14:textId="09E5D48F" w:rsidR="00BB619D" w:rsidRDefault="00196814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6814">
              <w:t>219.67130067957112</w:t>
            </w:r>
          </w:p>
        </w:tc>
        <w:tc>
          <w:tcPr>
            <w:tcW w:w="1804" w:type="dxa"/>
          </w:tcPr>
          <w:p w14:paraId="072CF606" w14:textId="21CAF66D" w:rsidR="00BB619D" w:rsidRDefault="00196814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6814">
              <w:t>54.6875%</w:t>
            </w:r>
          </w:p>
        </w:tc>
      </w:tr>
      <w:tr w:rsidR="00BB619D" w14:paraId="345DFE5F" w14:textId="77777777" w:rsidTr="00BB6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2335424" w14:textId="30EA930C" w:rsidR="00BB619D" w:rsidRPr="0035197A" w:rsidRDefault="00196814" w:rsidP="006A24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1803" w:type="dxa"/>
          </w:tcPr>
          <w:p w14:paraId="162FD115" w14:textId="5BC2D41D" w:rsidR="00BB619D" w:rsidRDefault="00196814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03" w:type="dxa"/>
          </w:tcPr>
          <w:p w14:paraId="4374CA9A" w14:textId="5C503207" w:rsidR="00BB619D" w:rsidRDefault="00196814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03" w:type="dxa"/>
          </w:tcPr>
          <w:p w14:paraId="728D43B8" w14:textId="600F1FB7" w:rsidR="00BB619D" w:rsidRDefault="00196814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6814">
              <w:t>217.34288464596585</w:t>
            </w:r>
          </w:p>
        </w:tc>
        <w:tc>
          <w:tcPr>
            <w:tcW w:w="1804" w:type="dxa"/>
          </w:tcPr>
          <w:p w14:paraId="306BD884" w14:textId="78B92066" w:rsidR="00BB619D" w:rsidRDefault="000145E0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504635">
              <w:t>5</w:t>
            </w:r>
            <w:r w:rsidR="00196814" w:rsidRPr="00196814">
              <w:t>.677083</w:t>
            </w:r>
            <w:r w:rsidR="00196814">
              <w:t>3%</w:t>
            </w:r>
          </w:p>
        </w:tc>
      </w:tr>
      <w:tr w:rsidR="00BB619D" w14:paraId="4D547831" w14:textId="77777777" w:rsidTr="00BB6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4F441C1" w14:textId="49A64521" w:rsidR="00BB619D" w:rsidRPr="0035197A" w:rsidRDefault="000E421D" w:rsidP="006A24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500</w:t>
            </w:r>
          </w:p>
        </w:tc>
        <w:tc>
          <w:tcPr>
            <w:tcW w:w="1803" w:type="dxa"/>
          </w:tcPr>
          <w:p w14:paraId="798B4846" w14:textId="615EC4BD" w:rsidR="00BB619D" w:rsidRDefault="000E421D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803" w:type="dxa"/>
          </w:tcPr>
          <w:p w14:paraId="6F60AA5A" w14:textId="0BAE6E37" w:rsidR="00BB619D" w:rsidRDefault="000E421D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03" w:type="dxa"/>
          </w:tcPr>
          <w:p w14:paraId="6A742186" w14:textId="48687FE7" w:rsidR="00BB619D" w:rsidRDefault="000145E0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5E0">
              <w:t>216.81029398344407</w:t>
            </w:r>
          </w:p>
        </w:tc>
        <w:tc>
          <w:tcPr>
            <w:tcW w:w="1804" w:type="dxa"/>
          </w:tcPr>
          <w:p w14:paraId="04370200" w14:textId="1A2F1684" w:rsidR="00BB619D" w:rsidRDefault="000145E0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45E0">
              <w:t>56.5104166</w:t>
            </w:r>
            <w:r>
              <w:t>%</w:t>
            </w:r>
          </w:p>
        </w:tc>
      </w:tr>
      <w:tr w:rsidR="00BB619D" w14:paraId="2AFE2F40" w14:textId="77777777" w:rsidTr="00BB61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C93C080" w14:textId="1B673EA9" w:rsidR="00BB619D" w:rsidRPr="0035197A" w:rsidRDefault="009C1F26" w:rsidP="006A24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1000</w:t>
            </w:r>
          </w:p>
        </w:tc>
        <w:tc>
          <w:tcPr>
            <w:tcW w:w="1803" w:type="dxa"/>
          </w:tcPr>
          <w:p w14:paraId="0B4CBA08" w14:textId="1E13BD87" w:rsidR="00BB619D" w:rsidRDefault="009C1F26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803" w:type="dxa"/>
          </w:tcPr>
          <w:p w14:paraId="19897BFB" w14:textId="598E0D5F" w:rsidR="00BB619D" w:rsidRDefault="00AB404F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803" w:type="dxa"/>
          </w:tcPr>
          <w:p w14:paraId="4A661311" w14:textId="7975A24F" w:rsidR="00BB619D" w:rsidRDefault="00AB793A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93A">
              <w:t>216.8195355339737</w:t>
            </w:r>
          </w:p>
        </w:tc>
        <w:tc>
          <w:tcPr>
            <w:tcW w:w="1804" w:type="dxa"/>
          </w:tcPr>
          <w:p w14:paraId="48F64692" w14:textId="14E4896B" w:rsidR="00BB619D" w:rsidRDefault="00AB793A" w:rsidP="006A24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93A">
              <w:t>57.8125%</w:t>
            </w:r>
          </w:p>
        </w:tc>
      </w:tr>
      <w:tr w:rsidR="00BB619D" w14:paraId="4D3D43C1" w14:textId="77777777" w:rsidTr="00BB6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467666A" w14:textId="406906CC" w:rsidR="00BB619D" w:rsidRPr="0035197A" w:rsidRDefault="00717AED" w:rsidP="006A24BA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  <w:tc>
          <w:tcPr>
            <w:tcW w:w="1803" w:type="dxa"/>
          </w:tcPr>
          <w:p w14:paraId="3DD0EB3E" w14:textId="02102D34" w:rsidR="00BB619D" w:rsidRDefault="00717AED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03" w:type="dxa"/>
          </w:tcPr>
          <w:p w14:paraId="12DD7162" w14:textId="41A2D27F" w:rsidR="00BB619D" w:rsidRDefault="00717AED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03" w:type="dxa"/>
          </w:tcPr>
          <w:p w14:paraId="5453777F" w14:textId="6E28FB8D" w:rsidR="00BB619D" w:rsidRDefault="00717AED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7AED">
              <w:t>228.36771965235286</w:t>
            </w:r>
          </w:p>
        </w:tc>
        <w:tc>
          <w:tcPr>
            <w:tcW w:w="1804" w:type="dxa"/>
          </w:tcPr>
          <w:p w14:paraId="211C1423" w14:textId="00A45031" w:rsidR="009072F5" w:rsidRDefault="00717AED" w:rsidP="006A24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7AED">
              <w:t>49.7395833</w:t>
            </w:r>
            <w:r>
              <w:t>%</w:t>
            </w:r>
          </w:p>
        </w:tc>
      </w:tr>
    </w:tbl>
    <w:p w14:paraId="05BF5DF8" w14:textId="7755E7C8" w:rsidR="006241A1" w:rsidRDefault="008F0C2B" w:rsidP="00504635">
      <w:pPr>
        <w:spacing w:before="240"/>
      </w:pPr>
      <w:r>
        <w:t>It is clear that the higher the population, max generations or tournament size</w:t>
      </w:r>
      <w:r w:rsidR="00083A77">
        <w:t xml:space="preserve"> are</w:t>
      </w:r>
      <w:r>
        <w:t>, the more consistent the predictions get.</w:t>
      </w:r>
      <w:r w:rsidR="00C635E1">
        <w:t xml:space="preserve"> It seems that there is an early “fitness improvement” during the first 2-3 generations, where it decreases rapidly to a value &lt;220</w:t>
      </w:r>
      <w:r w:rsidR="00066978">
        <w:t>.0</w:t>
      </w:r>
      <w:r w:rsidR="00C635E1">
        <w:t>, after which it starts decreasing at a decimal level. This is directly influenced by the tournament size, so a sort of “artificial elitism” is being introduced with a bigger tournament size.</w:t>
      </w:r>
    </w:p>
    <w:p w14:paraId="35A9E356" w14:textId="63514E4D" w:rsidR="002A1D5C" w:rsidRDefault="002A1D5C" w:rsidP="002A1D5C">
      <w:pPr>
        <w:pStyle w:val="Heading1"/>
        <w:numPr>
          <w:ilvl w:val="0"/>
          <w:numId w:val="2"/>
        </w:numPr>
      </w:pPr>
      <w:r>
        <w:t>Personal reflection (“Would I do anything differently?”)</w:t>
      </w:r>
    </w:p>
    <w:p w14:paraId="4135BC6F" w14:textId="1DE5CA33" w:rsidR="002A1D5C" w:rsidRPr="002A1D5C" w:rsidRDefault="002A1D5C" w:rsidP="002A1D5C">
      <w:r>
        <w:t xml:space="preserve">I would have started with the weight solution from the </w:t>
      </w:r>
      <w:r w:rsidR="00776B88">
        <w:t>start if</w:t>
      </w:r>
      <w:r>
        <w:t xml:space="preserve"> I were to re-do. When I started working on this assignment, my individual had </w:t>
      </w:r>
      <w:r w:rsidR="00776B88">
        <w:t>a quite simple</w:t>
      </w:r>
      <w:r>
        <w:t xml:space="preserve"> 0 and 1s representation, which was not giving a satisfactory rate of success. I spent a bit too much time on that, which could have been used on reading more about how artificial neurons work, so that I could apply concepts from that topic to this assignment.</w:t>
      </w:r>
    </w:p>
    <w:sectPr w:rsidR="002A1D5C" w:rsidRPr="002A1D5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5F3D2" w14:textId="77777777" w:rsidR="00AF3234" w:rsidRDefault="00AF3234" w:rsidP="00F2644D">
      <w:pPr>
        <w:spacing w:after="0" w:line="240" w:lineRule="auto"/>
      </w:pPr>
      <w:r>
        <w:separator/>
      </w:r>
    </w:p>
  </w:endnote>
  <w:endnote w:type="continuationSeparator" w:id="0">
    <w:p w14:paraId="491C24D1" w14:textId="77777777" w:rsidR="00AF3234" w:rsidRDefault="00AF3234" w:rsidP="00F26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altName w:val="Cambria"/>
    <w:charset w:val="00"/>
    <w:family w:val="auto"/>
    <w:pitch w:val="variable"/>
    <w:sig w:usb0="E10002FF" w:usb1="5201E1EB" w:usb2="00020004" w:usb3="00000000" w:csb0="000001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4735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70A2D7" w14:textId="239726B7" w:rsidR="008108BA" w:rsidRDefault="008108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C6EC08" w14:textId="77777777" w:rsidR="008108BA" w:rsidRDefault="008108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FF35" w14:textId="77777777" w:rsidR="00AF3234" w:rsidRDefault="00AF3234" w:rsidP="00F2644D">
      <w:pPr>
        <w:spacing w:after="0" w:line="240" w:lineRule="auto"/>
      </w:pPr>
      <w:r>
        <w:separator/>
      </w:r>
    </w:p>
  </w:footnote>
  <w:footnote w:type="continuationSeparator" w:id="0">
    <w:p w14:paraId="1FE9E819" w14:textId="77777777" w:rsidR="00AF3234" w:rsidRDefault="00AF3234" w:rsidP="00F26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E2F2" w14:textId="60D36581" w:rsidR="00F2644D" w:rsidRDefault="00F2644D" w:rsidP="00F2644D">
    <w:pPr>
      <w:pStyle w:val="Header"/>
    </w:pPr>
    <w:r>
      <w:t>Edward-Christian Marin</w:t>
    </w:r>
    <w:r>
      <w:tab/>
    </w:r>
    <w:r>
      <w:tab/>
      <w:t>COMP6560 – Assignment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4F9D"/>
    <w:multiLevelType w:val="hybridMultilevel"/>
    <w:tmpl w:val="16E470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2386F"/>
    <w:multiLevelType w:val="hybridMultilevel"/>
    <w:tmpl w:val="37B43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534402">
    <w:abstractNumId w:val="1"/>
  </w:num>
  <w:num w:numId="2" w16cid:durableId="1142693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87"/>
    <w:rsid w:val="000145E0"/>
    <w:rsid w:val="0006656C"/>
    <w:rsid w:val="00066978"/>
    <w:rsid w:val="00083A77"/>
    <w:rsid w:val="000B568D"/>
    <w:rsid w:val="000E421D"/>
    <w:rsid w:val="0014379E"/>
    <w:rsid w:val="00193380"/>
    <w:rsid w:val="00196814"/>
    <w:rsid w:val="001E6B84"/>
    <w:rsid w:val="002152A2"/>
    <w:rsid w:val="002A1D5C"/>
    <w:rsid w:val="002B1920"/>
    <w:rsid w:val="002F42C6"/>
    <w:rsid w:val="00305073"/>
    <w:rsid w:val="0033222A"/>
    <w:rsid w:val="0035197A"/>
    <w:rsid w:val="003E1F53"/>
    <w:rsid w:val="004818DB"/>
    <w:rsid w:val="004D202F"/>
    <w:rsid w:val="004F214E"/>
    <w:rsid w:val="00504635"/>
    <w:rsid w:val="005263E5"/>
    <w:rsid w:val="005744DD"/>
    <w:rsid w:val="005B6750"/>
    <w:rsid w:val="006241A1"/>
    <w:rsid w:val="00661488"/>
    <w:rsid w:val="006A24BA"/>
    <w:rsid w:val="006D5091"/>
    <w:rsid w:val="00717AED"/>
    <w:rsid w:val="007377DD"/>
    <w:rsid w:val="00776B88"/>
    <w:rsid w:val="0078428B"/>
    <w:rsid w:val="007A3699"/>
    <w:rsid w:val="007B390F"/>
    <w:rsid w:val="007D393C"/>
    <w:rsid w:val="007E3E0D"/>
    <w:rsid w:val="008108BA"/>
    <w:rsid w:val="008722DE"/>
    <w:rsid w:val="008941D6"/>
    <w:rsid w:val="008B2D76"/>
    <w:rsid w:val="008C4744"/>
    <w:rsid w:val="008F0C2B"/>
    <w:rsid w:val="009072F5"/>
    <w:rsid w:val="009A726D"/>
    <w:rsid w:val="009C1F26"/>
    <w:rsid w:val="00AB404F"/>
    <w:rsid w:val="00AB793A"/>
    <w:rsid w:val="00AC58F6"/>
    <w:rsid w:val="00AF3234"/>
    <w:rsid w:val="00B20692"/>
    <w:rsid w:val="00B63666"/>
    <w:rsid w:val="00BB619D"/>
    <w:rsid w:val="00BE4C6D"/>
    <w:rsid w:val="00C12A3D"/>
    <w:rsid w:val="00C635E1"/>
    <w:rsid w:val="00C80A48"/>
    <w:rsid w:val="00CD42FC"/>
    <w:rsid w:val="00D73587"/>
    <w:rsid w:val="00D8699C"/>
    <w:rsid w:val="00E315B0"/>
    <w:rsid w:val="00F2644D"/>
    <w:rsid w:val="00F5251C"/>
    <w:rsid w:val="00FB4E2B"/>
    <w:rsid w:val="00FF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710A64"/>
  <w15:chartTrackingRefBased/>
  <w15:docId w15:val="{8E0F95DC-5E18-4044-A3E6-5AA6A2E9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8B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44D"/>
  </w:style>
  <w:style w:type="paragraph" w:styleId="Footer">
    <w:name w:val="footer"/>
    <w:basedOn w:val="Normal"/>
    <w:link w:val="FooterChar"/>
    <w:uiPriority w:val="99"/>
    <w:unhideWhenUsed/>
    <w:rsid w:val="00F264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44D"/>
  </w:style>
  <w:style w:type="paragraph" w:styleId="Title">
    <w:name w:val="Title"/>
    <w:basedOn w:val="Normal"/>
    <w:next w:val="Normal"/>
    <w:link w:val="TitleChar"/>
    <w:uiPriority w:val="10"/>
    <w:qFormat/>
    <w:rsid w:val="00F264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08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4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2644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D8699C"/>
    <w:rPr>
      <w:color w:val="808080"/>
    </w:rPr>
  </w:style>
  <w:style w:type="table" w:styleId="TableGrid">
    <w:name w:val="Table Grid"/>
    <w:basedOn w:val="TableNormal"/>
    <w:uiPriority w:val="39"/>
    <w:rsid w:val="00BB6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B61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MU Serif">
      <a:majorFont>
        <a:latin typeface="CMU Serif"/>
        <a:ea typeface=""/>
        <a:cs typeface=""/>
      </a:majorFont>
      <a:minorFont>
        <a:latin typeface="CMU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Edward-Christian Marin</dc:creator>
  <cp:keywords/>
  <dc:description/>
  <cp:lastModifiedBy>Edward-Christian Marin</cp:lastModifiedBy>
  <cp:revision>59</cp:revision>
  <dcterms:created xsi:type="dcterms:W3CDTF">2022-11-28T22:00:00Z</dcterms:created>
  <dcterms:modified xsi:type="dcterms:W3CDTF">2022-11-28T23:42:00Z</dcterms:modified>
</cp:coreProperties>
</file>