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BFA737" w14:textId="3F853DE5" w:rsidR="00361CC7" w:rsidRPr="00361CC7" w:rsidRDefault="003C162B" w:rsidP="003C162B">
      <w:pPr>
        <w:spacing w:line="240" w:lineRule="auto"/>
        <w:jc w:val="both"/>
        <w:rPr>
          <w:rFonts w:ascii="Bauhaus 93" w:hAnsi="Bauhaus 93"/>
          <w:sz w:val="48"/>
          <w:szCs w:val="48"/>
        </w:rPr>
      </w:pPr>
      <w:r>
        <w:rPr>
          <w:rFonts w:ascii="Bauhaus 93" w:hAnsi="Bauhaus 93"/>
          <w:noProof/>
          <w:sz w:val="48"/>
          <w:szCs w:val="48"/>
        </w:rPr>
        <w:drawing>
          <wp:anchor distT="0" distB="0" distL="114300" distR="114300" simplePos="0" relativeHeight="251723776" behindDoc="1" locked="0" layoutInCell="1" allowOverlap="1" wp14:anchorId="019BDE62" wp14:editId="399AD3C2">
            <wp:simplePos x="0" y="0"/>
            <wp:positionH relativeFrom="column">
              <wp:posOffset>-914400</wp:posOffset>
            </wp:positionH>
            <wp:positionV relativeFrom="paragraph">
              <wp:posOffset>-914400</wp:posOffset>
            </wp:positionV>
            <wp:extent cx="7772400" cy="10058400"/>
            <wp:effectExtent l="0" t="0" r="0" b="0"/>
            <wp:wrapNone/>
            <wp:docPr id="13877703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70309" name="Picture 25"/>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706EFF" w14:textId="77777777" w:rsidR="00361CC7" w:rsidRPr="00361CC7" w:rsidRDefault="00361CC7" w:rsidP="003C162B">
      <w:pPr>
        <w:jc w:val="both"/>
        <w:rPr>
          <w:rFonts w:ascii="Bauhaus 93" w:hAnsi="Bauhaus 93"/>
          <w:sz w:val="48"/>
          <w:szCs w:val="48"/>
        </w:rPr>
      </w:pPr>
      <w:r w:rsidRPr="00361CC7">
        <w:rPr>
          <w:rFonts w:ascii="Bauhaus 93" w:hAnsi="Bauhaus 93"/>
          <w:sz w:val="48"/>
          <w:szCs w:val="48"/>
        </w:rPr>
        <w:br w:type="page"/>
      </w:r>
    </w:p>
    <w:p w14:paraId="1E760283" w14:textId="0301607F" w:rsidR="00FC705E" w:rsidRPr="00857F23" w:rsidRDefault="004A4AA9" w:rsidP="003C162B">
      <w:pPr>
        <w:spacing w:line="240" w:lineRule="auto"/>
        <w:jc w:val="both"/>
        <w:rPr>
          <w:rFonts w:ascii="Aptos" w:hAnsi="Aptos"/>
          <w:b/>
          <w:bCs/>
          <w:sz w:val="48"/>
          <w:szCs w:val="48"/>
        </w:rPr>
      </w:pPr>
      <w:r w:rsidRPr="00857F23">
        <w:rPr>
          <w:rFonts w:ascii="Aptos" w:hAnsi="Aptos"/>
          <w:b/>
          <w:bCs/>
          <w:sz w:val="48"/>
          <w:szCs w:val="48"/>
        </w:rPr>
        <w:lastRenderedPageBreak/>
        <w:t>G</w:t>
      </w:r>
      <w:r w:rsidR="00887E89">
        <w:rPr>
          <w:rFonts w:ascii="Aptos" w:hAnsi="Aptos"/>
          <w:b/>
          <w:bCs/>
          <w:sz w:val="48"/>
          <w:szCs w:val="48"/>
        </w:rPr>
        <w:t>R8-1</w:t>
      </w:r>
    </w:p>
    <w:p w14:paraId="2F07FE47" w14:textId="4BDF06BA" w:rsidR="00505CB7" w:rsidRPr="00505CB7" w:rsidRDefault="00505CB7" w:rsidP="00505CB7">
      <w:pPr>
        <w:spacing w:line="240" w:lineRule="auto"/>
        <w:jc w:val="both"/>
        <w:rPr>
          <w:rFonts w:ascii="Aptos" w:hAnsi="Aptos"/>
          <w:i/>
          <w:iCs/>
        </w:rPr>
      </w:pPr>
      <w:r w:rsidRPr="00505CB7">
        <w:rPr>
          <w:rFonts w:ascii="Aptos" w:hAnsi="Aptos"/>
          <w:b/>
          <w:bCs/>
          <w:i/>
          <w:iCs/>
        </w:rPr>
        <w:t>Disclaimer</w:t>
      </w:r>
      <w:r w:rsidRPr="00505CB7">
        <w:rPr>
          <w:rFonts w:ascii="Aptos" w:hAnsi="Aptos"/>
          <w:i/>
          <w:iCs/>
        </w:rPr>
        <w:t xml:space="preserve">: </w:t>
      </w:r>
    </w:p>
    <w:p w14:paraId="2836C354" w14:textId="35286095" w:rsidR="00505CB7" w:rsidRPr="00BE174A" w:rsidRDefault="00505CB7" w:rsidP="00BE174A">
      <w:pPr>
        <w:spacing w:line="240" w:lineRule="auto"/>
        <w:ind w:firstLine="720"/>
        <w:jc w:val="both"/>
        <w:rPr>
          <w:rFonts w:ascii="Aptos" w:hAnsi="Aptos"/>
          <w:i/>
          <w:iCs/>
          <w:sz w:val="20"/>
          <w:szCs w:val="20"/>
        </w:rPr>
      </w:pPr>
      <w:r w:rsidRPr="00BE174A">
        <w:rPr>
          <w:rFonts w:ascii="Aptos" w:hAnsi="Aptos"/>
          <w:i/>
          <w:iCs/>
          <w:sz w:val="20"/>
          <w:szCs w:val="20"/>
        </w:rPr>
        <w:t xml:space="preserve">The development for this processor </w:t>
      </w:r>
      <w:r w:rsidR="0067294E">
        <w:rPr>
          <w:rFonts w:ascii="Aptos" w:hAnsi="Aptos"/>
          <w:i/>
          <w:iCs/>
          <w:sz w:val="20"/>
          <w:szCs w:val="20"/>
        </w:rPr>
        <w:t>began</w:t>
      </w:r>
      <w:r w:rsidRPr="00BE174A">
        <w:rPr>
          <w:rFonts w:ascii="Aptos" w:hAnsi="Aptos"/>
          <w:i/>
          <w:iCs/>
          <w:sz w:val="20"/>
          <w:szCs w:val="20"/>
        </w:rPr>
        <w:t xml:space="preserve"> </w:t>
      </w:r>
      <w:r w:rsidR="0067294E" w:rsidRPr="00BE174A">
        <w:rPr>
          <w:rFonts w:ascii="Aptos" w:hAnsi="Aptos"/>
          <w:i/>
          <w:iCs/>
          <w:sz w:val="20"/>
          <w:szCs w:val="20"/>
        </w:rPr>
        <w:t>December</w:t>
      </w:r>
      <w:r w:rsidRPr="00BE174A">
        <w:rPr>
          <w:rFonts w:ascii="Aptos" w:hAnsi="Aptos"/>
          <w:i/>
          <w:iCs/>
          <w:sz w:val="20"/>
          <w:szCs w:val="20"/>
        </w:rPr>
        <w:t xml:space="preserve"> 24</w:t>
      </w:r>
      <w:r w:rsidRPr="00BE174A">
        <w:rPr>
          <w:rFonts w:ascii="Aptos" w:hAnsi="Aptos"/>
          <w:i/>
          <w:iCs/>
          <w:sz w:val="20"/>
          <w:szCs w:val="20"/>
          <w:vertAlign w:val="superscript"/>
        </w:rPr>
        <w:t>th</w:t>
      </w:r>
      <w:r w:rsidRPr="00BE174A">
        <w:rPr>
          <w:rFonts w:ascii="Aptos" w:hAnsi="Aptos"/>
          <w:i/>
          <w:iCs/>
          <w:sz w:val="20"/>
          <w:szCs w:val="20"/>
        </w:rPr>
        <w:t>, 2024. Documentation for it began January 4</w:t>
      </w:r>
      <w:r w:rsidRPr="00BE174A">
        <w:rPr>
          <w:rFonts w:ascii="Aptos" w:hAnsi="Aptos"/>
          <w:i/>
          <w:iCs/>
          <w:sz w:val="20"/>
          <w:szCs w:val="20"/>
          <w:vertAlign w:val="superscript"/>
        </w:rPr>
        <w:t>th</w:t>
      </w:r>
      <w:r w:rsidRPr="00BE174A">
        <w:rPr>
          <w:rFonts w:ascii="Aptos" w:hAnsi="Aptos"/>
          <w:i/>
          <w:iCs/>
          <w:sz w:val="20"/>
          <w:szCs w:val="20"/>
        </w:rPr>
        <w:t>, 2025. The information provided in this overview is subject to change until the processor architecture is fully assembled and tested. A</w:t>
      </w:r>
      <w:r w:rsidR="0067294E">
        <w:rPr>
          <w:rFonts w:ascii="Aptos" w:hAnsi="Aptos"/>
          <w:i/>
          <w:iCs/>
          <w:sz w:val="20"/>
          <w:szCs w:val="20"/>
        </w:rPr>
        <w:t xml:space="preserve">nother </w:t>
      </w:r>
      <w:r w:rsidRPr="00BE174A">
        <w:rPr>
          <w:rFonts w:ascii="Aptos" w:hAnsi="Aptos"/>
          <w:i/>
          <w:iCs/>
          <w:sz w:val="20"/>
          <w:szCs w:val="20"/>
        </w:rPr>
        <w:t>report will be available alongside this on</w:t>
      </w:r>
      <w:r w:rsidR="00BE174A" w:rsidRPr="00BE174A">
        <w:rPr>
          <w:rFonts w:ascii="Aptos" w:hAnsi="Aptos"/>
          <w:i/>
          <w:iCs/>
          <w:sz w:val="20"/>
          <w:szCs w:val="20"/>
        </w:rPr>
        <w:t>e</w:t>
      </w:r>
      <w:r w:rsidRPr="00BE174A">
        <w:rPr>
          <w:rFonts w:ascii="Aptos" w:hAnsi="Aptos"/>
          <w:i/>
          <w:iCs/>
          <w:sz w:val="20"/>
          <w:szCs w:val="20"/>
        </w:rPr>
        <w:t xml:space="preserve">. That report will include </w:t>
      </w:r>
      <w:r w:rsidR="00BE174A" w:rsidRPr="00BE174A">
        <w:rPr>
          <w:rFonts w:ascii="Aptos" w:hAnsi="Aptos"/>
          <w:i/>
          <w:iCs/>
          <w:sz w:val="20"/>
          <w:szCs w:val="20"/>
        </w:rPr>
        <w:t xml:space="preserve">prototype information and branching ideas that will lead to the architecture described here for the </w:t>
      </w:r>
      <w:r w:rsidR="00BE174A" w:rsidRPr="0067294E">
        <w:rPr>
          <w:rFonts w:ascii="Aptos" w:hAnsi="Aptos"/>
          <w:i/>
          <w:iCs/>
          <w:strike/>
          <w:sz w:val="20"/>
          <w:szCs w:val="20"/>
        </w:rPr>
        <w:t>G2X8</w:t>
      </w:r>
      <w:r w:rsidR="0067294E">
        <w:rPr>
          <w:rFonts w:ascii="Aptos" w:hAnsi="Aptos"/>
          <w:i/>
          <w:iCs/>
          <w:sz w:val="20"/>
          <w:szCs w:val="20"/>
        </w:rPr>
        <w:t xml:space="preserve"> GR8-1</w:t>
      </w:r>
      <w:r w:rsidR="00BE174A" w:rsidRPr="00BE174A">
        <w:rPr>
          <w:rFonts w:ascii="Aptos" w:hAnsi="Aptos"/>
          <w:i/>
          <w:iCs/>
          <w:sz w:val="20"/>
          <w:szCs w:val="20"/>
        </w:rPr>
        <w:t>.</w:t>
      </w:r>
    </w:p>
    <w:p w14:paraId="3461E899" w14:textId="77777777" w:rsidR="00505CB7" w:rsidRDefault="00505CB7" w:rsidP="003C162B">
      <w:pPr>
        <w:spacing w:line="240" w:lineRule="auto"/>
        <w:jc w:val="both"/>
        <w:rPr>
          <w:rFonts w:ascii="Aptos" w:hAnsi="Aptos"/>
        </w:rPr>
      </w:pPr>
    </w:p>
    <w:p w14:paraId="3EA5942F" w14:textId="2800AEB1" w:rsidR="00A94756" w:rsidRDefault="003C162B" w:rsidP="00BE174A">
      <w:pPr>
        <w:spacing w:line="240" w:lineRule="auto"/>
        <w:ind w:firstLine="720"/>
        <w:jc w:val="both"/>
        <w:rPr>
          <w:rFonts w:ascii="Aptos" w:hAnsi="Aptos"/>
        </w:rPr>
      </w:pPr>
      <w:r>
        <w:rPr>
          <w:rFonts w:ascii="Aptos" w:hAnsi="Aptos"/>
        </w:rPr>
        <w:t>T</w:t>
      </w:r>
      <w:r w:rsidR="00887E89">
        <w:rPr>
          <w:rFonts w:ascii="Aptos" w:hAnsi="Aptos"/>
        </w:rPr>
        <w:t>here has been a renaming of the architecture, and the development goals have changed since this was first documented in January. The architecture has gone through a redesign that should allow for higher theoretical performance while facilitating design. The MMU</w:t>
      </w:r>
      <w:r w:rsidR="00C82F83">
        <w:rPr>
          <w:rFonts w:ascii="Aptos" w:hAnsi="Aptos"/>
        </w:rPr>
        <w:t xml:space="preserve"> and Stack</w:t>
      </w:r>
      <w:r w:rsidR="00887E89">
        <w:rPr>
          <w:rFonts w:ascii="Aptos" w:hAnsi="Aptos"/>
        </w:rPr>
        <w:t xml:space="preserve"> ha</w:t>
      </w:r>
      <w:r w:rsidR="00C82F83">
        <w:rPr>
          <w:rFonts w:ascii="Aptos" w:hAnsi="Aptos"/>
        </w:rPr>
        <w:t>ve</w:t>
      </w:r>
      <w:r w:rsidR="00887E89">
        <w:rPr>
          <w:rFonts w:ascii="Aptos" w:hAnsi="Aptos"/>
        </w:rPr>
        <w:t xml:space="preserve"> been dropped to allow for a simpler design, more akin to a RISC processor, which is the goal. I’ll be discussing the goal of the GR8-1 in terms of performance and laying the ground for the GR8-2.</w:t>
      </w:r>
    </w:p>
    <w:p w14:paraId="19F3B2D9" w14:textId="700FF1B8" w:rsidR="00FA5698" w:rsidRDefault="001D711B" w:rsidP="003C162B">
      <w:pPr>
        <w:spacing w:line="240" w:lineRule="auto"/>
        <w:jc w:val="both"/>
        <w:rPr>
          <w:rFonts w:ascii="Aptos" w:hAnsi="Aptos"/>
        </w:rPr>
      </w:pPr>
      <w:r>
        <w:rPr>
          <w:rFonts w:ascii="Bauhaus 93" w:hAnsi="Bauhaus 93"/>
          <w:noProof/>
        </w:rPr>
        <w:drawing>
          <wp:anchor distT="0" distB="0" distL="114300" distR="114300" simplePos="0" relativeHeight="251724800" behindDoc="0" locked="0" layoutInCell="1" allowOverlap="1" wp14:anchorId="39ED7265" wp14:editId="44FF4C19">
            <wp:simplePos x="0" y="0"/>
            <wp:positionH relativeFrom="margin">
              <wp:align>center</wp:align>
            </wp:positionH>
            <wp:positionV relativeFrom="paragraph">
              <wp:posOffset>228081</wp:posOffset>
            </wp:positionV>
            <wp:extent cx="5669280" cy="2834640"/>
            <wp:effectExtent l="0" t="38100" r="26670" b="60960"/>
            <wp:wrapTopAndBottom/>
            <wp:docPr id="169697455"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anchor>
        </w:drawing>
      </w:r>
    </w:p>
    <w:p w14:paraId="4B5F2F6A" w14:textId="78790469" w:rsidR="004A4AA9" w:rsidRDefault="00BE174A" w:rsidP="00887E89">
      <w:pPr>
        <w:spacing w:line="240" w:lineRule="auto"/>
        <w:jc w:val="both"/>
        <w:rPr>
          <w:rFonts w:ascii="Bauhaus 93" w:hAnsi="Bauhaus 93"/>
        </w:rPr>
      </w:pPr>
      <w:r>
        <w:rPr>
          <w:rFonts w:ascii="Aptos" w:hAnsi="Aptos"/>
          <w:i/>
          <w:iCs/>
        </w:rPr>
        <w:t xml:space="preserve">Fig. 1 - </w:t>
      </w:r>
      <w:r w:rsidRPr="00BE174A">
        <w:rPr>
          <w:rFonts w:ascii="Aptos" w:hAnsi="Aptos"/>
          <w:i/>
          <w:iCs/>
        </w:rPr>
        <w:t>General overview of the processor layout.</w:t>
      </w:r>
      <w:r w:rsidR="00887E89" w:rsidRPr="00361CC7">
        <w:rPr>
          <w:rFonts w:ascii="Bauhaus 93" w:hAnsi="Bauhaus 93"/>
        </w:rPr>
        <w:t xml:space="preserve"> </w:t>
      </w:r>
    </w:p>
    <w:p w14:paraId="5DE3E677" w14:textId="77777777" w:rsidR="00887E89" w:rsidRDefault="00887E89" w:rsidP="00887E89">
      <w:pPr>
        <w:spacing w:line="240" w:lineRule="auto"/>
        <w:jc w:val="both"/>
        <w:rPr>
          <w:rFonts w:ascii="Bauhaus 93" w:hAnsi="Bauhaus 93"/>
        </w:rPr>
      </w:pPr>
    </w:p>
    <w:p w14:paraId="1A67999D" w14:textId="59188D56" w:rsidR="00887E89" w:rsidRPr="00887E89" w:rsidRDefault="00887E89" w:rsidP="00887E89">
      <w:pPr>
        <w:spacing w:line="240" w:lineRule="auto"/>
        <w:jc w:val="both"/>
        <w:rPr>
          <w:rFonts w:asciiTheme="majorHAnsi" w:hAnsiTheme="majorHAnsi"/>
        </w:rPr>
      </w:pPr>
      <w:r>
        <w:rPr>
          <w:rFonts w:ascii="Bauhaus 93" w:hAnsi="Bauhaus 93"/>
          <w:i/>
          <w:iCs/>
        </w:rPr>
        <w:tab/>
      </w:r>
      <w:r>
        <w:rPr>
          <w:rFonts w:asciiTheme="majorHAnsi" w:hAnsiTheme="majorHAnsi"/>
        </w:rPr>
        <w:t xml:space="preserve">This version of the redesign will opt out of the 16bit register idea, while maintaining a similar layout to January’s design. The queue, wrongly named stack, will be removed. The purpose of said queue was to have the </w:t>
      </w:r>
      <w:r w:rsidR="001E672C">
        <w:rPr>
          <w:rFonts w:asciiTheme="majorHAnsi" w:hAnsiTheme="majorHAnsi"/>
        </w:rPr>
        <w:t>return</w:t>
      </w:r>
      <w:r>
        <w:rPr>
          <w:rFonts w:asciiTheme="majorHAnsi" w:hAnsiTheme="majorHAnsi"/>
        </w:rPr>
        <w:t xml:space="preserve"> address of the operation</w:t>
      </w:r>
      <w:r w:rsidR="00F14E4E">
        <w:rPr>
          <w:rFonts w:asciiTheme="majorHAnsi" w:hAnsiTheme="majorHAnsi"/>
        </w:rPr>
        <w:t xml:space="preserve"> queued until it was executed. The </w:t>
      </w:r>
      <w:r w:rsidR="001E672C">
        <w:rPr>
          <w:rFonts w:asciiTheme="majorHAnsi" w:hAnsiTheme="majorHAnsi"/>
        </w:rPr>
        <w:t xml:space="preserve">result </w:t>
      </w:r>
      <w:r w:rsidR="00F14E4E">
        <w:rPr>
          <w:rFonts w:asciiTheme="majorHAnsi" w:hAnsiTheme="majorHAnsi"/>
        </w:rPr>
        <w:t>would then be handled by the</w:t>
      </w:r>
      <w:r w:rsidR="00C82F83">
        <w:rPr>
          <w:rFonts w:asciiTheme="majorHAnsi" w:hAnsiTheme="majorHAnsi"/>
        </w:rPr>
        <w:t xml:space="preserve"> </w:t>
      </w:r>
      <w:r w:rsidR="00F14E4E">
        <w:rPr>
          <w:rFonts w:asciiTheme="majorHAnsi" w:hAnsiTheme="majorHAnsi"/>
        </w:rPr>
        <w:t xml:space="preserve">now removed MMU. </w:t>
      </w:r>
      <w:r w:rsidR="001E672C">
        <w:rPr>
          <w:rFonts w:asciiTheme="majorHAnsi" w:hAnsiTheme="majorHAnsi"/>
        </w:rPr>
        <w:t>In contrast, this architecture will rely on executing a store instruction for the result to be returned. The GPR</w:t>
      </w:r>
      <w:r w:rsidR="0067294E">
        <w:rPr>
          <w:rFonts w:asciiTheme="majorHAnsi" w:hAnsiTheme="majorHAnsi"/>
        </w:rPr>
        <w:t xml:space="preserve"> </w:t>
      </w:r>
      <w:r w:rsidR="001E672C" w:rsidRPr="001E672C">
        <w:rPr>
          <w:rFonts w:asciiTheme="majorHAnsi" w:hAnsiTheme="majorHAnsi"/>
        </w:rPr>
        <w:t xml:space="preserve">found in the last </w:t>
      </w:r>
      <w:r w:rsidR="001E672C">
        <w:rPr>
          <w:rFonts w:asciiTheme="majorHAnsi" w:hAnsiTheme="majorHAnsi"/>
        </w:rPr>
        <w:t>iteration would have been directly accessed by the decoder, in this case, the GPR is now accessed by the scheduler. It is also shown that the number of registers and their width have been reduced in half</w:t>
      </w:r>
      <w:r w:rsidR="00983472">
        <w:rPr>
          <w:rFonts w:asciiTheme="majorHAnsi" w:hAnsiTheme="majorHAnsi"/>
        </w:rPr>
        <w:t>, mainly to reduce complexity</w:t>
      </w:r>
      <w:r w:rsidR="001E672C">
        <w:rPr>
          <w:rFonts w:asciiTheme="majorHAnsi" w:hAnsiTheme="majorHAnsi"/>
        </w:rPr>
        <w:t xml:space="preserve">. </w:t>
      </w:r>
    </w:p>
    <w:sectPr w:rsidR="00887E89" w:rsidRPr="00887E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uhaus 93">
    <w:panose1 w:val="04030905020B02020C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5137D"/>
    <w:multiLevelType w:val="hybridMultilevel"/>
    <w:tmpl w:val="A97A4E50"/>
    <w:lvl w:ilvl="0" w:tplc="DFA0C122">
      <w:start w:val="1"/>
      <w:numFmt w:val="bullet"/>
      <w:lvlText w:val="•"/>
      <w:lvlJc w:val="left"/>
      <w:pPr>
        <w:tabs>
          <w:tab w:val="num" w:pos="720"/>
        </w:tabs>
        <w:ind w:left="720" w:hanging="360"/>
      </w:pPr>
      <w:rPr>
        <w:rFonts w:ascii="Times New Roman" w:hAnsi="Times New Roman" w:hint="default"/>
      </w:rPr>
    </w:lvl>
    <w:lvl w:ilvl="1" w:tplc="EE46AB46">
      <w:numFmt w:val="bullet"/>
      <w:lvlText w:val="•"/>
      <w:lvlJc w:val="left"/>
      <w:pPr>
        <w:tabs>
          <w:tab w:val="num" w:pos="1440"/>
        </w:tabs>
        <w:ind w:left="1440" w:hanging="360"/>
      </w:pPr>
      <w:rPr>
        <w:rFonts w:ascii="Times New Roman" w:hAnsi="Times New Roman" w:hint="default"/>
      </w:rPr>
    </w:lvl>
    <w:lvl w:ilvl="2" w:tplc="3E220B34" w:tentative="1">
      <w:start w:val="1"/>
      <w:numFmt w:val="bullet"/>
      <w:lvlText w:val="•"/>
      <w:lvlJc w:val="left"/>
      <w:pPr>
        <w:tabs>
          <w:tab w:val="num" w:pos="2160"/>
        </w:tabs>
        <w:ind w:left="2160" w:hanging="360"/>
      </w:pPr>
      <w:rPr>
        <w:rFonts w:ascii="Times New Roman" w:hAnsi="Times New Roman" w:hint="default"/>
      </w:rPr>
    </w:lvl>
    <w:lvl w:ilvl="3" w:tplc="12FE1FCA" w:tentative="1">
      <w:start w:val="1"/>
      <w:numFmt w:val="bullet"/>
      <w:lvlText w:val="•"/>
      <w:lvlJc w:val="left"/>
      <w:pPr>
        <w:tabs>
          <w:tab w:val="num" w:pos="2880"/>
        </w:tabs>
        <w:ind w:left="2880" w:hanging="360"/>
      </w:pPr>
      <w:rPr>
        <w:rFonts w:ascii="Times New Roman" w:hAnsi="Times New Roman" w:hint="default"/>
      </w:rPr>
    </w:lvl>
    <w:lvl w:ilvl="4" w:tplc="07CECDA8" w:tentative="1">
      <w:start w:val="1"/>
      <w:numFmt w:val="bullet"/>
      <w:lvlText w:val="•"/>
      <w:lvlJc w:val="left"/>
      <w:pPr>
        <w:tabs>
          <w:tab w:val="num" w:pos="3600"/>
        </w:tabs>
        <w:ind w:left="3600" w:hanging="360"/>
      </w:pPr>
      <w:rPr>
        <w:rFonts w:ascii="Times New Roman" w:hAnsi="Times New Roman" w:hint="default"/>
      </w:rPr>
    </w:lvl>
    <w:lvl w:ilvl="5" w:tplc="58481884" w:tentative="1">
      <w:start w:val="1"/>
      <w:numFmt w:val="bullet"/>
      <w:lvlText w:val="•"/>
      <w:lvlJc w:val="left"/>
      <w:pPr>
        <w:tabs>
          <w:tab w:val="num" w:pos="4320"/>
        </w:tabs>
        <w:ind w:left="4320" w:hanging="360"/>
      </w:pPr>
      <w:rPr>
        <w:rFonts w:ascii="Times New Roman" w:hAnsi="Times New Roman" w:hint="default"/>
      </w:rPr>
    </w:lvl>
    <w:lvl w:ilvl="6" w:tplc="D090BAD4" w:tentative="1">
      <w:start w:val="1"/>
      <w:numFmt w:val="bullet"/>
      <w:lvlText w:val="•"/>
      <w:lvlJc w:val="left"/>
      <w:pPr>
        <w:tabs>
          <w:tab w:val="num" w:pos="5040"/>
        </w:tabs>
        <w:ind w:left="5040" w:hanging="360"/>
      </w:pPr>
      <w:rPr>
        <w:rFonts w:ascii="Times New Roman" w:hAnsi="Times New Roman" w:hint="default"/>
      </w:rPr>
    </w:lvl>
    <w:lvl w:ilvl="7" w:tplc="E4B48A74" w:tentative="1">
      <w:start w:val="1"/>
      <w:numFmt w:val="bullet"/>
      <w:lvlText w:val="•"/>
      <w:lvlJc w:val="left"/>
      <w:pPr>
        <w:tabs>
          <w:tab w:val="num" w:pos="5760"/>
        </w:tabs>
        <w:ind w:left="5760" w:hanging="360"/>
      </w:pPr>
      <w:rPr>
        <w:rFonts w:ascii="Times New Roman" w:hAnsi="Times New Roman" w:hint="default"/>
      </w:rPr>
    </w:lvl>
    <w:lvl w:ilvl="8" w:tplc="15CA380E" w:tentative="1">
      <w:start w:val="1"/>
      <w:numFmt w:val="bullet"/>
      <w:lvlText w:val="•"/>
      <w:lvlJc w:val="left"/>
      <w:pPr>
        <w:tabs>
          <w:tab w:val="num" w:pos="6480"/>
        </w:tabs>
        <w:ind w:left="6480" w:hanging="360"/>
      </w:pPr>
      <w:rPr>
        <w:rFonts w:ascii="Times New Roman" w:hAnsi="Times New Roman" w:hint="default"/>
      </w:rPr>
    </w:lvl>
  </w:abstractNum>
  <w:num w:numId="1" w16cid:durableId="1582329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hyphenationZone w:val="425"/>
  <w:drawingGridHorizontalSpacing w:val="72"/>
  <w:drawingGridVerticalSpacing w:val="7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05E"/>
    <w:rsid w:val="00096DD9"/>
    <w:rsid w:val="000C6530"/>
    <w:rsid w:val="000D6EE7"/>
    <w:rsid w:val="000E1D12"/>
    <w:rsid w:val="00132EFE"/>
    <w:rsid w:val="001D711B"/>
    <w:rsid w:val="001E672C"/>
    <w:rsid w:val="00217F07"/>
    <w:rsid w:val="002405FA"/>
    <w:rsid w:val="00352600"/>
    <w:rsid w:val="00361CC7"/>
    <w:rsid w:val="003C162B"/>
    <w:rsid w:val="003E728D"/>
    <w:rsid w:val="00402FF4"/>
    <w:rsid w:val="00467503"/>
    <w:rsid w:val="004777DE"/>
    <w:rsid w:val="004A4AA9"/>
    <w:rsid w:val="00505CB7"/>
    <w:rsid w:val="0053227A"/>
    <w:rsid w:val="005A676A"/>
    <w:rsid w:val="005D4A3F"/>
    <w:rsid w:val="0067294E"/>
    <w:rsid w:val="006C3E46"/>
    <w:rsid w:val="007672E7"/>
    <w:rsid w:val="007A6018"/>
    <w:rsid w:val="007B299E"/>
    <w:rsid w:val="007E53EC"/>
    <w:rsid w:val="00857F23"/>
    <w:rsid w:val="00887E89"/>
    <w:rsid w:val="009216BE"/>
    <w:rsid w:val="00983472"/>
    <w:rsid w:val="009C24D8"/>
    <w:rsid w:val="00A16C53"/>
    <w:rsid w:val="00A702C2"/>
    <w:rsid w:val="00A94756"/>
    <w:rsid w:val="00AF5AF0"/>
    <w:rsid w:val="00BE174A"/>
    <w:rsid w:val="00BE2125"/>
    <w:rsid w:val="00C82F83"/>
    <w:rsid w:val="00D505C2"/>
    <w:rsid w:val="00E407C6"/>
    <w:rsid w:val="00E77EBA"/>
    <w:rsid w:val="00EA02C4"/>
    <w:rsid w:val="00F11B77"/>
    <w:rsid w:val="00F14E4E"/>
    <w:rsid w:val="00FA5698"/>
    <w:rsid w:val="00FC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F9018"/>
  <w15:chartTrackingRefBased/>
  <w15:docId w15:val="{7A37649D-E509-4935-BC3E-1579E9133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018"/>
  </w:style>
  <w:style w:type="paragraph" w:styleId="Heading1">
    <w:name w:val="heading 1"/>
    <w:basedOn w:val="Normal"/>
    <w:next w:val="Normal"/>
    <w:link w:val="Heading1Char"/>
    <w:uiPriority w:val="9"/>
    <w:qFormat/>
    <w:rsid w:val="00FC70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70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70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70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70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70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70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70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70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0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70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70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70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70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70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70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70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705E"/>
    <w:rPr>
      <w:rFonts w:eastAsiaTheme="majorEastAsia" w:cstheme="majorBidi"/>
      <w:color w:val="272727" w:themeColor="text1" w:themeTint="D8"/>
    </w:rPr>
  </w:style>
  <w:style w:type="paragraph" w:styleId="Title">
    <w:name w:val="Title"/>
    <w:basedOn w:val="Normal"/>
    <w:next w:val="Normal"/>
    <w:link w:val="TitleChar"/>
    <w:uiPriority w:val="10"/>
    <w:qFormat/>
    <w:rsid w:val="00FC70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70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70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70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705E"/>
    <w:pPr>
      <w:spacing w:before="160"/>
      <w:jc w:val="center"/>
    </w:pPr>
    <w:rPr>
      <w:i/>
      <w:iCs/>
      <w:color w:val="404040" w:themeColor="text1" w:themeTint="BF"/>
    </w:rPr>
  </w:style>
  <w:style w:type="character" w:customStyle="1" w:styleId="QuoteChar">
    <w:name w:val="Quote Char"/>
    <w:basedOn w:val="DefaultParagraphFont"/>
    <w:link w:val="Quote"/>
    <w:uiPriority w:val="29"/>
    <w:rsid w:val="00FC705E"/>
    <w:rPr>
      <w:i/>
      <w:iCs/>
      <w:color w:val="404040" w:themeColor="text1" w:themeTint="BF"/>
    </w:rPr>
  </w:style>
  <w:style w:type="paragraph" w:styleId="ListParagraph">
    <w:name w:val="List Paragraph"/>
    <w:basedOn w:val="Normal"/>
    <w:uiPriority w:val="34"/>
    <w:qFormat/>
    <w:rsid w:val="00FC705E"/>
    <w:pPr>
      <w:ind w:left="720"/>
      <w:contextualSpacing/>
    </w:pPr>
  </w:style>
  <w:style w:type="character" w:styleId="IntenseEmphasis">
    <w:name w:val="Intense Emphasis"/>
    <w:basedOn w:val="DefaultParagraphFont"/>
    <w:uiPriority w:val="21"/>
    <w:qFormat/>
    <w:rsid w:val="00FC705E"/>
    <w:rPr>
      <w:i/>
      <w:iCs/>
      <w:color w:val="0F4761" w:themeColor="accent1" w:themeShade="BF"/>
    </w:rPr>
  </w:style>
  <w:style w:type="paragraph" w:styleId="IntenseQuote">
    <w:name w:val="Intense Quote"/>
    <w:basedOn w:val="Normal"/>
    <w:next w:val="Normal"/>
    <w:link w:val="IntenseQuoteChar"/>
    <w:uiPriority w:val="30"/>
    <w:qFormat/>
    <w:rsid w:val="00FC70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705E"/>
    <w:rPr>
      <w:i/>
      <w:iCs/>
      <w:color w:val="0F4761" w:themeColor="accent1" w:themeShade="BF"/>
    </w:rPr>
  </w:style>
  <w:style w:type="character" w:styleId="IntenseReference">
    <w:name w:val="Intense Reference"/>
    <w:basedOn w:val="DefaultParagraphFont"/>
    <w:uiPriority w:val="32"/>
    <w:qFormat/>
    <w:rsid w:val="00FC705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7128589">
      <w:bodyDiv w:val="1"/>
      <w:marLeft w:val="0"/>
      <w:marRight w:val="0"/>
      <w:marTop w:val="0"/>
      <w:marBottom w:val="0"/>
      <w:divBdr>
        <w:top w:val="none" w:sz="0" w:space="0" w:color="auto"/>
        <w:left w:val="none" w:sz="0" w:space="0" w:color="auto"/>
        <w:bottom w:val="none" w:sz="0" w:space="0" w:color="auto"/>
        <w:right w:val="none" w:sz="0" w:space="0" w:color="auto"/>
      </w:divBdr>
      <w:divsChild>
        <w:div w:id="50471257">
          <w:marLeft w:val="547"/>
          <w:marRight w:val="0"/>
          <w:marTop w:val="0"/>
          <w:marBottom w:val="0"/>
          <w:divBdr>
            <w:top w:val="none" w:sz="0" w:space="0" w:color="auto"/>
            <w:left w:val="none" w:sz="0" w:space="0" w:color="auto"/>
            <w:bottom w:val="none" w:sz="0" w:space="0" w:color="auto"/>
            <w:right w:val="none" w:sz="0" w:space="0" w:color="auto"/>
          </w:divBdr>
        </w:div>
        <w:div w:id="1044676579">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diagramData" Target="diagrams/data1.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diagramDrawing" Target="diagrams/drawing1.xml"/><Relationship Id="rId5" Type="http://schemas.openxmlformats.org/officeDocument/2006/relationships/webSettings" Target="webSettings.xml"/><Relationship Id="rId10"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ED6A07-11BE-498C-9020-2817DAC5B972}" type="doc">
      <dgm:prSet loTypeId="urn:microsoft.com/office/officeart/2005/8/layout/hierarchy4" loCatId="list" qsTypeId="urn:microsoft.com/office/officeart/2005/8/quickstyle/simple1" qsCatId="simple" csTypeId="urn:microsoft.com/office/officeart/2005/8/colors/colorful1" csCatId="colorful" phldr="1"/>
      <dgm:spPr/>
      <dgm:t>
        <a:bodyPr/>
        <a:lstStyle/>
        <a:p>
          <a:endParaRPr lang="en-US"/>
        </a:p>
      </dgm:t>
    </dgm:pt>
    <dgm:pt modelId="{6CE8EDE0-7089-45DA-A975-238A3451EABF}">
      <dgm:prSet phldrT="[Text]"/>
      <dgm:spPr>
        <a:solidFill>
          <a:schemeClr val="accent3">
            <a:lumMod val="40000"/>
            <a:lumOff val="60000"/>
          </a:schemeClr>
        </a:solidFill>
      </dgm:spPr>
      <dgm:t>
        <a:bodyPr/>
        <a:lstStyle/>
        <a:p>
          <a:pPr algn="ctr"/>
          <a:r>
            <a:rPr lang="en-US">
              <a:effectLst>
                <a:outerShdw dist="50800" dir="5400000" algn="ctr" rotWithShape="0">
                  <a:srgbClr val="000000">
                    <a:alpha val="0"/>
                  </a:srgbClr>
                </a:outerShdw>
              </a:effectLst>
            </a:rPr>
            <a:t>Decode</a:t>
          </a:r>
        </a:p>
      </dgm:t>
    </dgm:pt>
    <dgm:pt modelId="{CB95A6F6-9643-4A1C-95FB-2E148D6291D7}" type="parTrans" cxnId="{8AC25E84-3481-4BCE-BC17-BF0A419CE9D2}">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10137DBC-B614-4F21-910C-6BC3E5618704}" type="sibTrans" cxnId="{8AC25E84-3481-4BCE-BC17-BF0A419CE9D2}">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35B48B42-A59E-445E-AD54-45283BEC9F49}">
      <dgm:prSet phldrT="[Text]"/>
      <dgm:spPr>
        <a:solidFill>
          <a:schemeClr val="accent3">
            <a:lumMod val="75000"/>
          </a:schemeClr>
        </a:solidFill>
      </dgm:spPr>
      <dgm:t>
        <a:bodyPr/>
        <a:lstStyle/>
        <a:p>
          <a:pPr algn="ctr"/>
          <a:r>
            <a:rPr lang="en-US">
              <a:effectLst>
                <a:outerShdw dist="50800" dir="5400000" algn="ctr" rotWithShape="0">
                  <a:srgbClr val="000000">
                    <a:alpha val="0"/>
                  </a:srgbClr>
                </a:outerShdw>
              </a:effectLst>
            </a:rPr>
            <a:t>EU</a:t>
          </a:r>
          <a:r>
            <a:rPr lang="en-US" baseline="-25000">
              <a:effectLst>
                <a:outerShdw dist="50800" dir="5400000" algn="ctr" rotWithShape="0">
                  <a:srgbClr val="000000">
                    <a:alpha val="0"/>
                  </a:srgbClr>
                </a:outerShdw>
              </a:effectLst>
            </a:rPr>
            <a:t>0</a:t>
          </a:r>
        </a:p>
      </dgm:t>
    </dgm:pt>
    <dgm:pt modelId="{0019DCE2-350F-47C4-875F-C74AAB42ECA7}" type="parTrans" cxnId="{9CFE08E6-67CE-4E7D-B90C-E26EA2E579AD}">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3AA38853-757E-4292-89EA-FB810678F8FD}" type="sibTrans" cxnId="{9CFE08E6-67CE-4E7D-B90C-E26EA2E579AD}">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94256A0B-0452-46EB-9909-E4929DB83CFC}">
      <dgm:prSet phldrT="[Text]"/>
      <dgm:spPr>
        <a:solidFill>
          <a:schemeClr val="accent3">
            <a:lumMod val="75000"/>
          </a:schemeClr>
        </a:solidFill>
      </dgm:spPr>
      <dgm:t>
        <a:bodyPr/>
        <a:lstStyle/>
        <a:p>
          <a:pPr algn="ctr"/>
          <a:r>
            <a:rPr lang="en-US">
              <a:effectLst>
                <a:outerShdw dist="50800" dir="5400000" algn="ctr" rotWithShape="0">
                  <a:srgbClr val="000000">
                    <a:alpha val="0"/>
                  </a:srgbClr>
                </a:outerShdw>
              </a:effectLst>
            </a:rPr>
            <a:t>GPR </a:t>
          </a:r>
          <a:r>
            <a:rPr lang="en-US" baseline="-25000">
              <a:effectLst>
                <a:outerShdw dist="50800" dir="5400000" algn="ctr" rotWithShape="0">
                  <a:srgbClr val="000000">
                    <a:alpha val="0"/>
                  </a:srgbClr>
                </a:outerShdw>
              </a:effectLst>
            </a:rPr>
            <a:t>8x8</a:t>
          </a:r>
        </a:p>
      </dgm:t>
    </dgm:pt>
    <dgm:pt modelId="{1C7F08ED-A706-4035-8289-00F8658A11D9}" type="parTrans" cxnId="{AEF35AB4-E88C-48AF-8682-8DBF7BB3DD6C}">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D6452A70-F1A3-405D-9D2D-58388144AFAD}" type="sibTrans" cxnId="{AEF35AB4-E88C-48AF-8682-8DBF7BB3DD6C}">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C4C69819-F00B-4A9E-929D-935491543805}">
      <dgm:prSet phldrT="[Text]"/>
      <dgm:spPr>
        <a:solidFill>
          <a:schemeClr val="accent3">
            <a:lumMod val="20000"/>
            <a:lumOff val="80000"/>
          </a:schemeClr>
        </a:solidFill>
      </dgm:spPr>
      <dgm:t>
        <a:bodyPr/>
        <a:lstStyle/>
        <a:p>
          <a:pPr algn="ctr"/>
          <a:r>
            <a:rPr lang="en-US">
              <a:effectLst>
                <a:outerShdw dist="50800" dir="5400000" algn="ctr" rotWithShape="0">
                  <a:srgbClr val="000000">
                    <a:alpha val="0"/>
                  </a:srgbClr>
                </a:outerShdw>
              </a:effectLst>
            </a:rPr>
            <a:t>Fetch</a:t>
          </a:r>
        </a:p>
      </dgm:t>
    </dgm:pt>
    <dgm:pt modelId="{E98B6436-E167-4D91-8261-E8EFE58D3DF7}" type="parTrans" cxnId="{76F1FFF1-BD16-4939-A226-ECF0214351D0}">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00DF0344-3904-4974-9C2B-20FE0DCE2230}" type="sibTrans" cxnId="{76F1FFF1-BD16-4939-A226-ECF0214351D0}">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14B67F64-4D6B-44DE-94CD-B568428C557E}">
      <dgm:prSet phldrT="[Text]"/>
      <dgm:spPr>
        <a:solidFill>
          <a:schemeClr val="accent3">
            <a:lumMod val="60000"/>
            <a:lumOff val="40000"/>
          </a:schemeClr>
        </a:solidFill>
      </dgm:spPr>
      <dgm:t>
        <a:bodyPr/>
        <a:lstStyle/>
        <a:p>
          <a:pPr algn="ctr"/>
          <a:r>
            <a:rPr lang="en-US">
              <a:effectLst>
                <a:outerShdw dist="50800" dir="5400000" algn="ctr" rotWithShape="0">
                  <a:srgbClr val="000000">
                    <a:alpha val="0"/>
                  </a:srgbClr>
                </a:outerShdw>
              </a:effectLst>
            </a:rPr>
            <a:t>Scheduler</a:t>
          </a:r>
        </a:p>
      </dgm:t>
    </dgm:pt>
    <dgm:pt modelId="{F13D0AEA-8D05-4C1C-A5FD-FB9D5308173E}" type="parTrans" cxnId="{7C14DF8B-ACD3-42AE-8977-7BB00860014C}">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05E7DE65-B71F-4D97-B844-4D4122BEB1FD}" type="sibTrans" cxnId="{7C14DF8B-ACD3-42AE-8977-7BB00860014C}">
      <dgm:prSet/>
      <dgm:spPr/>
      <dgm:t>
        <a:bodyPr/>
        <a:lstStyle/>
        <a:p>
          <a:pPr algn="ctr"/>
          <a:endParaRPr lang="en-US">
            <a:solidFill>
              <a:schemeClr val="lt1"/>
            </a:solidFill>
            <a:effectLst>
              <a:outerShdw dist="50800" dir="5400000" algn="ctr" rotWithShape="0">
                <a:srgbClr val="000000">
                  <a:alpha val="0"/>
                </a:srgbClr>
              </a:outerShdw>
            </a:effectLst>
          </a:endParaRPr>
        </a:p>
      </dgm:t>
    </dgm:pt>
    <dgm:pt modelId="{E17DFD25-CE26-4E26-8A35-D51B6CD54907}" type="pres">
      <dgm:prSet presAssocID="{7DED6A07-11BE-498C-9020-2817DAC5B972}" presName="Name0" presStyleCnt="0">
        <dgm:presLayoutVars>
          <dgm:chPref val="1"/>
          <dgm:dir/>
          <dgm:animOne val="branch"/>
          <dgm:animLvl val="lvl"/>
          <dgm:resizeHandles/>
        </dgm:presLayoutVars>
      </dgm:prSet>
      <dgm:spPr/>
    </dgm:pt>
    <dgm:pt modelId="{8B9B022A-050C-4567-BAA6-CB86CF1ACAE1}" type="pres">
      <dgm:prSet presAssocID="{C4C69819-F00B-4A9E-929D-935491543805}" presName="vertOne" presStyleCnt="0"/>
      <dgm:spPr/>
    </dgm:pt>
    <dgm:pt modelId="{67F2FBF2-ACF5-4063-934F-00A604498B95}" type="pres">
      <dgm:prSet presAssocID="{C4C69819-F00B-4A9E-929D-935491543805}" presName="txOne" presStyleLbl="node0" presStyleIdx="0" presStyleCnt="1">
        <dgm:presLayoutVars>
          <dgm:chPref val="3"/>
        </dgm:presLayoutVars>
      </dgm:prSet>
      <dgm:spPr/>
    </dgm:pt>
    <dgm:pt modelId="{BF55814C-669D-41D1-9A2E-BB62805117F4}" type="pres">
      <dgm:prSet presAssocID="{C4C69819-F00B-4A9E-929D-935491543805}" presName="parTransOne" presStyleCnt="0"/>
      <dgm:spPr/>
    </dgm:pt>
    <dgm:pt modelId="{FBE75A06-5A2A-462C-82F1-47E77EBE41A8}" type="pres">
      <dgm:prSet presAssocID="{C4C69819-F00B-4A9E-929D-935491543805}" presName="horzOne" presStyleCnt="0"/>
      <dgm:spPr/>
    </dgm:pt>
    <dgm:pt modelId="{58A62130-7DBE-4C4B-8ACA-997976B31219}" type="pres">
      <dgm:prSet presAssocID="{6CE8EDE0-7089-45DA-A975-238A3451EABF}" presName="vertTwo" presStyleCnt="0"/>
      <dgm:spPr/>
    </dgm:pt>
    <dgm:pt modelId="{293F8CE6-757A-429F-BDD2-B6F3D43A1A5D}" type="pres">
      <dgm:prSet presAssocID="{6CE8EDE0-7089-45DA-A975-238A3451EABF}" presName="txTwo" presStyleLbl="node2" presStyleIdx="0" presStyleCnt="1">
        <dgm:presLayoutVars>
          <dgm:chPref val="3"/>
        </dgm:presLayoutVars>
      </dgm:prSet>
      <dgm:spPr/>
    </dgm:pt>
    <dgm:pt modelId="{E3E255F7-E07A-4B9B-8ED8-710FAB94B233}" type="pres">
      <dgm:prSet presAssocID="{6CE8EDE0-7089-45DA-A975-238A3451EABF}" presName="parTransTwo" presStyleCnt="0"/>
      <dgm:spPr/>
    </dgm:pt>
    <dgm:pt modelId="{EFC3CB1F-B417-42EC-A1CB-87B10C27AD03}" type="pres">
      <dgm:prSet presAssocID="{6CE8EDE0-7089-45DA-A975-238A3451EABF}" presName="horzTwo" presStyleCnt="0"/>
      <dgm:spPr/>
    </dgm:pt>
    <dgm:pt modelId="{45718AF9-A6CC-41CC-942B-A46F174029FE}" type="pres">
      <dgm:prSet presAssocID="{14B67F64-4D6B-44DE-94CD-B568428C557E}" presName="vertThree" presStyleCnt="0"/>
      <dgm:spPr/>
    </dgm:pt>
    <dgm:pt modelId="{83A23793-9C4D-45F5-AA23-8FE39DAC423A}" type="pres">
      <dgm:prSet presAssocID="{14B67F64-4D6B-44DE-94CD-B568428C557E}" presName="txThree" presStyleLbl="node3" presStyleIdx="0" presStyleCnt="1">
        <dgm:presLayoutVars>
          <dgm:chPref val="3"/>
        </dgm:presLayoutVars>
      </dgm:prSet>
      <dgm:spPr/>
    </dgm:pt>
    <dgm:pt modelId="{0ADDA149-E982-48EF-989A-79D1FF0BA61E}" type="pres">
      <dgm:prSet presAssocID="{14B67F64-4D6B-44DE-94CD-B568428C557E}" presName="parTransThree" presStyleCnt="0"/>
      <dgm:spPr/>
    </dgm:pt>
    <dgm:pt modelId="{E072AC87-3401-4E9E-AF14-EC4D200720BE}" type="pres">
      <dgm:prSet presAssocID="{14B67F64-4D6B-44DE-94CD-B568428C557E}" presName="horzThree" presStyleCnt="0"/>
      <dgm:spPr/>
    </dgm:pt>
    <dgm:pt modelId="{26902A15-44E0-4FC2-BEDE-7CDC7A8D711C}" type="pres">
      <dgm:prSet presAssocID="{35B48B42-A59E-445E-AD54-45283BEC9F49}" presName="vertFour" presStyleCnt="0">
        <dgm:presLayoutVars>
          <dgm:chPref val="3"/>
        </dgm:presLayoutVars>
      </dgm:prSet>
      <dgm:spPr/>
    </dgm:pt>
    <dgm:pt modelId="{A0E54D10-A10B-41E0-8137-221F59854F53}" type="pres">
      <dgm:prSet presAssocID="{35B48B42-A59E-445E-AD54-45283BEC9F49}" presName="txFour" presStyleLbl="node4" presStyleIdx="0" presStyleCnt="2">
        <dgm:presLayoutVars>
          <dgm:chPref val="3"/>
        </dgm:presLayoutVars>
      </dgm:prSet>
      <dgm:spPr/>
    </dgm:pt>
    <dgm:pt modelId="{8A1EB62B-A5B5-4311-8D2A-07D6F6A69F0D}" type="pres">
      <dgm:prSet presAssocID="{35B48B42-A59E-445E-AD54-45283BEC9F49}" presName="horzFour" presStyleCnt="0"/>
      <dgm:spPr/>
    </dgm:pt>
    <dgm:pt modelId="{31CCC4AE-FD78-4F3B-A9D5-4ECD5F4B1892}" type="pres">
      <dgm:prSet presAssocID="{3AA38853-757E-4292-89EA-FB810678F8FD}" presName="sibSpaceFour" presStyleCnt="0"/>
      <dgm:spPr/>
    </dgm:pt>
    <dgm:pt modelId="{546D55E3-61AF-404F-A4D0-9B2D6A3C2326}" type="pres">
      <dgm:prSet presAssocID="{94256A0B-0452-46EB-9909-E4929DB83CFC}" presName="vertFour" presStyleCnt="0">
        <dgm:presLayoutVars>
          <dgm:chPref val="3"/>
        </dgm:presLayoutVars>
      </dgm:prSet>
      <dgm:spPr/>
    </dgm:pt>
    <dgm:pt modelId="{C4C02148-33AF-4120-A1F1-71304B91BB0E}" type="pres">
      <dgm:prSet presAssocID="{94256A0B-0452-46EB-9909-E4929DB83CFC}" presName="txFour" presStyleLbl="node4" presStyleIdx="1" presStyleCnt="2">
        <dgm:presLayoutVars>
          <dgm:chPref val="3"/>
        </dgm:presLayoutVars>
      </dgm:prSet>
      <dgm:spPr/>
    </dgm:pt>
    <dgm:pt modelId="{A1B3C3F5-67AA-4A3E-869C-A83FE688526B}" type="pres">
      <dgm:prSet presAssocID="{94256A0B-0452-46EB-9909-E4929DB83CFC}" presName="horzFour" presStyleCnt="0"/>
      <dgm:spPr/>
    </dgm:pt>
  </dgm:ptLst>
  <dgm:cxnLst>
    <dgm:cxn modelId="{4ADFEE16-D4E4-465F-A0E9-5F0404FAA50F}" type="presOf" srcId="{14B67F64-4D6B-44DE-94CD-B568428C557E}" destId="{83A23793-9C4D-45F5-AA23-8FE39DAC423A}" srcOrd="0" destOrd="0" presId="urn:microsoft.com/office/officeart/2005/8/layout/hierarchy4"/>
    <dgm:cxn modelId="{2C593325-B35F-4C6E-8360-97AF0CD0728C}" type="presOf" srcId="{35B48B42-A59E-445E-AD54-45283BEC9F49}" destId="{A0E54D10-A10B-41E0-8137-221F59854F53}" srcOrd="0" destOrd="0" presId="urn:microsoft.com/office/officeart/2005/8/layout/hierarchy4"/>
    <dgm:cxn modelId="{E3F7752A-2E03-4853-B31B-9A5FB9517E85}" type="presOf" srcId="{C4C69819-F00B-4A9E-929D-935491543805}" destId="{67F2FBF2-ACF5-4063-934F-00A604498B95}" srcOrd="0" destOrd="0" presId="urn:microsoft.com/office/officeart/2005/8/layout/hierarchy4"/>
    <dgm:cxn modelId="{C2F1EE3E-C1BB-4E6D-A90C-8D1D2F43B40D}" type="presOf" srcId="{94256A0B-0452-46EB-9909-E4929DB83CFC}" destId="{C4C02148-33AF-4120-A1F1-71304B91BB0E}" srcOrd="0" destOrd="0" presId="urn:microsoft.com/office/officeart/2005/8/layout/hierarchy4"/>
    <dgm:cxn modelId="{FA28076F-423A-42A3-A558-654FE2C6C832}" type="presOf" srcId="{7DED6A07-11BE-498C-9020-2817DAC5B972}" destId="{E17DFD25-CE26-4E26-8A35-D51B6CD54907}" srcOrd="0" destOrd="0" presId="urn:microsoft.com/office/officeart/2005/8/layout/hierarchy4"/>
    <dgm:cxn modelId="{8AC25E84-3481-4BCE-BC17-BF0A419CE9D2}" srcId="{C4C69819-F00B-4A9E-929D-935491543805}" destId="{6CE8EDE0-7089-45DA-A975-238A3451EABF}" srcOrd="0" destOrd="0" parTransId="{CB95A6F6-9643-4A1C-95FB-2E148D6291D7}" sibTransId="{10137DBC-B614-4F21-910C-6BC3E5618704}"/>
    <dgm:cxn modelId="{7C14DF8B-ACD3-42AE-8977-7BB00860014C}" srcId="{6CE8EDE0-7089-45DA-A975-238A3451EABF}" destId="{14B67F64-4D6B-44DE-94CD-B568428C557E}" srcOrd="0" destOrd="0" parTransId="{F13D0AEA-8D05-4C1C-A5FD-FB9D5308173E}" sibTransId="{05E7DE65-B71F-4D97-B844-4D4122BEB1FD}"/>
    <dgm:cxn modelId="{C0EDF4B2-40D6-40F6-B22E-6A4C15EAE4E7}" type="presOf" srcId="{6CE8EDE0-7089-45DA-A975-238A3451EABF}" destId="{293F8CE6-757A-429F-BDD2-B6F3D43A1A5D}" srcOrd="0" destOrd="0" presId="urn:microsoft.com/office/officeart/2005/8/layout/hierarchy4"/>
    <dgm:cxn modelId="{AEF35AB4-E88C-48AF-8682-8DBF7BB3DD6C}" srcId="{14B67F64-4D6B-44DE-94CD-B568428C557E}" destId="{94256A0B-0452-46EB-9909-E4929DB83CFC}" srcOrd="1" destOrd="0" parTransId="{1C7F08ED-A706-4035-8289-00F8658A11D9}" sibTransId="{D6452A70-F1A3-405D-9D2D-58388144AFAD}"/>
    <dgm:cxn modelId="{9CFE08E6-67CE-4E7D-B90C-E26EA2E579AD}" srcId="{14B67F64-4D6B-44DE-94CD-B568428C557E}" destId="{35B48B42-A59E-445E-AD54-45283BEC9F49}" srcOrd="0" destOrd="0" parTransId="{0019DCE2-350F-47C4-875F-C74AAB42ECA7}" sibTransId="{3AA38853-757E-4292-89EA-FB810678F8FD}"/>
    <dgm:cxn modelId="{76F1FFF1-BD16-4939-A226-ECF0214351D0}" srcId="{7DED6A07-11BE-498C-9020-2817DAC5B972}" destId="{C4C69819-F00B-4A9E-929D-935491543805}" srcOrd="0" destOrd="0" parTransId="{E98B6436-E167-4D91-8261-E8EFE58D3DF7}" sibTransId="{00DF0344-3904-4974-9C2B-20FE0DCE2230}"/>
    <dgm:cxn modelId="{127FA4C1-DD22-4DA9-A797-AA5DA9E0D4C2}" type="presParOf" srcId="{E17DFD25-CE26-4E26-8A35-D51B6CD54907}" destId="{8B9B022A-050C-4567-BAA6-CB86CF1ACAE1}" srcOrd="0" destOrd="0" presId="urn:microsoft.com/office/officeart/2005/8/layout/hierarchy4"/>
    <dgm:cxn modelId="{82528EE4-81B5-4FBB-AC92-FBEA25C543E9}" type="presParOf" srcId="{8B9B022A-050C-4567-BAA6-CB86CF1ACAE1}" destId="{67F2FBF2-ACF5-4063-934F-00A604498B95}" srcOrd="0" destOrd="0" presId="urn:microsoft.com/office/officeart/2005/8/layout/hierarchy4"/>
    <dgm:cxn modelId="{CBC28363-1AAD-404E-8AFF-EBD807DF7940}" type="presParOf" srcId="{8B9B022A-050C-4567-BAA6-CB86CF1ACAE1}" destId="{BF55814C-669D-41D1-9A2E-BB62805117F4}" srcOrd="1" destOrd="0" presId="urn:microsoft.com/office/officeart/2005/8/layout/hierarchy4"/>
    <dgm:cxn modelId="{0AE89D29-25A3-4FAD-BA73-0F397FB17CD9}" type="presParOf" srcId="{8B9B022A-050C-4567-BAA6-CB86CF1ACAE1}" destId="{FBE75A06-5A2A-462C-82F1-47E77EBE41A8}" srcOrd="2" destOrd="0" presId="urn:microsoft.com/office/officeart/2005/8/layout/hierarchy4"/>
    <dgm:cxn modelId="{C2167D17-0490-4370-93D8-CAC3C089DFA8}" type="presParOf" srcId="{FBE75A06-5A2A-462C-82F1-47E77EBE41A8}" destId="{58A62130-7DBE-4C4B-8ACA-997976B31219}" srcOrd="0" destOrd="0" presId="urn:microsoft.com/office/officeart/2005/8/layout/hierarchy4"/>
    <dgm:cxn modelId="{1465CB02-01E6-4A0A-953E-2FE4769FCAA8}" type="presParOf" srcId="{58A62130-7DBE-4C4B-8ACA-997976B31219}" destId="{293F8CE6-757A-429F-BDD2-B6F3D43A1A5D}" srcOrd="0" destOrd="0" presId="urn:microsoft.com/office/officeart/2005/8/layout/hierarchy4"/>
    <dgm:cxn modelId="{D4DE69E5-CF39-4E09-A50E-72A6124A6F72}" type="presParOf" srcId="{58A62130-7DBE-4C4B-8ACA-997976B31219}" destId="{E3E255F7-E07A-4B9B-8ED8-710FAB94B233}" srcOrd="1" destOrd="0" presId="urn:microsoft.com/office/officeart/2005/8/layout/hierarchy4"/>
    <dgm:cxn modelId="{AC11033C-81F6-495E-80F6-C79CE8B02C62}" type="presParOf" srcId="{58A62130-7DBE-4C4B-8ACA-997976B31219}" destId="{EFC3CB1F-B417-42EC-A1CB-87B10C27AD03}" srcOrd="2" destOrd="0" presId="urn:microsoft.com/office/officeart/2005/8/layout/hierarchy4"/>
    <dgm:cxn modelId="{1DCE63E3-DF99-448B-9762-BDF59FAB8DEB}" type="presParOf" srcId="{EFC3CB1F-B417-42EC-A1CB-87B10C27AD03}" destId="{45718AF9-A6CC-41CC-942B-A46F174029FE}" srcOrd="0" destOrd="0" presId="urn:microsoft.com/office/officeart/2005/8/layout/hierarchy4"/>
    <dgm:cxn modelId="{A98799C6-E2BF-4544-AC9D-3E3C4E64AAD4}" type="presParOf" srcId="{45718AF9-A6CC-41CC-942B-A46F174029FE}" destId="{83A23793-9C4D-45F5-AA23-8FE39DAC423A}" srcOrd="0" destOrd="0" presId="urn:microsoft.com/office/officeart/2005/8/layout/hierarchy4"/>
    <dgm:cxn modelId="{90A7672C-0683-4B08-8AE2-1684E19EC6BB}" type="presParOf" srcId="{45718AF9-A6CC-41CC-942B-A46F174029FE}" destId="{0ADDA149-E982-48EF-989A-79D1FF0BA61E}" srcOrd="1" destOrd="0" presId="urn:microsoft.com/office/officeart/2005/8/layout/hierarchy4"/>
    <dgm:cxn modelId="{1BC6D3D4-F3FF-4E37-9783-A7BB92B680FD}" type="presParOf" srcId="{45718AF9-A6CC-41CC-942B-A46F174029FE}" destId="{E072AC87-3401-4E9E-AF14-EC4D200720BE}" srcOrd="2" destOrd="0" presId="urn:microsoft.com/office/officeart/2005/8/layout/hierarchy4"/>
    <dgm:cxn modelId="{89D18481-F8BC-4ABC-A3EE-98BBAD65C775}" type="presParOf" srcId="{E072AC87-3401-4E9E-AF14-EC4D200720BE}" destId="{26902A15-44E0-4FC2-BEDE-7CDC7A8D711C}" srcOrd="0" destOrd="0" presId="urn:microsoft.com/office/officeart/2005/8/layout/hierarchy4"/>
    <dgm:cxn modelId="{688FC4D3-CDDF-4D9E-8A74-B868F7CD5B98}" type="presParOf" srcId="{26902A15-44E0-4FC2-BEDE-7CDC7A8D711C}" destId="{A0E54D10-A10B-41E0-8137-221F59854F53}" srcOrd="0" destOrd="0" presId="urn:microsoft.com/office/officeart/2005/8/layout/hierarchy4"/>
    <dgm:cxn modelId="{A8D43A4D-F5A0-4C8F-9C55-7D0A5A3F23B2}" type="presParOf" srcId="{26902A15-44E0-4FC2-BEDE-7CDC7A8D711C}" destId="{8A1EB62B-A5B5-4311-8D2A-07D6F6A69F0D}" srcOrd="1" destOrd="0" presId="urn:microsoft.com/office/officeart/2005/8/layout/hierarchy4"/>
    <dgm:cxn modelId="{6F3DB28D-B9ED-4111-BADC-A76F41E23A52}" type="presParOf" srcId="{E072AC87-3401-4E9E-AF14-EC4D200720BE}" destId="{31CCC4AE-FD78-4F3B-A9D5-4ECD5F4B1892}" srcOrd="1" destOrd="0" presId="urn:microsoft.com/office/officeart/2005/8/layout/hierarchy4"/>
    <dgm:cxn modelId="{4D1F7E1A-511C-41BF-AC90-E23005B017AC}" type="presParOf" srcId="{E072AC87-3401-4E9E-AF14-EC4D200720BE}" destId="{546D55E3-61AF-404F-A4D0-9B2D6A3C2326}" srcOrd="2" destOrd="0" presId="urn:microsoft.com/office/officeart/2005/8/layout/hierarchy4"/>
    <dgm:cxn modelId="{17DF0B06-1581-4CAE-AFE5-BD01AE6E904B}" type="presParOf" srcId="{546D55E3-61AF-404F-A4D0-9B2D6A3C2326}" destId="{C4C02148-33AF-4120-A1F1-71304B91BB0E}" srcOrd="0" destOrd="0" presId="urn:microsoft.com/office/officeart/2005/8/layout/hierarchy4"/>
    <dgm:cxn modelId="{A27E442B-E67F-4CF2-99CE-D3B174D22310}" type="presParOf" srcId="{546D55E3-61AF-404F-A4D0-9B2D6A3C2326}" destId="{A1B3C3F5-67AA-4A3E-869C-A83FE688526B}" srcOrd="1" destOrd="0" presId="urn:microsoft.com/office/officeart/2005/8/layout/hierarchy4"/>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F2FBF2-ACF5-4063-934F-00A604498B95}">
      <dsp:nvSpPr>
        <dsp:cNvPr id="0" name=""/>
        <dsp:cNvSpPr/>
      </dsp:nvSpPr>
      <dsp:spPr>
        <a:xfrm>
          <a:off x="1006" y="974"/>
          <a:ext cx="5667267" cy="653295"/>
        </a:xfrm>
        <a:prstGeom prst="roundRect">
          <a:avLst>
            <a:gd name="adj" fmla="val 10000"/>
          </a:avLst>
        </a:prstGeom>
        <a:solidFill>
          <a:schemeClr val="accent3">
            <a:lumMod val="20000"/>
            <a:lumOff val="8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n-US" sz="2800" kern="1200">
              <a:effectLst>
                <a:outerShdw dist="50800" dir="5400000" algn="ctr" rotWithShape="0">
                  <a:srgbClr val="000000">
                    <a:alpha val="0"/>
                  </a:srgbClr>
                </a:outerShdw>
              </a:effectLst>
            </a:rPr>
            <a:t>Fetch</a:t>
          </a:r>
        </a:p>
      </dsp:txBody>
      <dsp:txXfrm>
        <a:off x="20140" y="20108"/>
        <a:ext cx="5628999" cy="615027"/>
      </dsp:txXfrm>
    </dsp:sp>
    <dsp:sp modelId="{293F8CE6-757A-429F-BDD2-B6F3D43A1A5D}">
      <dsp:nvSpPr>
        <dsp:cNvPr id="0" name=""/>
        <dsp:cNvSpPr/>
      </dsp:nvSpPr>
      <dsp:spPr>
        <a:xfrm>
          <a:off x="1006" y="727439"/>
          <a:ext cx="5667267" cy="653295"/>
        </a:xfrm>
        <a:prstGeom prst="roundRect">
          <a:avLst>
            <a:gd name="adj" fmla="val 10000"/>
          </a:avLst>
        </a:prstGeom>
        <a:solidFill>
          <a:schemeClr val="accent3">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n-US" sz="2800" kern="1200">
              <a:effectLst>
                <a:outerShdw dist="50800" dir="5400000" algn="ctr" rotWithShape="0">
                  <a:srgbClr val="000000">
                    <a:alpha val="0"/>
                  </a:srgbClr>
                </a:outerShdw>
              </a:effectLst>
            </a:rPr>
            <a:t>Decode</a:t>
          </a:r>
        </a:p>
      </dsp:txBody>
      <dsp:txXfrm>
        <a:off x="20140" y="746573"/>
        <a:ext cx="5628999" cy="615027"/>
      </dsp:txXfrm>
    </dsp:sp>
    <dsp:sp modelId="{83A23793-9C4D-45F5-AA23-8FE39DAC423A}">
      <dsp:nvSpPr>
        <dsp:cNvPr id="0" name=""/>
        <dsp:cNvSpPr/>
      </dsp:nvSpPr>
      <dsp:spPr>
        <a:xfrm>
          <a:off x="1006" y="1453904"/>
          <a:ext cx="5667267" cy="653295"/>
        </a:xfrm>
        <a:prstGeom prst="roundRect">
          <a:avLst>
            <a:gd name="adj" fmla="val 10000"/>
          </a:avLst>
        </a:prstGeom>
        <a:solidFill>
          <a:schemeClr val="accent3">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n-US" sz="2800" kern="1200">
              <a:effectLst>
                <a:outerShdw dist="50800" dir="5400000" algn="ctr" rotWithShape="0">
                  <a:srgbClr val="000000">
                    <a:alpha val="0"/>
                  </a:srgbClr>
                </a:outerShdw>
              </a:effectLst>
            </a:rPr>
            <a:t>Scheduler</a:t>
          </a:r>
        </a:p>
      </dsp:txBody>
      <dsp:txXfrm>
        <a:off x="20140" y="1473038"/>
        <a:ext cx="5628999" cy="615027"/>
      </dsp:txXfrm>
    </dsp:sp>
    <dsp:sp modelId="{A0E54D10-A10B-41E0-8137-221F59854F53}">
      <dsp:nvSpPr>
        <dsp:cNvPr id="0" name=""/>
        <dsp:cNvSpPr/>
      </dsp:nvSpPr>
      <dsp:spPr>
        <a:xfrm>
          <a:off x="1006" y="2180369"/>
          <a:ext cx="2804189" cy="653295"/>
        </a:xfrm>
        <a:prstGeom prst="roundRect">
          <a:avLst>
            <a:gd name="adj" fmla="val 10000"/>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n-US" sz="2800" kern="1200">
              <a:effectLst>
                <a:outerShdw dist="50800" dir="5400000" algn="ctr" rotWithShape="0">
                  <a:srgbClr val="000000">
                    <a:alpha val="0"/>
                  </a:srgbClr>
                </a:outerShdw>
              </a:effectLst>
            </a:rPr>
            <a:t>EU</a:t>
          </a:r>
          <a:r>
            <a:rPr lang="en-US" sz="2800" kern="1200" baseline="-25000">
              <a:effectLst>
                <a:outerShdw dist="50800" dir="5400000" algn="ctr" rotWithShape="0">
                  <a:srgbClr val="000000">
                    <a:alpha val="0"/>
                  </a:srgbClr>
                </a:outerShdw>
              </a:effectLst>
            </a:rPr>
            <a:t>0</a:t>
          </a:r>
        </a:p>
      </dsp:txBody>
      <dsp:txXfrm>
        <a:off x="20140" y="2199503"/>
        <a:ext cx="2765921" cy="615027"/>
      </dsp:txXfrm>
    </dsp:sp>
    <dsp:sp modelId="{C4C02148-33AF-4120-A1F1-71304B91BB0E}">
      <dsp:nvSpPr>
        <dsp:cNvPr id="0" name=""/>
        <dsp:cNvSpPr/>
      </dsp:nvSpPr>
      <dsp:spPr>
        <a:xfrm>
          <a:off x="2864083" y="2180369"/>
          <a:ext cx="2804189" cy="653295"/>
        </a:xfrm>
        <a:prstGeom prst="roundRect">
          <a:avLst>
            <a:gd name="adj" fmla="val 10000"/>
          </a:avLst>
        </a:prstGeom>
        <a:solidFill>
          <a:schemeClr val="accent3">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n-US" sz="2800" kern="1200">
              <a:effectLst>
                <a:outerShdw dist="50800" dir="5400000" algn="ctr" rotWithShape="0">
                  <a:srgbClr val="000000">
                    <a:alpha val="0"/>
                  </a:srgbClr>
                </a:outerShdw>
              </a:effectLst>
            </a:rPr>
            <a:t>GPR </a:t>
          </a:r>
          <a:r>
            <a:rPr lang="en-US" sz="2800" kern="1200" baseline="-25000">
              <a:effectLst>
                <a:outerShdw dist="50800" dir="5400000" algn="ctr" rotWithShape="0">
                  <a:srgbClr val="000000">
                    <a:alpha val="0"/>
                  </a:srgbClr>
                </a:outerShdw>
              </a:effectLst>
            </a:rPr>
            <a:t>8x8</a:t>
          </a:r>
        </a:p>
      </dsp:txBody>
      <dsp:txXfrm>
        <a:off x="2883217" y="2199503"/>
        <a:ext cx="2765921" cy="61502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63F03-AF55-4A42-8DAF-8980C508D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2</Pages>
  <Words>258</Words>
  <Characters>1423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Gonell Rodriguez</dc:creator>
  <cp:keywords/>
  <dc:description/>
  <cp:lastModifiedBy>Edward Gonell Rodriguez</cp:lastModifiedBy>
  <cp:revision>3</cp:revision>
  <dcterms:created xsi:type="dcterms:W3CDTF">2025-01-02T03:28:00Z</dcterms:created>
  <dcterms:modified xsi:type="dcterms:W3CDTF">2025-03-03T10:00:00Z</dcterms:modified>
</cp:coreProperties>
</file>