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Georgia" w:cs="Georgia" w:eastAsia="Georgia" w:hAnsi="Georgia"/>
          <w:b/>
          <w:bCs/>
          <w:color w:val="0F4C3A"/>
          <w:sz w:val="40"/>
          <w:szCs w:val="40"/>
        </w:rPr>
        <w:t xml:space="preserve">Lighting World Zimbabwe</w:t>
      </w:r>
    </w:p>
    <w:p>
      <w:pPr>
        <w:spacing w:after="40" w:before="0"/>
      </w:pPr>
      <w:r>
        <w:rPr>
          <w:rFonts w:ascii="Helvetica" w:cs="Helvetica" w:eastAsia="Helvetica" w:hAnsi="Helvetica"/>
          <w:color w:val="0F4C3A"/>
          <w:sz w:val="22"/>
          <w:szCs w:val="22"/>
        </w:rPr>
        <w:t xml:space="preserve">Social Media Performance Report  ·  Facebook and Instagram</w:t>
      </w:r>
    </w:p>
    <w:p>
      <w:pPr>
        <w:spacing w:after="60" w:before="0"/>
      </w:pPr>
      <w:r>
        <w:rPr>
          <w:rFonts w:ascii="Helvetica" w:cs="Helvetica" w:eastAsia="Helvetica" w:hAnsi="Helvetica"/>
          <w:color w:val="666666"/>
          <w:sz w:val="17"/>
          <w:szCs w:val="17"/>
        </w:rPr>
        <w:t xml:space="preserve">Reporting period: 12 October – 25 October 2026   |   Prepared for the Executive Team, 26 October 2026</w:t>
      </w:r>
    </w:p>
    <w:p>
      <w:pPr>
        <w:spacing w:after="60" w:before="0"/>
      </w:pPr>
      <w:r>
        <w:rPr>
          <w:rFonts w:ascii="Helvetica" w:cs="Helvetica" w:eastAsia="Helvetica" w:hAnsi="Helvetica"/>
          <w:b/>
          <w:bCs/>
          <w:color w:val="666666"/>
          <w:sz w:val="17"/>
          <w:szCs w:val="17"/>
        </w:rPr>
        <w:t xml:space="preserve">Accounts: </w:t>
      </w:r>
      <w:r>
        <w:rPr>
          <w:rFonts w:ascii="Helvetica" w:cs="Helvetica" w:eastAsia="Helvetica" w:hAnsi="Helvetica"/>
          <w:color w:val="666666"/>
          <w:sz w:val="17"/>
          <w:szCs w:val="17"/>
        </w:rPr>
        <w:t xml:space="preserve">facebook.com/LigtingWorldZim  ·  instagram.com/lightingworld.zw. Shaded fields are completed from Meta Business Suite exports for the period.</w:t>
      </w:r>
    </w:p>
    <w:p>
      <w:pPr>
        <w:pBdr>
          <w:bottom w:val="single" w:color="2FD79A" w:sz="6" w:space="2"/>
        </w:pBdr>
        <w:spacing w:after="80" w:before="200"/>
      </w:pPr>
      <w:r>
        <w:rPr>
          <w:rFonts w:ascii="Helvetica" w:cs="Helvetica" w:eastAsia="Helvetica" w:hAnsi="Helvetica"/>
          <w:b/>
          <w:bCs/>
          <w:color w:val="0F4C3A"/>
          <w:sz w:val="19"/>
          <w:szCs w:val="19"/>
        </w:rPr>
        <w:t xml:space="preserve">1. SUMMARY</w:t>
      </w:r>
    </w:p>
    <w:p>
      <w:pPr>
        <w:spacing w:after="80" w:before="0"/>
      </w:pPr>
      <w:r>
        <w:rPr>
          <w:rFonts w:ascii="Helvetica" w:cs="Helvetica" w:eastAsia="Helvetica" w:hAnsi="Helvetica"/>
          <w:sz w:val="18"/>
          <w:szCs w:val="18"/>
        </w:rPr>
        <w:t xml:space="preserve">Across both platforms we reached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 ]</w:t>
      </w:r>
      <w:r>
        <w:rPr>
          <w:rFonts w:ascii="Helvetica" w:cs="Helvetica" w:eastAsia="Helvetica" w:hAnsi="Helvetica"/>
          <w:sz w:val="18"/>
          <w:szCs w:val="18"/>
        </w:rPr>
        <w:t xml:space="preserve"> accounts and received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 ]</w:t>
      </w:r>
      <w:r>
        <w:rPr>
          <w:rFonts w:ascii="Helvetica" w:cs="Helvetica" w:eastAsia="Helvetica" w:hAnsi="Helvetica"/>
          <w:sz w:val="18"/>
          <w:szCs w:val="18"/>
        </w:rPr>
        <w:t xml:space="preserve"> enquiries over the fortnight, a change of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 ]</w:t>
      </w:r>
      <w:r>
        <w:rPr>
          <w:rFonts w:ascii="Helvetica" w:cs="Helvetica" w:eastAsia="Helvetica" w:hAnsi="Helvetica"/>
          <w:sz w:val="18"/>
          <w:szCs w:val="18"/>
        </w:rPr>
        <w:t xml:space="preserve"> on the previous period.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Strongest result: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e.g. Reels of installed pendant lighting drove most reach 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Main concern: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e.g. enquiries rose, but response times slipped past an hour 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Decision required: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e.g. approve a modest boost budget for the two best-performing posts ]</w:t>
      </w:r>
    </w:p>
    <w:p>
      <w:pPr>
        <w:pBdr>
          <w:bottom w:val="single" w:color="2FD79A" w:sz="6" w:space="2"/>
        </w:pBdr>
        <w:spacing w:after="80" w:before="200"/>
      </w:pPr>
      <w:r>
        <w:rPr>
          <w:rFonts w:ascii="Helvetica" w:cs="Helvetica" w:eastAsia="Helvetica" w:hAnsi="Helvetica"/>
          <w:b/>
          <w:bCs/>
          <w:color w:val="0F4C3A"/>
          <w:sz w:val="19"/>
          <w:szCs w:val="19"/>
        </w:rPr>
        <w:t xml:space="preserve">2. HEADLINE FIGURES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38"/>
        <w:gridCol w:w="1500"/>
        <w:gridCol w:w="1500"/>
        <w:gridCol w:w="1500"/>
        <w:gridCol w:w="2100"/>
      </w:tblGrid>
      <w:tr>
        <w:trPr>
          <w:tblHeader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Facebook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Instagram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Combined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vs prior fortnight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Followers at 25 Oct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Net new followers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Reach (unique accounts)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Views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Engagements (reactions, comments, shares, saves)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Engagement rate (engagements ÷ reach)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Profile visits / link clicks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Messages and enquiries received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30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Posts published (feed, Reels, Stories)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5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</w:tbl>
    <w:p>
      <w:pPr>
        <w:spacing w:after="80" w:before="60"/>
      </w:pPr>
      <w:r>
        <w:rPr>
          <w:rFonts w:ascii="Helvetica" w:cs="Helvetica" w:eastAsia="Helvetica" w:hAnsi="Helvetica"/>
          <w:i/>
          <w:iCs/>
          <w:color w:val="666666"/>
          <w:sz w:val="15"/>
          <w:szCs w:val="15"/>
        </w:rPr>
        <w:t xml:space="preserve">Engagement rate is calculated on reach, not followers, so the two platforms can be compared fairly.</w:t>
      </w:r>
    </w:p>
    <w:p>
      <w:pPr>
        <w:pBdr>
          <w:bottom w:val="single" w:color="2FD79A" w:sz="6" w:space="2"/>
        </w:pBdr>
        <w:spacing w:after="80" w:before="200"/>
      </w:pPr>
      <w:r>
        <w:rPr>
          <w:rFonts w:ascii="Helvetica" w:cs="Helvetica" w:eastAsia="Helvetica" w:hAnsi="Helvetica"/>
          <w:b/>
          <w:bCs/>
          <w:color w:val="0F4C3A"/>
          <w:sz w:val="19"/>
          <w:szCs w:val="19"/>
        </w:rPr>
        <w:t xml:space="preserve">3. BEST-PERFORMING CONTENT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3238"/>
        <w:gridCol w:w="1100"/>
        <w:gridCol w:w="1100"/>
        <w:gridCol w:w="2100"/>
      </w:tblGrid>
      <w:tr>
        <w:trPr>
          <w:tblHeader/>
        </w:trPr>
        <w:tc>
          <w:tcPr>
            <w:tcW w:type="dxa" w:w="10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Date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Platform</w:t>
            </w:r>
          </w:p>
        </w:tc>
        <w:tc>
          <w:tcPr>
            <w:tcW w:type="dxa" w:w="32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Post (subject)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Reach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Engaged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Why it worked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32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32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10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32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21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</w:tbl>
    <w:p>
      <w:pPr>
        <w:spacing w:after="80" w:before="8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Format mix this period: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n ]</w:t>
      </w:r>
      <w:r>
        <w:rPr>
          <w:rFonts w:ascii="Helvetica" w:cs="Helvetica" w:eastAsia="Helvetica" w:hAnsi="Helvetica"/>
          <w:sz w:val="18"/>
          <w:szCs w:val="18"/>
        </w:rPr>
        <w:t xml:space="preserve"> Reels,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n ]</w:t>
      </w:r>
      <w:r>
        <w:rPr>
          <w:rFonts w:ascii="Helvetica" w:cs="Helvetica" w:eastAsia="Helvetica" w:hAnsi="Helvetica"/>
          <w:sz w:val="18"/>
          <w:szCs w:val="18"/>
        </w:rPr>
        <w:t xml:space="preserve"> carousels,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n ]</w:t>
      </w:r>
      <w:r>
        <w:rPr>
          <w:rFonts w:ascii="Helvetica" w:cs="Helvetica" w:eastAsia="Helvetica" w:hAnsi="Helvetica"/>
          <w:sz w:val="18"/>
          <w:szCs w:val="18"/>
        </w:rPr>
        <w:t xml:space="preserve"> single images,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n ]</w:t>
      </w:r>
      <w:r>
        <w:rPr>
          <w:rFonts w:ascii="Helvetica" w:cs="Helvetica" w:eastAsia="Helvetica" w:hAnsi="Helvetica"/>
          <w:sz w:val="18"/>
          <w:szCs w:val="18"/>
        </w:rPr>
        <w:t xml:space="preserve"> Stories. Weakest format: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 ]</w:t>
      </w:r>
    </w:p>
    <w:p>
      <w:pPr>
        <w:pBdr>
          <w:bottom w:val="single" w:color="2FD79A" w:sz="6" w:space="2"/>
        </w:pBdr>
        <w:spacing w:after="80" w:before="200"/>
      </w:pPr>
      <w:r>
        <w:rPr>
          <w:rFonts w:ascii="Helvetica" w:cs="Helvetica" w:eastAsia="Helvetica" w:hAnsi="Helvetica"/>
          <w:b/>
          <w:bCs/>
          <w:color w:val="0F4C3A"/>
          <w:sz w:val="19"/>
          <w:szCs w:val="19"/>
        </w:rPr>
        <w:t xml:space="preserve">4. FROM ENQUIRY TO SALE</w:t>
      </w:r>
    </w:p>
    <w:p>
      <w:pPr>
        <w:spacing w:after="80" w:before="0"/>
      </w:pPr>
      <w:r>
        <w:rPr>
          <w:rFonts w:ascii="Helvetica" w:cs="Helvetica" w:eastAsia="Helvetica" w:hAnsi="Helvetica"/>
          <w:sz w:val="18"/>
          <w:szCs w:val="18"/>
        </w:rPr>
        <w:t xml:space="preserve">Reach matters only if it brings customers to the showroom. This section follows social enquiries through to sales.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8"/>
        <w:gridCol w:w="1800"/>
        <w:gridCol w:w="1700"/>
        <w:gridCol w:w="1800"/>
      </w:tblGrid>
      <w:tr>
        <w:trPr>
          <w:tblHeader/>
        </w:trPr>
        <w:tc>
          <w:tcPr>
            <w:tcW w:type="dxa" w:w="43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Enquiry to sale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Count</w:t>
            </w:r>
          </w:p>
        </w:tc>
        <w:tc>
          <w:tcPr>
            <w:tcW w:type="dxa" w:w="1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Share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shd w:fill="0F4C3A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FFFFFF"/>
                <w:sz w:val="17"/>
                <w:szCs w:val="17"/>
              </w:rPr>
              <w:t xml:space="preserve">Comment</w:t>
            </w:r>
          </w:p>
        </w:tc>
      </w:tr>
      <w:tr>
        <w:trPr>
          <w:tblHeader w:val="false"/>
        </w:trPr>
        <w:tc>
          <w:tcPr>
            <w:tcW w:type="dxa" w:w="43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Enquiries received (DMs, comments, WhatsApp clicks)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43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Enquiries answered within 1 hour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43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Quotes issued from social enquiries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43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Showroom visits referred (Msasa / Avondale)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  <w:tr>
        <w:trPr>
          <w:tblHeader w:val="false"/>
        </w:trPr>
        <w:tc>
          <w:tcPr>
            <w:tcW w:type="dxa" w:w="4338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Helvetica" w:cs="Helvetica" w:eastAsia="Helvetica" w:hAnsi="Helvetica"/>
                <w:b/>
                <w:bCs/>
                <w:sz w:val="17"/>
                <w:szCs w:val="17"/>
              </w:rPr>
              <w:t xml:space="preserve">Sales closed from social enquiries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7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  <w:tc>
          <w:tcPr>
            <w:tcW w:type="dxa" w:w="1800"/>
            <w:tcBorders>
              <w:top w:val="single" w:color="D5DDD9" w:sz="4"/>
              <w:left w:val="single" w:color="D5DDD9" w:sz="4"/>
              <w:bottom w:val="single" w:color="D5DDD9" w:sz="4"/>
              <w:right w:val="single" w:color="D5DDD9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Helvetica" w:cs="Helvetica" w:eastAsia="Helvetica" w:hAnsi="Helvetica"/>
                <w:b/>
                <w:bCs/>
                <w:color w:val="0F4C3A"/>
                <w:sz w:val="18"/>
                <w:szCs w:val="18"/>
                <w:shd w:fill="EAF7F1" w:color="auto" w:val="clear"/>
              </w:rPr>
              <w:t xml:space="preserve">[  ]</w:t>
            </w:r>
          </w:p>
        </w:tc>
      </w:tr>
    </w:tbl>
    <w:p>
      <w:pPr>
        <w:pBdr>
          <w:bottom w:val="single" w:color="2FD79A" w:sz="6" w:space="2"/>
        </w:pBdr>
        <w:spacing w:after="80" w:before="200"/>
      </w:pPr>
      <w:r>
        <w:rPr>
          <w:rFonts w:ascii="Helvetica" w:cs="Helvetica" w:eastAsia="Helvetica" w:hAnsi="Helvetica"/>
          <w:b/>
          <w:bCs/>
          <w:color w:val="0F4C3A"/>
          <w:sz w:val="19"/>
          <w:szCs w:val="19"/>
        </w:rPr>
        <w:t xml:space="preserve">5. AUDIENCE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Top locations: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Harare, Bulawayo, … ]</w:t>
      </w: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   Core age group: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 ]</w:t>
      </w: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   Gender split: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 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Most active times: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days and hours ]</w:t>
      </w:r>
      <w:r>
        <w:rPr>
          <w:rFonts w:ascii="Helvetica" w:cs="Helvetica" w:eastAsia="Helvetica" w:hAnsi="Helvetica"/>
          <w:sz w:val="18"/>
          <w:szCs w:val="18"/>
        </w:rPr>
        <w:t xml:space="preserve">. Most posts went out at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time ]</w:t>
      </w:r>
      <w:r>
        <w:rPr>
          <w:rFonts w:ascii="Helvetica" w:cs="Helvetica" w:eastAsia="Helvetica" w:hAnsi="Helvetica"/>
          <w:sz w:val="18"/>
          <w:szCs w:val="18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Who is engaging: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homeowners, contractors, interior designers, developers ]</w:t>
      </w:r>
      <w:r>
        <w:rPr>
          <w:rFonts w:ascii="Helvetica" w:cs="Helvetica" w:eastAsia="Helvetica" w:hAnsi="Helvetica"/>
          <w:sz w:val="18"/>
          <w:szCs w:val="18"/>
        </w:rPr>
        <w:t xml:space="preserve">, compared with the customers who buy most from Lighting World.</w:t>
      </w:r>
    </w:p>
    <w:p>
      <w:pPr>
        <w:pBdr>
          <w:bottom w:val="single" w:color="2FD79A" w:sz="6" w:space="2"/>
        </w:pBdr>
        <w:spacing w:after="80" w:before="200"/>
      </w:pPr>
      <w:r>
        <w:rPr>
          <w:rFonts w:ascii="Helvetica" w:cs="Helvetica" w:eastAsia="Helvetica" w:hAnsi="Helvetica"/>
          <w:b/>
          <w:bCs/>
          <w:color w:val="0F4C3A"/>
          <w:sz w:val="19"/>
          <w:szCs w:val="19"/>
        </w:rPr>
        <w:t xml:space="preserve">6. WHAT WE LEARNT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Insight 1: what the audience responded to, with the figure behind it 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Insight 2: where effort went in without return ]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Insight 3: anything competitors or the market did that affected results ]</w:t>
      </w:r>
    </w:p>
    <w:p>
      <w:pPr>
        <w:pBdr>
          <w:bottom w:val="single" w:color="2FD79A" w:sz="6" w:space="2"/>
        </w:pBdr>
        <w:spacing w:after="80" w:before="200"/>
      </w:pPr>
      <w:r>
        <w:rPr>
          <w:rFonts w:ascii="Helvetica" w:cs="Helvetica" w:eastAsia="Helvetica" w:hAnsi="Helvetica"/>
          <w:b/>
          <w:bCs/>
          <w:color w:val="0F4C3A"/>
          <w:sz w:val="19"/>
          <w:szCs w:val="19"/>
        </w:rPr>
        <w:t xml:space="preserve">7. RECOMMENDATIONS FOR THE NEXT FORTNIGHT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Content: </w:t>
      </w:r>
      <w:r>
        <w:rPr>
          <w:rFonts w:ascii="Helvetica" w:cs="Helvetica" w:eastAsia="Helvetica" w:hAnsi="Helvetica"/>
          <w:sz w:val="18"/>
          <w:szCs w:val="18"/>
        </w:rPr>
        <w:t xml:space="preserve">Do more of the top format. Show finished installations in real homes and businesses rather than product shots alone. Each post should end with a clear step: WhatsApp, visit Msasa or Avondale, or request a quote.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Response: </w:t>
      </w:r>
      <w:r>
        <w:rPr>
          <w:rFonts w:ascii="Helvetica" w:cs="Helvetica" w:eastAsia="Helvetica" w:hAnsi="Helvetica"/>
          <w:sz w:val="18"/>
          <w:szCs w:val="18"/>
        </w:rPr>
        <w:t xml:space="preserve">Set a one-hour target for replies to messages and comments during trading hours, and log every enquiry so it can be traced to a sale.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Consistency: </w:t>
      </w:r>
      <w:r>
        <w:rPr>
          <w:rFonts w:ascii="Helvetica" w:cs="Helvetica" w:eastAsia="Helvetica" w:hAnsi="Helvetica"/>
          <w:sz w:val="18"/>
          <w:szCs w:val="18"/>
        </w:rPr>
        <w:t xml:space="preserve">Run the two accounts under one handle and one name. The website currently lists different Instagram and Facebook addresses from those reviewed here.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Helvetica" w:cs="Helvetica" w:eastAsia="Helvetica" w:hAnsi="Helvetica"/>
          <w:b/>
          <w:bCs/>
          <w:sz w:val="18"/>
          <w:szCs w:val="18"/>
        </w:rPr>
        <w:t xml:space="preserve">Targets for 26 Oct – 8 Nov: </w:t>
      </w:r>
      <w:r>
        <w:rPr>
          <w:rFonts w:ascii="Helvetica" w:cs="Helvetica" w:eastAsia="Helvetica" w:hAnsi="Helvetica"/>
          <w:sz w:val="18"/>
          <w:szCs w:val="18"/>
        </w:rPr>
        <w:t xml:space="preserve">reach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 ]</w:t>
      </w:r>
      <w:r>
        <w:rPr>
          <w:rFonts w:ascii="Helvetica" w:cs="Helvetica" w:eastAsia="Helvetica" w:hAnsi="Helvetica"/>
          <w:sz w:val="18"/>
          <w:szCs w:val="18"/>
        </w:rPr>
        <w:t xml:space="preserve">, enquiries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 ]</w:t>
      </w:r>
      <w:r>
        <w:rPr>
          <w:rFonts w:ascii="Helvetica" w:cs="Helvetica" w:eastAsia="Helvetica" w:hAnsi="Helvetica"/>
          <w:sz w:val="18"/>
          <w:szCs w:val="18"/>
        </w:rPr>
        <w:t xml:space="preserve">, engagement rate </w:t>
      </w:r>
      <w:r>
        <w:rPr>
          <w:rFonts w:ascii="Helvetica" w:cs="Helvetica" w:eastAsia="Helvetica" w:hAnsi="Helvetica"/>
          <w:b/>
          <w:bCs/>
          <w:color w:val="0F4C3A"/>
          <w:sz w:val="18"/>
          <w:szCs w:val="18"/>
          <w:shd w:fill="EAF7F1" w:color="auto" w:val="clear"/>
        </w:rPr>
        <w:t xml:space="preserve">[  ]</w:t>
      </w:r>
      <w:r>
        <w:rPr>
          <w:rFonts w:ascii="Helvetica" w:cs="Helvetica" w:eastAsia="Helvetica" w:hAnsi="Helvetica"/>
          <w:sz w:val="18"/>
          <w:szCs w:val="18"/>
        </w:rPr>
        <w:t xml:space="preserve">.</w:t>
      </w:r>
    </w:p>
    <w:sectPr>
      <w:footerReference w:type="default" r:id="rId7"/>
      <w:pgSz w:w="11906" w:h="16838" w:orient="portrait"/>
      <w:pgMar w:top="9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Helvetica" w:cs="Helvetica" w:eastAsia="Helvetica" w:hAnsi="Helvetica"/>
        <w:color w:val="666666"/>
        <w:sz w:val="15"/>
        <w:szCs w:val="15"/>
      </w:rPr>
      <w:t xml:space="preserve">Prepared by Katungo  ·  Confidential  ·  Page </w:t>
    </w:r>
    <w:r>
      <w:rPr>
        <w:rFonts w:ascii="Helvetica" w:cs="Helvetica" w:eastAsia="Helvetica" w:hAnsi="Helvetica"/>
        <w:color w:val="66666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360" w:hanging="280"/>
      </w:pPr>
      <w:rPr>
        <w:color w:val="2FD79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2026-10-26T06:49:01.019Z</dcterms:created>
  <dcterms:modified xsi:type="dcterms:W3CDTF">2026-10-26T06:49:01.019Z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