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1DCC5E">
      <w:pPr>
        <w:pStyle w:val="164"/>
        <w:jc w:val="center"/>
      </w:pPr>
      <w:r>
        <w:t>周亦航｜数据分析岗位简历</w:t>
      </w:r>
    </w:p>
    <w:p w14:paraId="21F4A3FD">
      <w:pPr>
        <w:pStyle w:val="165"/>
      </w:pPr>
      <w:r>
        <w:t>教育背景</w:t>
      </w:r>
    </w:p>
    <w:p w14:paraId="407AF164">
      <w:pPr>
        <w:pStyle w:val="166"/>
      </w:pPr>
      <w:r>
        <w:t>中国人民大学｜统计学（本科）  2021.09 – 2025.06</w:t>
      </w:r>
    </w:p>
    <w:p w14:paraId="4C9B270C">
      <w:pPr>
        <w:pStyle w:val="166"/>
      </w:pPr>
      <w:r>
        <w:t>GPA：3.78/4.0（专业前 10%）</w:t>
      </w:r>
    </w:p>
    <w:p w14:paraId="7901404C">
      <w:pPr>
        <w:pStyle w:val="165"/>
      </w:pPr>
      <w:r>
        <w:t>实习经历</w:t>
      </w:r>
      <w:bookmarkStart w:id="0" w:name="_GoBack"/>
      <w:bookmarkEnd w:id="0"/>
    </w:p>
    <w:p w14:paraId="583936C7">
      <w:pPr>
        <w:pStyle w:val="166"/>
      </w:pPr>
      <w:r>
        <w:t>滴滴｜网约车财务与经营管理部-下沉经管｜数据分析实习生（北京，2025/5–2025/8）</w:t>
      </w:r>
    </w:p>
    <w:p w14:paraId="77A011A1">
      <w:pPr>
        <w:pStyle w:val="167"/>
      </w:pPr>
      <w:r>
        <w:t>• 使用SQL获取业务指标及财务指标，制作数据看板与品类周报。</w:t>
      </w:r>
    </w:p>
    <w:p w14:paraId="0B463A2A">
      <w:pPr>
        <w:pStyle w:val="167"/>
      </w:pPr>
      <w:r>
        <w:t>• 分析补贴、区域策略与营销策略的AB实验效果，量化关键指标变化。</w:t>
      </w:r>
    </w:p>
    <w:p w14:paraId="3030C67A">
      <w:pPr>
        <w:pStyle w:val="167"/>
      </w:pPr>
      <w:r>
        <w:t>• 构建补贴价值评估框架，通过CAC、LTV、ROI评估策略表现。</w:t>
      </w:r>
    </w:p>
    <w:p w14:paraId="7B0F8445">
      <w:pPr>
        <w:pStyle w:val="167"/>
      </w:pPr>
      <w:r>
        <w:t>• 诊断低价品类供需瓶颈并构建成交预测模型。</w:t>
      </w:r>
    </w:p>
    <w:p w14:paraId="26897490">
      <w:pPr>
        <w:pStyle w:val="167"/>
      </w:pPr>
      <w:r>
        <w:t>• 区域深度归因分析并提出差异化增长策略。</w:t>
      </w:r>
    </w:p>
    <w:p w14:paraId="4E89957F">
      <w:pPr>
        <w:pStyle w:val="167"/>
      </w:pPr>
      <w:r>
        <w:t>• 基于历史数据拟合呼叫量与首五单回归模型，为各区县制定分档目标。</w:t>
      </w:r>
    </w:p>
    <w:p w14:paraId="722798AB"/>
    <w:p w14:paraId="3495A106">
      <w:pPr>
        <w:pStyle w:val="166"/>
      </w:pPr>
      <w:r>
        <w:t>辉瑞 SDSA｜统计编程项目实习生（上海，2025/2–2025/4）</w:t>
      </w:r>
    </w:p>
    <w:p w14:paraId="541EA959">
      <w:pPr>
        <w:pStyle w:val="167"/>
      </w:pPr>
      <w:r>
        <w:t>• 基于Protocol/CRF/SAP完成SDTM/ADaM数据集构建与Mockshell分析。</w:t>
      </w:r>
    </w:p>
    <w:p w14:paraId="1437519B">
      <w:pPr>
        <w:pStyle w:val="167"/>
      </w:pPr>
      <w:r>
        <w:t>• 使用SAS/R进行统计分析（方差分析、回归分析等）。</w:t>
      </w:r>
    </w:p>
    <w:p w14:paraId="0DA0F68B">
      <w:pPr>
        <w:pStyle w:val="167"/>
      </w:pPr>
      <w:r>
        <w:t>• 编写SAS宏程序提高分析效率，交付报告获较好评价。</w:t>
      </w:r>
    </w:p>
    <w:p w14:paraId="2A77DF22"/>
    <w:p w14:paraId="58BC0F1C">
      <w:pPr>
        <w:pStyle w:val="166"/>
      </w:pPr>
      <w:r>
        <w:t>辉瑞 Patient Solution｜数据分析实习生（上海，2024/8–2024/12）</w:t>
      </w:r>
    </w:p>
    <w:p w14:paraId="47AA8070">
      <w:pPr>
        <w:pStyle w:val="167"/>
      </w:pPr>
      <w:r>
        <w:t>• 使用PowerBI监控患者状态并分析脱组、转诊与省份差异。</w:t>
      </w:r>
    </w:p>
    <w:p w14:paraId="5F608267">
      <w:pPr>
        <w:pStyle w:val="167"/>
      </w:pPr>
      <w:r>
        <w:t>• 基于KM生存曲线与COX模型构建脱组预测模型。</w:t>
      </w:r>
    </w:p>
    <w:p w14:paraId="5D4FF707"/>
    <w:p w14:paraId="6A2208FF">
      <w:pPr>
        <w:pStyle w:val="166"/>
      </w:pPr>
      <w:r>
        <w:t>百度｜HCG医疗业务部｜数据运营实习生（上海，2024/3–2024/6）</w:t>
      </w:r>
    </w:p>
    <w:p w14:paraId="6AE806DB">
      <w:pPr>
        <w:pStyle w:val="167"/>
      </w:pPr>
      <w:r>
        <w:t>• 监控“百度健康”问诊平台指标并进行异常归因分析。</w:t>
      </w:r>
    </w:p>
    <w:p w14:paraId="3C566E3F">
      <w:pPr>
        <w:pStyle w:val="167"/>
      </w:pPr>
      <w:r>
        <w:t>• 使用Tableau优化运营监控看板。</w:t>
      </w:r>
    </w:p>
    <w:p w14:paraId="45307770">
      <w:pPr>
        <w:pStyle w:val="167"/>
      </w:pPr>
      <w:r>
        <w:t>• 利用Python/R进行回归与机器学习分析，识别影响GMV的核心因素。</w:t>
      </w:r>
    </w:p>
    <w:p w14:paraId="227ED4A2"/>
    <w:p w14:paraId="2076A550">
      <w:pPr>
        <w:pStyle w:val="166"/>
      </w:pPr>
      <w:r>
        <w:t>得物｜商家运营实习生（上海，2023/7–2023/9）</w:t>
      </w:r>
    </w:p>
    <w:p w14:paraId="33937C19">
      <w:pPr>
        <w:pStyle w:val="167"/>
      </w:pPr>
      <w:r>
        <w:t>• 监控运营指标并执行异动分析与需求洞察。</w:t>
      </w:r>
    </w:p>
    <w:p w14:paraId="69737602">
      <w:pPr>
        <w:pStyle w:val="167"/>
      </w:pPr>
      <w:r>
        <w:t>• 七夕大促基于用户行为分析提出优化策略，推动GMV显著提升。</w:t>
      </w:r>
    </w:p>
    <w:p w14:paraId="292B86FE">
      <w:pPr>
        <w:pStyle w:val="165"/>
      </w:pPr>
      <w:r>
        <w:t>项目经历</w:t>
      </w:r>
    </w:p>
    <w:p w14:paraId="61B26F2A">
      <w:pPr>
        <w:pStyle w:val="166"/>
      </w:pPr>
      <w:r>
        <w:t>电商数据可视化与商品趋势分析平台</w:t>
      </w:r>
    </w:p>
    <w:p w14:paraId="3EDD4BED">
      <w:pPr>
        <w:pStyle w:val="167"/>
      </w:pPr>
      <w:r>
        <w:t>• 搭建数据提取、清洗、可视化的分析流程。</w:t>
      </w:r>
    </w:p>
    <w:p w14:paraId="6F3FD9C2">
      <w:pPr>
        <w:pStyle w:val="167"/>
      </w:pPr>
      <w:r>
        <w:t>• 整合商品销量、价格和用户反馈，识别趋势与增长点。</w:t>
      </w:r>
    </w:p>
    <w:p w14:paraId="1E62BBED">
      <w:pPr>
        <w:pStyle w:val="167"/>
      </w:pPr>
      <w:r>
        <w:t>• 平台支持运营团队进行自定义筛选，提高数据决策效率。</w:t>
      </w:r>
    </w:p>
    <w:p w14:paraId="0F31F281"/>
    <w:p w14:paraId="2C269671">
      <w:pPr>
        <w:pStyle w:val="166"/>
      </w:pPr>
      <w:r>
        <w:t>用户行为路径分析与转化提升项目</w:t>
      </w:r>
    </w:p>
    <w:p w14:paraId="5775D343">
      <w:pPr>
        <w:pStyle w:val="167"/>
      </w:pPr>
      <w:r>
        <w:t>• 基于漏斗模型分析“浏览→点击→下单”路径，定位流失点。</w:t>
      </w:r>
    </w:p>
    <w:p w14:paraId="6B2AB335">
      <w:pPr>
        <w:pStyle w:val="167"/>
      </w:pPr>
      <w:r>
        <w:t>• 识别高转化用户特征，提出策略后目标区间转化率提升12%。</w:t>
      </w:r>
    </w:p>
    <w:p w14:paraId="1892B4E4"/>
    <w:p w14:paraId="3E1073F1">
      <w:pPr>
        <w:pStyle w:val="166"/>
      </w:pPr>
      <w:r>
        <w:t>医疗患者状态监测与预警原型系统</w:t>
      </w:r>
    </w:p>
    <w:p w14:paraId="5F90F67D">
      <w:pPr>
        <w:pStyle w:val="167"/>
      </w:pPr>
      <w:r>
        <w:t>• 整合患者诊疗与状态数据，建立简单的风险分层模型。</w:t>
      </w:r>
    </w:p>
    <w:p w14:paraId="754DD058">
      <w:pPr>
        <w:pStyle w:val="167"/>
      </w:pPr>
      <w:r>
        <w:t>• 提供“高风险患者脱组预警”，帮助医生提前干预。</w:t>
      </w:r>
    </w:p>
    <w:p w14:paraId="06A3E7CC">
      <w:pPr>
        <w:pStyle w:val="165"/>
      </w:pPr>
      <w:r>
        <w:t>学生工作经历</w:t>
      </w:r>
    </w:p>
    <w:p w14:paraId="534A7207">
      <w:pPr>
        <w:pStyle w:val="166"/>
      </w:pPr>
      <w:r>
        <w:t>中国人民大学｜文艺与宣传联合会｜文艺部部长（2022–2024）</w:t>
      </w:r>
    </w:p>
    <w:p w14:paraId="3E0CBF5E">
      <w:pPr>
        <w:pStyle w:val="167"/>
      </w:pPr>
      <w:r>
        <w:t>• 负责大型校园活动的节目统筹、舞台设计与人员协调，共组织20+场活动。</w:t>
      </w:r>
    </w:p>
    <w:p w14:paraId="4AB9944E">
      <w:pPr>
        <w:pStyle w:val="167"/>
      </w:pPr>
      <w:r>
        <w:t>• 主导视觉物料制作（海报、舞台屏幕素材等）。</w:t>
      </w:r>
    </w:p>
    <w:p w14:paraId="13407299">
      <w:pPr>
        <w:pStyle w:val="167"/>
      </w:pPr>
      <w:r>
        <w:t>• 设计活动反馈机制，基于问卷与统计分析优化活动质量。</w:t>
      </w:r>
    </w:p>
    <w:p w14:paraId="4D6B7472">
      <w:pPr>
        <w:pStyle w:val="167"/>
      </w:pPr>
      <w:r>
        <w:t>• 任期内部门获得校级“最佳学生部门”荣誉。</w:t>
      </w:r>
    </w:p>
    <w:p w14:paraId="205C9212">
      <w:pPr>
        <w:pStyle w:val="167"/>
      </w:pPr>
    </w:p>
    <w:p w14:paraId="14140BDE">
      <w:pPr>
        <w:pStyle w:val="165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获奖经历</w:t>
      </w:r>
    </w:p>
    <w:p w14:paraId="299AAAE8">
      <w:pPr>
        <w:pStyle w:val="167"/>
        <w:rPr>
          <w:rFonts w:ascii="宋体" w:hAnsi="宋体" w:eastAsia="宋体" w:cs="宋体"/>
          <w:sz w:val="24"/>
          <w:szCs w:val="24"/>
        </w:rPr>
      </w:pPr>
      <w:r>
        <w:t xml:space="preserve">• </w:t>
      </w:r>
      <w:r>
        <w:rPr>
          <w:rFonts w:ascii="宋体" w:hAnsi="宋体" w:eastAsia="宋体" w:cs="宋体"/>
          <w:sz w:val="24"/>
          <w:szCs w:val="24"/>
        </w:rPr>
        <w:t>全国大学生数据分析大赛｜二等奖（2024）</w:t>
      </w:r>
    </w:p>
    <w:p w14:paraId="3F997982">
      <w:pPr>
        <w:pStyle w:val="167"/>
        <w:rPr>
          <w:rFonts w:ascii="宋体" w:hAnsi="宋体" w:eastAsia="宋体" w:cs="宋体"/>
          <w:sz w:val="24"/>
          <w:szCs w:val="24"/>
        </w:rPr>
      </w:pPr>
      <w:r>
        <w:t xml:space="preserve">• </w:t>
      </w:r>
      <w:r>
        <w:rPr>
          <w:rFonts w:ascii="宋体" w:hAnsi="宋体" w:eastAsia="宋体" w:cs="宋体"/>
          <w:sz w:val="24"/>
          <w:szCs w:val="24"/>
        </w:rPr>
        <w:t>中国人民大学数学建模校赛｜一等奖（2023）</w:t>
      </w:r>
    </w:p>
    <w:p w14:paraId="21128F06">
      <w:pPr>
        <w:pStyle w:val="167"/>
        <w:rPr>
          <w:rFonts w:ascii="宋体" w:hAnsi="宋体" w:eastAsia="宋体" w:cs="宋体"/>
          <w:sz w:val="24"/>
          <w:szCs w:val="24"/>
        </w:rPr>
      </w:pPr>
      <w:r>
        <w:t xml:space="preserve">• </w:t>
      </w:r>
      <w:r>
        <w:rPr>
          <w:rFonts w:ascii="宋体" w:hAnsi="宋体" w:eastAsia="宋体" w:cs="宋体"/>
          <w:sz w:val="24"/>
          <w:szCs w:val="24"/>
        </w:rPr>
        <w:t>优秀学生干部（2023）</w:t>
      </w:r>
    </w:p>
    <w:p w14:paraId="3D6D4B84">
      <w:pPr>
        <w:pStyle w:val="167"/>
        <w:rPr>
          <w:rFonts w:ascii="宋体" w:hAnsi="宋体" w:eastAsia="宋体" w:cs="宋体"/>
          <w:sz w:val="24"/>
          <w:szCs w:val="24"/>
        </w:rPr>
      </w:pPr>
      <w:r>
        <w:t xml:space="preserve">• </w:t>
      </w:r>
      <w:r>
        <w:rPr>
          <w:rFonts w:ascii="宋体" w:hAnsi="宋体" w:eastAsia="宋体" w:cs="宋体"/>
          <w:sz w:val="24"/>
          <w:szCs w:val="24"/>
        </w:rPr>
        <w:t>人民大学科技创新奖学金（2024）</w:t>
      </w:r>
    </w:p>
    <w:p w14:paraId="4F52B9CE">
      <w:pPr>
        <w:pStyle w:val="167"/>
      </w:pPr>
    </w:p>
    <w:p w14:paraId="0DA6463E">
      <w:pPr>
        <w:pStyle w:val="165"/>
      </w:pPr>
      <w:r>
        <w:t>技能</w:t>
      </w:r>
    </w:p>
    <w:p w14:paraId="1A407DE4">
      <w:pPr>
        <w:pStyle w:val="167"/>
      </w:pPr>
      <w:r>
        <w:t>• SQL、Python、R、SAS</w:t>
      </w:r>
    </w:p>
    <w:p w14:paraId="2FC4368E">
      <w:pPr>
        <w:pStyle w:val="167"/>
      </w:pPr>
      <w:r>
        <w:t>• Tableau、PowerBI、Excel高级分析</w:t>
      </w:r>
    </w:p>
    <w:p w14:paraId="51204619">
      <w:pPr>
        <w:pStyle w:val="167"/>
      </w:pPr>
      <w:r>
        <w:t>• 统计建模、回归分析、实验评估</w:t>
      </w:r>
    </w:p>
    <w:p w14:paraId="56CC7905">
      <w:pPr>
        <w:pStyle w:val="167"/>
      </w:pPr>
      <w:r>
        <w:t>• 机器学习基础、可视化构建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D1D2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ResumeTitle"/>
    <w:uiPriority w:val="0"/>
    <w:pPr>
      <w:spacing w:after="200" w:line="276" w:lineRule="auto"/>
    </w:pPr>
    <w:rPr>
      <w:rFonts w:asciiTheme="minorHAnsi" w:hAnsiTheme="minorHAnsi" w:eastAsiaTheme="minorEastAsia" w:cstheme="minorBidi"/>
      <w:b/>
      <w:sz w:val="40"/>
      <w:szCs w:val="22"/>
      <w:lang w:val="en-US" w:eastAsia="en-US" w:bidi="ar-SA"/>
    </w:rPr>
  </w:style>
  <w:style w:type="paragraph" w:customStyle="1" w:styleId="165">
    <w:name w:val="SectionHeader"/>
    <w:uiPriority w:val="0"/>
    <w:pPr>
      <w:spacing w:after="200" w:line="276" w:lineRule="auto"/>
    </w:pPr>
    <w:rPr>
      <w:rFonts w:asciiTheme="minorHAnsi" w:hAnsiTheme="minorHAnsi" w:eastAsiaTheme="minorEastAsia" w:cstheme="minorBidi"/>
      <w:b/>
      <w:sz w:val="28"/>
      <w:szCs w:val="22"/>
      <w:lang w:val="en-US" w:eastAsia="en-US" w:bidi="ar-SA"/>
    </w:rPr>
  </w:style>
  <w:style w:type="paragraph" w:customStyle="1" w:styleId="166">
    <w:name w:val="Content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customStyle="1" w:styleId="167">
    <w:name w:val="BulletStyl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940</Words>
  <Characters>1151</Characters>
  <Lines>0</Lines>
  <Paragraphs>0</Paragraphs>
  <TotalTime>1</TotalTime>
  <ScaleCrop>false</ScaleCrop>
  <LinksUpToDate>false</LinksUpToDate>
  <CharactersWithSpaces>1190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浮云～今世</cp:lastModifiedBy>
  <dcterms:modified xsi:type="dcterms:W3CDTF">2025-11-13T01:04:24Z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eyJoZGlkIjoiNDU5N2YzYjMzZWUyZWUxOWI1ZWUzYjk3ODIyNWMyYjgiLCJ1c2VySWQiOiI0NzkxMjM5MDAifQ==</vt:lpwstr>
  </property>
  <property fmtid="{D5CDD505-2E9C-101B-9397-08002B2CF9AE}" pid="3" name="KSOProductBuildVer">
    <vt:lpwstr>2052-12.1.0.23542</vt:lpwstr>
  </property>
  <property fmtid="{D5CDD505-2E9C-101B-9397-08002B2CF9AE}" pid="4" name="ICV">
    <vt:lpwstr>C29CE1DC55754412BA57DB51DCFDF036_12</vt:lpwstr>
  </property>
</Properties>
</file>