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60" w:lineRule="auto"/>
        <w:ind w:left="2160" w:firstLine="0"/>
        <w:rPr>
          <w:rFonts w:ascii="Times New Roman" w:cs="Times New Roman" w:eastAsia="Times New Roman" w:hAnsi="Times New Roman"/>
          <w:b w:val="1"/>
          <w:bCs w:val="1"/>
          <w:color w:val="000000"/>
          <w:sz w:val="24"/>
          <w:szCs w:val="24"/>
        </w:rPr>
      </w:pPr>
      <w:bookmarkStart w:colFirst="0" w:colLast="0" w:name="_heading=h.hwf1l5perjuf" w:id="0"/>
      <w:bookmarkEnd w:id="0"/>
      <w:r>
        <w:rPr>
          <w:rFonts w:ascii="Arial" w:cs="Arial" w:eastAsia="Times New Roman" w:hAnsi="Arial"/>
          <w:b w:val="1"/>
          <w:bCs w:val="1"/>
          <w:color w:val="000000"/>
          <w:sz w:val="24"/>
          <w:szCs w:val="24"/>
          <w:rtl w:val="0"/>
        </w:rPr>
        <w:t xml:space="preserve">  </w:t>
      </w:r>
    </w:p>
    <w:p w:rsidR="00000000" w:rsidDel="00000000" w:rsidP="00000000" w:rsidRDefault="00000000" w:rsidRPr="00000000" w14:paraId="00000002">
      <w:pPr>
        <w:pStyle w:val="Heading2"/>
        <w:spacing w:after="0" w:before="0" w:line="360" w:lineRule="auto"/>
        <w:ind w:left="2160" w:firstLine="0"/>
        <w:rPr>
          <w:rFonts w:ascii="Times New Roman" w:cs="Times New Roman" w:eastAsia="Times New Roman" w:hAnsi="Times New Roman"/>
          <w:b w:val="1"/>
          <w:bCs w:val="1"/>
          <w:color w:val="000000"/>
          <w:sz w:val="24"/>
          <w:szCs w:val="24"/>
        </w:rPr>
      </w:pPr>
      <w:bookmarkStart w:colFirst="0" w:colLast="0" w:name="_heading=h.j3p3ziuqik6g" w:id="1"/>
      <w:bookmarkEnd w:id="1"/>
      <w:r>
        <w:rPr>
          <w:rFonts w:ascii="Arial" w:hAnsi="Arial" w:cs="Arial"/>
          <w:rtl w:val="0"/>
        </w:rPr>
      </w:r>
    </w:p>
    <w:p w:rsidR="00000000" w:rsidDel="00000000" w:rsidP="00000000" w:rsidRDefault="00000000" w:rsidRPr="00000000" w14:paraId="00000003">
      <w:pPr>
        <w:pStyle w:val="Heading2"/>
        <w:spacing w:after="0" w:before="0" w:line="360" w:lineRule="auto"/>
        <w:ind w:left="0" w:firstLine="0"/>
        <w:rPr>
          <w:rFonts w:ascii="Times New Roman" w:cs="Times New Roman" w:eastAsia="Times New Roman" w:hAnsi="Times New Roman"/>
          <w:b w:val="1"/>
          <w:bCs w:val="1"/>
          <w:color w:val="000000"/>
          <w:sz w:val="24"/>
          <w:szCs w:val="24"/>
        </w:rPr>
      </w:pPr>
      <w:bookmarkStart w:colFirst="0" w:colLast="0" w:name="_heading=h.aex8brt16ikz" w:id="2"/>
      <w:bookmarkEnd w:id="2"/>
      <w:r>
        <w:rPr>
          <w:rFonts w:ascii="Arial" w:hAnsi="Arial" w:cs="Arial"/>
          <w:rtl w:val="0"/>
        </w:rPr>
      </w:r>
    </w:p>
    <w:p w:rsidR="00000000" w:rsidDel="00000000" w:rsidP="00000000" w:rsidRDefault="00000000" w:rsidRPr="00000000" w14:paraId="00000004">
      <w:pPr>
        <w:rPr>
          <w:rFonts w:ascii="Times New Roman" w:cs="Times New Roman" w:eastAsia="Times New Roman" w:hAnsi="Times New Roman"/>
        </w:rPr>
      </w:pPr>
      <w:r>
        <w:rPr>
          <w:rFonts w:ascii="Arial" w:hAnsi="Arial" w:cs="Arial"/>
          <w:rtl w:val="0"/>
        </w:rPr>
      </w:r>
    </w:p>
    <w:p w:rsidR="00000000" w:rsidDel="00000000" w:rsidP="00000000" w:rsidRDefault="00000000" w:rsidRPr="00000000" w14:paraId="00000005">
      <w:pPr>
        <w:rPr>
          <w:rFonts w:ascii="Times New Roman" w:cs="Times New Roman" w:eastAsia="Times New Roman" w:hAnsi="Times New Roman"/>
        </w:rPr>
      </w:pPr>
      <w:r>
        <w:rPr>
          <w:rFonts w:ascii="Arial" w:hAnsi="Arial" w:cs="Arial"/>
          <w:rtl w:val="0"/>
        </w:rPr>
      </w:r>
    </w:p>
    <w:p w:rsidR="00000000" w:rsidDel="00000000" w:rsidP="00000000" w:rsidRDefault="00000000" w:rsidRPr="00000000" w14:paraId="00000006">
      <w:pPr>
        <w:pStyle w:val="Heading2"/>
        <w:spacing w:after="0" w:before="0" w:line="360" w:lineRule="auto"/>
        <w:ind w:left="2160" w:firstLine="0"/>
        <w:rPr>
          <w:rFonts w:ascii="Times New Roman" w:cs="Times New Roman" w:eastAsia="Times New Roman" w:hAnsi="Times New Roman"/>
          <w:b w:val="1"/>
          <w:bCs w:val="1"/>
          <w:color w:val="000000"/>
          <w:sz w:val="24"/>
          <w:szCs w:val="24"/>
        </w:rPr>
      </w:pPr>
      <w:bookmarkStart w:colFirst="0" w:colLast="0" w:name="_heading=h.5id5y8g46ow1" w:id="3"/>
      <w:bookmarkEnd w:id="3"/>
      <w:r>
        <w:rPr>
          <w:rFonts w:ascii="Arial" w:hAnsi="Arial" w:cs="Arial"/>
          <w:rtl w:val="0"/>
        </w:rPr>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PROYECTO DE INVESTIGACIÓN</w:t>
        <w:br w:type="textWrapping"/>
      </w:r>
    </w:p>
    <w:p w:rsidR="00000000" w:rsidDel="00000000" w:rsidP="00000000" w:rsidRDefault="00000000" w:rsidRPr="00000000" w14:paraId="00000008">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CHATBOTS BASADOS EN INTELIGENCIA ARTIFICIAL: UNA REVISIÓN SISTEMÁTICA DE LA LITERATURA 2021-2025</w:t>
      </w:r>
    </w:p>
    <w:p w:rsidR="00000000" w:rsidDel="00000000" w:rsidP="00000000" w:rsidRDefault="00000000" w:rsidRPr="00000000" w14:paraId="00000009">
      <w:pPr>
        <w:spacing w:after="0" w:before="0" w:line="240" w:lineRule="auto"/>
        <w:rPr>
          <w:rFonts w:ascii="Times New Roman" w:cs="Times New Roman" w:eastAsia="Times New Roman" w:hAnsi="Times New Roman"/>
          <w:b w:val="1"/>
          <w:bCs w:val="1"/>
        </w:rPr>
      </w:pPr>
      <w:r>
        <w:rPr>
          <w:rFonts w:ascii="Arial" w:cs="Arial" w:eastAsia="Times New Roman" w:hAnsi="Arial"/>
          <w:b w:val="1"/>
          <w:bCs w:val="1"/>
          <w:rtl w:val="0"/>
        </w:rPr>
        <w:br w:type="textWrapping"/>
      </w:r>
    </w:p>
    <w:p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Autores</w:t>
      </w:r>
    </w:p>
    <w:p w:rsidR="00000000" w:rsidDel="00000000" w:rsidP="00000000" w:rsidRDefault="00000000" w:rsidRPr="00000000" w14:paraId="0000000B">
      <w:pPr>
        <w:spacing w:after="0" w:before="0" w:line="240" w:lineRule="auto"/>
        <w:jc w:val="left"/>
        <w:rPr>
          <w:rFonts w:ascii="Times New Roman" w:cs="Times New Roman" w:eastAsia="Times New Roman" w:hAnsi="Times New Roman"/>
          <w:b w:val="1"/>
          <w:bCs w:val="1"/>
        </w:rPr>
      </w:pPr>
      <w:r>
        <w:rPr>
          <w:rFonts w:ascii="Arial" w:hAnsi="Arial" w:cs="Arial"/>
          <w:rtl w:val="0"/>
        </w:rPr>
      </w:r>
    </w:p>
    <w:p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PITTMAN MEDINA, Edward Miguel (ORCID: </w:t>
      </w:r>
      <w:hyperlink r:id="rId7">
        <w:r>
          <w:rPr>
            <w:rFonts w:ascii="Times New Roman" w:cs="Times New Roman" w:eastAsia="Times New Roman" w:hAnsi="Times New Roman"/>
            <w:rtl w:val="0"/>
          </w:rPr>
          <w:t xml:space="preserve">0009-0008-7789-554X</w:t>
        </w:r>
      </w:hyperlink>
      <w:r>
        <w:rPr>
          <w:rFonts w:ascii="Arial" w:cs="Arial" w:eastAsia="Times New Roman" w:hAnsi="Arial"/>
          <w:b w:val="1"/>
          <w:bCs w:val="1"/>
          <w:rtl w:val="0"/>
        </w:rPr>
        <w:t xml:space="preserve">)</w:t>
      </w:r>
    </w:p>
    <w:p w:rsidR="00000000" w:rsidDel="00000000" w:rsidP="00000000" w:rsidRDefault="00000000" w:rsidRPr="00000000" w14:paraId="0000000D">
      <w:pPr>
        <w:spacing w:after="0" w:before="0" w:line="240" w:lineRule="auto"/>
        <w:rPr>
          <w:rFonts w:ascii="Times New Roman" w:cs="Times New Roman" w:eastAsia="Times New Roman" w:hAnsi="Times New Roman"/>
          <w:b w:val="1"/>
          <w:bCs w:val="1"/>
        </w:rPr>
      </w:pPr>
      <w:r>
        <w:rPr>
          <w:rFonts w:ascii="Arial" w:cs="Arial" w:eastAsia="Times New Roman" w:hAnsi="Arial"/>
          <w:b w:val="1"/>
          <w:bCs w:val="1"/>
          <w:rtl w:val="0"/>
        </w:rPr>
        <w:t xml:space="preserve"> </w:t>
      </w:r>
    </w:p>
    <w:p w:rsidR="00000000" w:rsidDel="00000000" w:rsidP="00000000" w:rsidRDefault="00000000" w:rsidRPr="00000000" w14:paraId="0000000E">
      <w:pPr>
        <w:spacing w:after="0" w:before="0" w:line="240" w:lineRule="auto"/>
        <w:rPr>
          <w:rFonts w:ascii="Times New Roman" w:cs="Times New Roman" w:eastAsia="Times New Roman" w:hAnsi="Times New Roman"/>
          <w:b w:val="1"/>
          <w:bCs w:val="1"/>
        </w:rPr>
      </w:pPr>
      <w:r>
        <w:rPr>
          <w:rFonts w:ascii="Arial" w:hAnsi="Arial" w:cs="Arial"/>
          <w:rtl w:val="0"/>
        </w:rPr>
      </w:r>
    </w:p>
    <w:p w:rsidR="00000000" w:rsidDel="00000000" w:rsidP="00000000" w:rsidRDefault="00000000" w:rsidRPr="00000000" w14:paraId="0000000F">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Asesor(a)</w:t>
      </w:r>
    </w:p>
    <w:p w:rsidR="00000000" w:rsidDel="00000000" w:rsidP="00000000" w:rsidRDefault="00000000" w:rsidRPr="00000000" w14:paraId="00000010">
      <w:pPr>
        <w:spacing w:after="0" w:before="0" w:line="240" w:lineRule="auto"/>
        <w:jc w:val="center"/>
        <w:rPr>
          <w:rFonts w:ascii="Times New Roman" w:cs="Times New Roman" w:eastAsia="Times New Roman" w:hAnsi="Times New Roman"/>
          <w:b w:val="1"/>
          <w:bCs w:val="1"/>
        </w:rPr>
      </w:pPr>
      <w:r>
        <w:rPr>
          <w:rFonts w:ascii="Arial" w:hAnsi="Arial" w:cs="Arial"/>
          <w:rtl w:val="0"/>
        </w:rPr>
      </w:r>
    </w:p>
    <w:p w:rsidR="00000000" w:rsidDel="00000000" w:rsidP="00000000" w:rsidRDefault="00000000" w:rsidRPr="00000000" w14:paraId="00000011">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VIDAL Rischmoller, Julio Cesar (ORCID: </w:t>
      </w:r>
      <w:hyperlink r:id="rId8">
        <w:r>
          <w:rPr>
            <w:rFonts w:ascii="Arial" w:cs="Arial" w:eastAsia="Arial" w:hAnsi="Arial"/>
            <w:rtl w:val="0"/>
          </w:rPr>
          <w:t xml:space="preserve">0000-0002-6155-8118</w:t>
        </w:r>
      </w:hyperlink>
      <w:r>
        <w:rPr>
          <w:rFonts w:ascii="Arial" w:cs="Arial" w:eastAsia="Times New Roman" w:hAnsi="Arial"/>
          <w:b w:val="1"/>
          <w:bCs w:val="1"/>
          <w:rtl w:val="0"/>
        </w:rPr>
        <w:t xml:space="preserve"> )</w:t>
      </w:r>
    </w:p>
    <w:p w:rsidR="00000000" w:rsidDel="00000000" w:rsidP="00000000" w:rsidRDefault="00000000" w:rsidRPr="00000000" w14:paraId="00000012">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br w:type="textWrapping"/>
        <w:br w:type="textWrapping"/>
        <w:t xml:space="preserve"> Línea de investigación del programa</w:t>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Ciencia de datos e inteligencia artificial</w:t>
      </w:r>
    </w:p>
    <w:p w:rsidR="00000000" w:rsidDel="00000000" w:rsidP="00000000" w:rsidRDefault="00000000" w:rsidRPr="00000000" w14:paraId="00000014">
      <w:pPr>
        <w:spacing w:after="0" w:before="0" w:line="240" w:lineRule="auto"/>
        <w:rPr>
          <w:rFonts w:ascii="Times New Roman" w:cs="Times New Roman" w:eastAsia="Times New Roman" w:hAnsi="Times New Roman"/>
          <w:b w:val="1"/>
          <w:bCs w:val="1"/>
        </w:rPr>
      </w:pPr>
      <w:r>
        <w:rPr>
          <w:rFonts w:ascii="Arial" w:hAnsi="Arial" w:cs="Arial"/>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Línea de acción RSU</w:t>
      </w:r>
    </w:p>
    <w:p w:rsidR="00000000" w:rsidDel="00000000" w:rsidP="00000000" w:rsidRDefault="00000000" w:rsidRPr="00000000" w14:paraId="00000016">
      <w:pPr>
        <w:spacing w:after="0" w:before="0" w:line="240" w:lineRule="auto"/>
        <w:jc w:val="center"/>
        <w:rPr>
          <w:rFonts w:ascii="Times New Roman" w:cs="Times New Roman" w:eastAsia="Times New Roman" w:hAnsi="Times New Roman"/>
          <w:b w:val="1"/>
          <w:bCs w:val="1"/>
        </w:rPr>
      </w:pPr>
      <w:r>
        <w:rPr>
          <w:rFonts w:ascii="Arial" w:cs="Arial" w:eastAsia="Times New Roman" w:hAnsi="Arial"/>
          <w:b w:val="1"/>
          <w:bCs w:val="1"/>
          <w:rtl w:val="0"/>
        </w:rPr>
        <w:t xml:space="preserve">Desarrollo e innovación social</w:t>
        <w:br w:type="page"/>
      </w:r>
    </w:p>
    <w:p w:rsidR="00000000" w:rsidDel="00000000" w:rsidP="00000000" w:rsidRDefault="00000000" w:rsidRPr="00000000" w14:paraId="0000002B">
      <w:pPr>
        <w:spacing w:line="360" w:lineRule="auto"/>
        <w:jc w:val="left"/>
        <w:rPr>
          <w:rFonts w:ascii="Arial" w:cs="Arial" w:eastAsia="Arial" w:hAnsi="Arial"/>
          <w:color w:val="121212"/>
        </w:rPr>
      </w:pPr>
      <w:r>
        <w:rPr>
          <w:rFonts w:ascii="Arial" w:hAnsi="Arial" w:cs="Arial"/>
          <w:rtl w:val="0"/>
        </w:rPr>
      </w:r>
      <w:r>
        <w:rPr>
          <w:rFonts w:ascii="Arial" w:hAnsi="Arial" w:cs="Arial"/>
          <w:b/>
          <w:i w:val="0"/>
          <w:sz w:val="24"/>
        </w:rPr>
        <w:t>Introducción</w:t>
      </w:r>
    </w:p>
    <w:p>
      <w:pPr>
        <w:spacing w:before="0" w:after="0" w:line="360" w:lineRule="auto"/>
        <w:ind w:firstLine="720"/>
        <w:jc w:val="both"/>
      </w:pPr>
      <w:r>
        <w:rPr>
          <w:rFonts w:ascii="Arial" w:hAnsi="Arial"/>
          <w:b w:val="0"/>
          <w:i w:val="0"/>
          <w:sz w:val="24"/>
        </w:rPr>
        <w:t xml:space="preserve">En la última década, los chatbots basados en inteligencia artificial han pasado de ser sistemas experimentales de laboratorio a convertirse en una tecnología de uso cotidiano, presente en dominios tan diversos como el comercio electrónico, la atención al cliente, la educación, la salud y la administración pública. Su adopción se ha acelerado especialmente a partir de la popularización de los modelos de lenguaje de gran escala, que han ampliado de forma significativa la capacidad de estos sistemas para sostener conversaciones más naturales, coherentes y adaptadas al contexto del usuario.</w:t>
      </w:r>
    </w:p>
    <w:p>
      <w:pPr>
        <w:spacing w:before="0" w:after="0" w:line="360" w:lineRule="auto"/>
        <w:ind w:firstLine="720"/>
        <w:jc w:val="both"/>
      </w:pPr>
      <w:r>
        <w:rPr>
          <w:rFonts w:ascii="Arial" w:hAnsi="Arial"/>
          <w:b w:val="0"/>
          <w:i w:val="0"/>
          <w:sz w:val="24"/>
        </w:rPr>
        <w:t xml:space="preserve">Revisiones recientes de la literatura documentan que, en la actualidad, estos sistemas conversacionales inteligentes se aplican de forma transversal a prácticamente todos los sectores económicos y sociales, lo que ha generado un crecimiento acelerado y fragmentado de la producción científica sobre el tema [1].</w:t>
      </w:r>
    </w:p>
    <w:p>
      <w:pPr>
        <w:spacing w:line="360" w:lineRule="auto" w:before="0" w:after="0"/>
        <w:ind w:firstLine="720"/>
        <w:jc w:val="both"/>
      </w:pPr>
      <w:r>
        <w:rPr>
          <w:rFonts w:ascii="Arial" w:hAnsi="Arial"/>
          <w:b w:val="0"/>
          <w:i w:val="0"/>
          <w:sz w:val="24"/>
        </w:rPr>
        <w:t>Para efectos de esta revisión, se entiende por chatbot basado en inteligencia artificial a todo sistema de software capaz de sostener una interacción conversacional con personas usuarias, en lenguaje natural (escrito o hablado), mediante el uso de técnicas de inteligencia artificial, entre ellas el procesamiento de lenguaje natural, el aprendizaje automático y, en su forma más reciente, los modelos de lenguaje de gran escala. Estas técnicas le permiten interpretar la intención del usuario y generar respuestas relevantes sin intervención humana directa durante la conversación. Esta definición diferencia al chatbot basado en IA de los sistemas conversacionales puramente basados en reglas o árboles de decisión predefinidos, que carecen de capacidad de aprendizaje o generalización.</w:t>
      </w:r>
    </w:p>
    <w:p>
      <w:pPr>
        <w:spacing w:before="0" w:after="0" w:line="360" w:lineRule="auto"/>
        <w:ind w:firstLine="720"/>
        <w:jc w:val="both"/>
      </w:pPr>
      <w:r>
        <w:rPr>
          <w:rFonts w:ascii="Arial" w:hAnsi="Arial"/>
          <w:b w:val="0"/>
          <w:i w:val="0"/>
          <w:sz w:val="24"/>
        </w:rPr>
        <w:t xml:space="preserve">El desarrollo de los chatbots no es un fenómeno reciente. Su historia se remonta a mediados de la década de 1960, con la creación de ELIZA, un programa que simulaba el diálogo de un terapeuta mediante reglas simples de coincidencia de patrones, y continúa con sistemas posteriores como PARRY y A.L.I.C.E., que incorporaron heurísticas y bases de conocimiento cada vez más sofisticadas, aunque seguían dependiendo de reglas escritas manualmente [2]. A partir de la década de 2010, la incorporación de técnicas de aprendizaje automático y de procesamiento de lenguaje natural estadístico permitió el desarrollo de chatbots capaces de aprender patrones a partir de grandes volúmenes de datos conversacionales, en lugar de depender exclusivamente de reglas predefinidas.</w:t>
      </w:r>
    </w:p>
    <w:p>
      <w:pPr>
        <w:spacing w:before="0" w:after="0" w:line="360" w:lineRule="auto"/>
        <w:ind w:firstLine="720"/>
        <w:jc w:val="both"/>
      </w:pPr>
      <w:r>
        <w:rPr>
          <w:rFonts w:ascii="Arial" w:hAnsi="Arial"/>
          <w:b w:val="0"/>
          <w:i w:val="0"/>
          <w:sz w:val="24"/>
        </w:rPr>
        <w:t xml:space="preserve">Más recientemente, la aparición de arquitecturas basadas en transformadores y de modelos de lenguaje de gran escala ha dado lugar a una nueva generación de chatbots generativos, capaces de producir respuestas originales y contextualmente coherentes, en lugar de seleccionar respuestas de un conjunto predefinido [2]. Esta evolución histórica, que va de sistemas basados en reglas a sistemas estadísticos y de estos a sistemas generativos, constituye el eje central que explica la magnitud y diversidad de la literatura científica que se busca sistematizar en el presente artículo.</w:t>
      </w:r>
    </w:p>
    <w:p>
      <w:pPr>
        <w:spacing w:before="0" w:after="0" w:line="360" w:lineRule="auto"/>
        <w:ind w:firstLine="720"/>
        <w:jc w:val="both"/>
      </w:pPr>
      <w:r>
        <w:rPr>
          <w:rFonts w:ascii="Arial" w:hAnsi="Arial"/>
          <w:b w:val="0"/>
          <w:i w:val="0"/>
          <w:sz w:val="24"/>
        </w:rPr>
        <w:t>Lo que muestra la literatura es que cada sector avanza a su propio ritmo. En educación, Kingchang y Chatwattana [3] armaron una plataforma que mezcla bosques aleatorios, procesamiento de lenguaje natural y modelado de tópicos para orientar a estudiantes universitarios en la elección de carrera; en sus pruebas, lo que el sistema recomendaba y lo que el estudiante terminaba eligiendo coincidió en más del 80% de los casos.</w:t>
      </w:r>
    </w:p>
    <w:p>
      <w:pPr>
        <w:spacing w:before="0" w:after="0" w:line="360" w:lineRule="auto"/>
        <w:ind w:firstLine="720"/>
        <w:jc w:val="both"/>
      </w:pPr>
      <w:r>
        <w:rPr>
          <w:rFonts w:ascii="Arial" w:hAnsi="Arial"/>
          <w:b w:val="0"/>
          <w:i w:val="0"/>
          <w:sz w:val="24"/>
        </w:rPr>
        <w:t>La banca está un paso más allá. Andrade y Tumelero [4] estudiaron el asistente virtual de un banco brasileño, montado sobre IBM Watson y usado casi por completo a través de WhatsApp: entre 2019 y 2020 pasó de 17 a 181 millones de interacciones y llegó a resolver el 92% de ellas sin derivar al cliente con una persona. Con el agro pasa lo contrario. Lo publicado son sobre todo revisiones de tecnologías disponibles o propuestas de asistentes para productores, como el trabajo con productores de banano de Calvo-Valverde et al. [5] o los usos posibles de ChatGPT en agricultura y ganadería que plantean Siche y Siche [6], y casi nada probado en campo. Comparar esos ritmos es una de las cosas que esta revisión intenta hacer.</w:t>
      </w:r>
    </w:p>
    <w:p>
      <w:pPr>
        <w:spacing w:before="0" w:after="0" w:line="360" w:lineRule="auto"/>
        <w:ind w:firstLine="720"/>
        <w:jc w:val="both"/>
      </w:pPr>
      <w:r>
        <w:rPr>
          <w:rFonts w:ascii="Arial" w:hAnsi="Arial"/>
          <w:b w:val="0"/>
          <w:i w:val="0"/>
          <w:sz w:val="24"/>
        </w:rPr>
        <w:t>Tampoco hay acuerdo sobre cuánto aportan en realidad. Alharbi et al. [7] revisaron los factores que frenan la adopción y encontraron problemas que se repiten: el usuario no confía, no sabe qué se hace con lo que escribe en el chat, las organizaciones se resisten a cambiar sus procesos y el chatbot se pierde cuando la consulta es compleja o ambigua. La crítica de Hicks et al. [8] va por otro lado. Para ellos, un modelo como ChatGPT produce texto sin que le importe si es cierto o falso, y por eso lo califican de "bullshit" en el sentido filosófico que le dio Frankfurt. Si eso es así, usarlo donde un error cuesta caro es un problema serio, y la tecnología se está adoptando antes de que se sepa bien hasta dónde se puede confiar en ella.</w:t>
      </w:r>
    </w:p>
    <w:p>
      <w:pPr>
        <w:spacing w:before="0" w:after="0" w:line="360" w:lineRule="auto"/>
        <w:ind w:firstLine="720"/>
        <w:jc w:val="both"/>
      </w:pPr>
      <w:r>
        <w:rPr>
          <w:rFonts w:ascii="Arial" w:hAnsi="Arial"/>
          <w:b w:val="0"/>
          <w:i w:val="0"/>
          <w:sz w:val="24"/>
        </w:rPr>
        <w:t>En salud, los resultados cambian mucho según el tipo de estudio. Romanovskyi et al. [9] probaron Elomia, un chatbot de apoyo psicológico, con 82 participantes durante cuatro semanas; quienes lo usaron redujeron hasta 28% sus síntomas de depresión y hasta 31% los de ansiedad, con una diferencia clara frente al grupo de control. Kurniawan et al. [10], en cambio, reunieron ocho ensayos aleatorizados sobre chatbots para enfermedades crónicas y llegaron a algo más modesto. Los pacientes aceptan bien la herramienta. Lo que no está claro es si funciona, porque los estudios eran tan diferentes entre sí que no se pudo hacer un metaanálisis.</w:t>
      </w:r>
    </w:p>
    <w:p>
      <w:pPr>
        <w:spacing w:before="0" w:after="0" w:line="360" w:lineRule="auto"/>
        <w:ind w:firstLine="720"/>
        <w:jc w:val="both"/>
      </w:pPr>
      <w:r>
        <w:rPr>
          <w:rFonts w:ascii="Arial" w:hAnsi="Arial"/>
          <w:b w:val="0"/>
          <w:i w:val="0"/>
          <w:sz w:val="24"/>
        </w:rPr>
        <w:t>El trabajo de Yolcu et al. [11] es todavía más preocupante. Especialistas revisaron lo que ChatGPT respondía a consultas sobre la dieta en la acidemia metilmalónica, una enfermedad metabólica poco común, y solo el 20% de las respuestas les pareció adecuado, mientras que el 53.4% fue calificado como inapropiado. Es decir, ni dentro de la medicina el rendimiento es parejo, y sigue abierta la pregunta de en qué casos conviene usar un chatbot y en cuáles no.</w:t>
      </w:r>
    </w:p>
    <w:p>
      <w:pPr>
        <w:spacing w:before="0" w:after="0" w:line="360" w:lineRule="auto"/>
        <w:ind w:firstLine="720"/>
        <w:jc w:val="both"/>
      </w:pPr>
      <w:r>
        <w:rPr>
          <w:rFonts w:ascii="Arial" w:hAnsi="Arial"/>
          <w:b w:val="0"/>
          <w:i w:val="0"/>
          <w:sz w:val="24"/>
        </w:rPr>
        <w:t>Las comparaciones directas con médicos son las que más discusión han generado. Ayers et al. [12] tomaron 195 preguntas que pacientes publicaron en un foro público de Reddit y pidieron a un panel de profesionales de salud que comparara, sin saber quién era quién, las respuestas de médicos verificados con las de ChatGPT. En el 78.6% de las evaluaciones prefirieron las del chatbot, por ser más completas y más empáticas. Chen et al. [13] hicieron algo parecido con preguntas sobre cáncer, y el mejor puntuado en calidad, empatía y facilidad de lectura fue Claude AI, por encima de los oncólogos.</w:t>
      </w:r>
    </w:p>
    <w:p>
      <w:pPr>
        <w:spacing w:before="0" w:after="0" w:line="360" w:lineRule="auto"/>
        <w:ind w:firstLine="720"/>
        <w:jc w:val="both"/>
      </w:pPr>
      <w:r>
        <w:rPr>
          <w:rFonts w:ascii="Arial" w:hAnsi="Arial"/>
          <w:b w:val="0"/>
          <w:i w:val="0"/>
          <w:sz w:val="24"/>
        </w:rPr>
        <w:t>Pan et al. [14] miraron otra cosa: qué responden cuatro chatbots a las búsquedas más frecuentes sobre cáncer en Google. La información era correcta según los instrumentos clínicos que usaron, pero difícil de aplicar para alguien sin formación médica. Ninguno de estos trabajos propone reemplazar al médico. Aun así, queda una pregunta que la literatura todavía no responde: si en algunas tareas de comunicación con el paciente el chatbot ya rinde igual o mejor, ¿qué le toca hacer al profesional de salud en ese proceso?</w:t>
      </w:r>
    </w:p>
    <w:p>
      <w:pPr>
        <w:spacing w:before="0" w:after="0" w:line="360" w:lineRule="auto"/>
        <w:ind w:firstLine="720"/>
        <w:jc w:val="both"/>
      </w:pPr>
      <w:r>
        <w:rPr>
          <w:rFonts w:ascii="Arial" w:hAnsi="Arial"/>
          <w:b w:val="0"/>
          <w:i w:val="0"/>
          <w:sz w:val="24"/>
        </w:rPr>
        <w:t>Las cifras de producción ayudan a dimensionar el tema. Melo-Pedroza et al. [15] buscaron en Medline y Embase lo publicado sobre ChatGPT en medicina hasta abril de 2023: de 533 documentos quedaron 309, y casi todos eran de 2023, apenas 2.5% del año anterior. Chinguel Laban y Minaya Gutierrez [16], sin limitarse a un área, contaron 4288 documentos sobre ChatGPT en muy poco tiempo. En educación, Arias-Chávez et al. [17] encontraron en Scopus 507 trabajos sobre chatbots y agentes conversacionales, con un salto de 3 publicaciones en 2015 a 120 en 2022.</w:t>
      </w:r>
    </w:p>
    <w:p>
      <w:pPr>
        <w:spacing w:before="0" w:after="0" w:line="360" w:lineRule="auto"/>
        <w:ind w:firstLine="720"/>
        <w:jc w:val="both"/>
      </w:pPr>
      <w:r>
        <w:rPr>
          <w:rFonts w:ascii="Arial" w:hAnsi="Arial"/>
          <w:b w:val="0"/>
          <w:i w:val="0"/>
          <w:sz w:val="24"/>
        </w:rPr>
        <w:t>Garzón-Quiroz et al. [18] se fijaron en un punto más específico, la diferencia entre chatbots de reglas y chatbots basados en modelos de lenguaje. Tras analizar 175 documentos, vieron que los dos tipos siguen apareciendo en la literatura, aunque con costos y capacidades bastante distintos. Esa producción crece rápido, pero está repartida entre revistas de medicina, educación, administración y ciencias de la computación que rara vez se citan entre sí, lo que hace más necesario un trabajo que junte lo que cada una encontró por separado.</w:t>
      </w:r>
    </w:p>
    <w:p>
      <w:pPr>
        <w:spacing w:before="0" w:after="0" w:line="360" w:lineRule="auto"/>
        <w:ind w:firstLine="720"/>
        <w:jc w:val="both"/>
      </w:pPr>
      <w:r>
        <w:rPr>
          <w:rFonts w:ascii="Arial" w:hAnsi="Arial"/>
          <w:b w:val="0"/>
          <w:i w:val="0"/>
          <w:sz w:val="24"/>
        </w:rPr>
        <w:t xml:space="preserve">En América Latina el fenómeno no es ajeno. En Perú, un instrumento validado con 1387 estudiantes universitarios permitió confirmar que la actitud hacia los chatbots de IA generativa se explica por cuatro factores, a saber, actitud general, limitaciones percibidas, prácticas de uso y beneficios percibidos, con buenos indicadores de ajuste estadístico [19]. En Colombia, una encuesta a 381 estudiantes universitarios documentó un uso ya extendido de ChatGPT, junto con dudas propias sobre los límites éticos de usarlo en tareas académicas [20], mientras que un análisis jurídico reciente advierte que el marco regulatorio colombiano para chatbots de IA en asesoría legal todavía va por detrás de lo que ya exige, por ejemplo, la Unión Europea [21].</w:t>
      </w:r>
    </w:p>
    <w:p>
      <w:pPr>
        <w:spacing w:before="0" w:after="0" w:line="360" w:lineRule="auto"/>
        <w:ind w:firstLine="720"/>
        <w:jc w:val="both"/>
      </w:pPr>
      <w:r>
        <w:rPr>
          <w:rFonts w:ascii="Arial" w:hAnsi="Arial"/>
          <w:b w:val="0"/>
          <w:i w:val="0"/>
          <w:sz w:val="24"/>
        </w:rPr>
        <w:t xml:space="preserve">Y en México, la implementación de chatbots gubernamentales durante la pandemia de covid-19 dejó en evidencia que buena parte de las dudas de la ciudadanía tenían que ver menos con la tecnología en sí y más con la desconfianza hacia quien la pone en marcha [22]. Estos casos muestran que, aunque la región recién empieza a producir evidencia propia sobre el tema, ya hay preguntas de investigación, regulatorias y éticas que una revisión sistemática debería poder recoger.</w:t>
      </w:r>
    </w:p>
    <w:p>
      <w:pPr>
        <w:spacing w:before="0" w:after="0" w:line="360" w:lineRule="auto"/>
        <w:ind w:firstLine="720"/>
        <w:jc w:val="both"/>
      </w:pPr>
      <w:r>
        <w:rPr>
          <w:rFonts w:ascii="Arial" w:hAnsi="Arial"/>
          <w:b w:val="0"/>
          <w:i w:val="0"/>
          <w:sz w:val="24"/>
        </w:rPr>
        <w:t xml:space="preserve">La justificación de esta revisión sistemática se sustenta, en primer lugar, en la relevancia práctica y profesional del tema: la evidencia disponible muestra que los chatbots basados en inteligencia artificial ya tienen un efecto documentado sobre variables de negocio relevantes, como la lealtad y la experiencia del cliente en servicios digitales [23], [24], y que su tasa de adopción por parte de los consumidores continúa en crecimiento, aunque de forma heterogénea según el sector, el país y el perfil del usuario [7].</w:t>
      </w:r>
    </w:p>
    <w:p>
      <w:pPr>
        <w:spacing w:before="0" w:after="0" w:line="360" w:lineRule="auto"/>
        <w:ind w:firstLine="720"/>
        <w:jc w:val="both"/>
      </w:pPr>
      <w:r>
        <w:rPr>
          <w:rFonts w:ascii="Arial" w:hAnsi="Arial"/>
          <w:b w:val="0"/>
          <w:i w:val="0"/>
          <w:sz w:val="24"/>
        </w:rPr>
        <w:t xml:space="preserve">En segundo lugar, se justifica por la dispersión metodológica y temática de la literatura: los estudios existentes abordan el fenómeno desde perspectivas distintas, como atención al cliente, interacción humano-computadora, adopción tecnológica y ética de la inteligencia artificial, entre otras, sin que exista, hasta el periodo revisado, una síntesis actualizada (2021-2025) que integre estos hallazgos en un solo marco de análisis. Por ello, resulta pertinente desarrollar una revisión sistemática de la literatura que permita responder a la pregunta de investigación planteada, identificar los principales acuerdos y desacuerdos entre los estudios, así como los vacíos que orientan futuras líneas de investigación sobre los chatbots basados en inteligencia artificial.</w:t>
      </w:r>
    </w:p>
    <w:p>
      <w:pPr>
        <w:spacing w:before="0" w:after="0" w:line="360" w:lineRule="auto"/>
        <w:ind w:firstLine="720"/>
        <w:jc w:val="both"/>
      </w:pPr>
      <w:r>
        <w:rPr>
          <w:rFonts w:ascii="Arial" w:hAnsi="Arial"/>
          <w:b w:val="0"/>
          <w:i w:val="0"/>
          <w:sz w:val="24"/>
        </w:rPr>
        <w:t>A partir de lo expuesto, la presente revisión sistemática se plantea la siguiente pregunta de investigación: ¿cuál es la situación actual de los chatbots basados en inteligencia artificial, según la evidencia científica publicada entre 2021 y 2025? En correspondencia con esta pregunta, el objetivo general del presente estudio es analizar la situación actual de los chatbots basados en inteligencia artificial, a partir de la evidencia científica publicada entre 2021 y 2025.</w:t>
      </w:r>
    </w:p>
    <w:p>
      <w:pPr>
        <w:spacing w:before="0" w:after="0" w:line="360" w:lineRule="auto"/>
        <w:ind w:firstLine="720"/>
        <w:jc w:val="both"/>
      </w:pPr>
      <w:r>
        <w:rPr>
          <w:rFonts w:ascii="Arial" w:hAnsi="Arial"/>
          <w:b w:val="0"/>
          <w:i w:val="0"/>
          <w:sz w:val="24"/>
        </w:rPr>
        <w:t>Los objetivos específicos del presente estudio son: (a) identificar los principales dominios de aplicación de los chatbots basados en inteligencia artificial y el nivel de madurez alcanzado en cada uno, según la evidencia publicada entre 2021 y 2025; (b) describir las barreras, los debates y los niveles de eficacia reportados en la literatura sobre su uso, particularmente en los sectores de salud y atención al cliente; y (c) analizar la situación específica de América Latina respecto a la adopción, la regulación y la percepción de los chatbots basados en inteligencia artificial.</w:t>
      </w:r>
    </w:p>
    <w:p>
      <w:pPr>
        <w:spacing w:before="0" w:after="120" w:line="360" w:lineRule="auto"/>
        <w:jc w:val="left"/>
      </w:pPr>
      <w:r>
        <w:rPr>
          <w:rFonts w:ascii="Arial" w:hAnsi="Arial"/>
          <w:b/>
          <w:sz w:val="24"/>
        </w:rPr>
        <w:t xml:space="preserve">Método</w:t>
      </w:r>
    </w:p>
    <w:p>
      <w:pPr>
        <w:spacing w:before="0" w:after="0" w:line="360" w:lineRule="auto"/>
        <w:ind w:firstLine="720"/>
        <w:jc w:val="both"/>
      </w:pPr>
      <w:r>
        <w:rPr>
          <w:rFonts w:ascii="Arial" w:hAnsi="Arial"/>
          <w:b w:val="0"/>
          <w:i w:val="0"/>
          <w:sz w:val="24"/>
        </w:rPr>
        <w:t xml:space="preserve">Se realizó una revisión sistemática de la literatura siguiendo las directrices PRISMA 2020 [25]. Se incluyeron artículos de revista, ponencias de congreso y revisiones publicados entre 2021 y 2025, en español o inglés, cuyo objeto central fueran los chatbots basados en inteligencia artificial; se excluyeron tesis, libros, editoriales, documentos sin texto completo disponible, menciones tangenciales y registros duplicados.</w:t>
      </w:r>
    </w:p>
    <w:p>
      <w:pPr>
        <w:spacing w:before="0" w:after="0" w:line="360" w:lineRule="auto"/>
        <w:ind w:firstLine="720"/>
        <w:jc w:val="both"/>
      </w:pPr>
      <w:r>
        <w:rPr>
          <w:rFonts w:ascii="Arial" w:hAnsi="Arial"/>
          <w:b w:val="0"/>
          <w:i w:val="0"/>
          <w:sz w:val="24"/>
        </w:rPr>
        <w:t xml:space="preserve">La búsqueda se efectuó en Scopus, ScienceDirect, SciELO, IEEE Xplore y Google Scholar (inglés y español), (corte: 13 oct. 2026); no se incluyó Web of Science por falta de acceso institucional. Las palabras clave combinaron chatbot, chatbots o agente conversacional con inteligencia artificial mediante OR/AND, limitando la búsqueda al título y al periodo 2021-2025 cuando la plataforma lo permitió. La Tabla 1 resume la ecuación y los registros por fuente; en Google Scholar en inglés, con 2060 resultados, se revisaron los 150 primeros por relevancia, siguiendo a Haddaway et al. [26].</w:t>
      </w:r>
    </w:p>
    <w:p>
      <w:pPr>
        <w:keepNext/>
        <w:spacing w:before="120" w:after="0" w:line="240" w:lineRule="auto"/>
        <w:jc w:val="left"/>
      </w:pPr>
      <w:r>
        <w:rPr>
          <w:rFonts w:ascii="Arial" w:hAnsi="Arial"/>
          <w:b/>
          <w:i w:val="0"/>
          <w:sz w:val="22"/>
        </w:rPr>
        <w:t xml:space="preserve">Tabla 1</w:t>
      </w:r>
    </w:p>
    <w:p>
      <w:pPr>
        <w:keepNext/>
        <w:spacing w:before="0" w:after="60" w:line="240" w:lineRule="auto"/>
        <w:jc w:val="left"/>
      </w:pPr>
      <w:r>
        <w:rPr>
          <w:rFonts w:ascii="Arial" w:hAnsi="Arial"/>
          <w:b w:val="0"/>
          <w:i/>
          <w:sz w:val="22"/>
        </w:rPr>
        <w:t xml:space="preserve">Ecuaciones de búsqueda y registros identificados por fuente</w:t>
      </w:r>
    </w:p>
    <w:tbl>
      <w:tblPr>
        <w:tblW w:w="9026" w:type="dxa"/>
        <w:tblBorders>
          <w:top w:val="single" w:sz="6" w:space="0" w:color="000000"/>
          <w:left w:val="nil"/>
          <w:bottom w:val="single" w:sz="6" w:space="0" w:color="000000"/>
          <w:right w:val="nil"/>
          <w:insideH w:val="nil"/>
          <w:insideV w:val="nil"/>
        </w:tblBorders>
        <w:tblLayout w:type="fixed"/>
        <w:tblLook w:val="0000" w:firstRow="0" w:lastRow="0" w:firstColumn="0" w:lastColumn="0" w:noHBand="0" w:noVBand="0"/>
      </w:tblPr>
      <w:tblGrid>
        <w:gridCol w:w="1900"/>
        <w:gridCol w:w="5726"/>
        <w:gridCol w:w="1400"/>
      </w:tblGrid>
      <w:tr>
        <w:trPr>
          <w:cantSplit/>
        </w:trPr>
        <w:tc>
          <w:tcPr>
            <w:tcW w:w="1900" w:type="dxa"/>
          </w:tcPr>
          <w:p>
            <w:pPr>
              <w:keepNext/>
              <w:spacing w:before="40" w:after="40" w:line="240" w:lineRule="auto"/>
              <w:jc w:val="left"/>
            </w:pPr>
            <w:r>
              <w:rPr>
                <w:rFonts w:ascii="Arial" w:hAnsi="Arial"/>
                <w:b/>
                <w:sz w:val="22"/>
              </w:rPr>
              <w:t xml:space="preserve">Fuente</w:t>
            </w:r>
          </w:p>
        </w:tc>
        <w:tc>
          <w:tcPr>
            <w:tcW w:w="5726" w:type="dxa"/>
          </w:tcPr>
          <w:p>
            <w:pPr>
              <w:keepNext/>
              <w:spacing w:before="40" w:after="40" w:line="240" w:lineRule="auto"/>
              <w:jc w:val="left"/>
            </w:pPr>
            <w:r>
              <w:rPr>
                <w:rFonts w:ascii="Arial" w:hAnsi="Arial"/>
                <w:b/>
                <w:sz w:val="22"/>
              </w:rPr>
              <w:t xml:space="preserve">Ecuación de búsqueda</w:t>
            </w:r>
          </w:p>
        </w:tc>
        <w:tc>
          <w:tcPr>
            <w:tcW w:w="1400" w:type="dxa"/>
          </w:tcPr>
          <w:p>
            <w:pPr>
              <w:keepNext/>
              <w:spacing w:before="40" w:after="40" w:line="240" w:lineRule="auto"/>
              <w:jc w:val="right"/>
            </w:pPr>
            <w:r>
              <w:rPr>
                <w:rFonts w:ascii="Arial" w:hAnsi="Arial"/>
                <w:b/>
                <w:sz w:val="22"/>
              </w:rPr>
              <w:t xml:space="preserve">Registros</w:t>
            </w:r>
          </w:p>
        </w:tc>
      </w:tr>
      <w:tr>
        <w:trPr>
          <w:cantSplit/>
        </w:trPr>
        <w:tc>
          <w:tcPr>
            <w:tcW w:w="1900" w:type="dxa"/>
          </w:tcPr>
          <w:p>
            <w:pPr>
              <w:keepNext/>
              <w:spacing w:before="40" w:after="40" w:line="240" w:lineRule="auto"/>
              <w:jc w:val="left"/>
            </w:pPr>
            <w:r>
              <w:rPr>
                <w:rFonts w:ascii="Arial" w:hAnsi="Arial"/>
                <w:b w:val="0"/>
                <w:sz w:val="22"/>
              </w:rPr>
              <w:t xml:space="preserve">Scopus</w:t>
            </w:r>
          </w:p>
        </w:tc>
        <w:tc>
          <w:tcPr>
            <w:tcW w:w="5726" w:type="dxa"/>
          </w:tcPr>
          <w:p>
            <w:pPr>
              <w:keepNext/>
              <w:spacing w:before="40" w:after="40" w:line="240" w:lineRule="auto"/>
              <w:jc w:val="left"/>
            </w:pPr>
            <w:r>
              <w:rPr>
                <w:rFonts w:ascii="Arial" w:hAnsi="Arial"/>
                <w:b w:val="0"/>
                <w:sz w:val="22"/>
              </w:rPr>
              <w:t xml:space="preserve">TITLE(chatbot OR chatbots OR "conversational agent") AND TITLE("artificial intelligence") AND PUBYEAR &gt; 2020 AND PUBYEAR &lt; 2026</w:t>
            </w:r>
          </w:p>
        </w:tc>
        <w:tc>
          <w:tcPr>
            <w:tcW w:w="1400" w:type="dxa"/>
          </w:tcPr>
          <w:p>
            <w:pPr>
              <w:keepNext/>
              <w:spacing w:before="40" w:after="40" w:line="240" w:lineRule="auto"/>
              <w:jc w:val="right"/>
            </w:pPr>
            <w:r>
              <w:rPr>
                <w:rFonts w:ascii="Arial" w:hAnsi="Arial"/>
                <w:b w:val="0"/>
                <w:sz w:val="22"/>
              </w:rPr>
              <w:t xml:space="preserve">840</w:t>
            </w:r>
          </w:p>
        </w:tc>
      </w:tr>
      <w:tr>
        <w:trPr>
          <w:cantSplit/>
        </w:trPr>
        <w:tc>
          <w:tcPr>
            <w:tcW w:w="1900" w:type="dxa"/>
          </w:tcPr>
          <w:p>
            <w:pPr>
              <w:keepNext/>
              <w:spacing w:before="40" w:after="40" w:line="240" w:lineRule="auto"/>
              <w:jc w:val="left"/>
            </w:pPr>
            <w:r>
              <w:rPr>
                <w:rFonts w:ascii="Arial" w:hAnsi="Arial"/>
                <w:b w:val="0"/>
                <w:sz w:val="22"/>
              </w:rPr>
              <w:t xml:space="preserve">ScienceDirect</w:t>
            </w:r>
          </w:p>
        </w:tc>
        <w:tc>
          <w:tcPr>
            <w:tcW w:w="5726" w:type="dxa"/>
          </w:tcPr>
          <w:p>
            <w:pPr>
              <w:keepNext/>
              <w:spacing w:before="40" w:after="40" w:line="240" w:lineRule="auto"/>
              <w:jc w:val="left"/>
            </w:pPr>
            <w:r>
              <w:rPr>
                <w:rFonts w:ascii="Arial" w:hAnsi="Arial"/>
                <w:b w:val="0"/>
                <w:sz w:val="22"/>
              </w:rPr>
              <w:t xml:space="preserve">Título: (chatbot OR chatbots OR "conversational agent") AND ("artificial intelligence")</w:t>
            </w:r>
          </w:p>
        </w:tc>
        <w:tc>
          <w:tcPr>
            <w:tcW w:w="1400" w:type="dxa"/>
          </w:tcPr>
          <w:p>
            <w:pPr>
              <w:keepNext/>
              <w:spacing w:before="40" w:after="40" w:line="240" w:lineRule="auto"/>
              <w:jc w:val="right"/>
            </w:pPr>
            <w:r>
              <w:rPr>
                <w:rFonts w:ascii="Arial" w:hAnsi="Arial"/>
                <w:b w:val="0"/>
                <w:sz w:val="22"/>
              </w:rPr>
              <w:t xml:space="preserve">186</w:t>
            </w:r>
          </w:p>
        </w:tc>
      </w:tr>
      <w:tr>
        <w:trPr>
          <w:cantSplit/>
        </w:trPr>
        <w:tc>
          <w:tcPr>
            <w:tcW w:w="1900" w:type="dxa"/>
          </w:tcPr>
          <w:p>
            <w:pPr>
              <w:keepNext/>
              <w:spacing w:before="40" w:after="40" w:line="240" w:lineRule="auto"/>
              <w:jc w:val="left"/>
            </w:pPr>
            <w:r>
              <w:rPr>
                <w:rFonts w:ascii="Arial" w:hAnsi="Arial"/>
                <w:b w:val="0"/>
                <w:sz w:val="22"/>
              </w:rPr>
              <w:t xml:space="preserve">SciELO</w:t>
            </w:r>
          </w:p>
        </w:tc>
        <w:tc>
          <w:tcPr>
            <w:tcW w:w="5726" w:type="dxa"/>
          </w:tcPr>
          <w:p>
            <w:pPr>
              <w:keepNext/>
              <w:spacing w:before="40" w:after="40" w:line="240" w:lineRule="auto"/>
              <w:jc w:val="left"/>
            </w:pPr>
            <w:r>
              <w:rPr>
                <w:rFonts w:ascii="Arial" w:hAnsi="Arial"/>
                <w:b w:val="0"/>
                <w:sz w:val="22"/>
              </w:rPr>
              <w:t xml:space="preserve">Sin ecuación verificable: falla técnica persistente del buscador durante el periodo de trabajo; todos los índices, sin filtro de año</w:t>
            </w:r>
          </w:p>
        </w:tc>
        <w:tc>
          <w:tcPr>
            <w:tcW w:w="1400" w:type="dxa"/>
          </w:tcPr>
          <w:p>
            <w:pPr>
              <w:keepNext/>
              <w:spacing w:before="40" w:after="40" w:line="240" w:lineRule="auto"/>
              <w:jc w:val="right"/>
            </w:pPr>
            <w:r>
              <w:rPr>
                <w:rFonts w:ascii="Arial" w:hAnsi="Arial"/>
                <w:b w:val="0"/>
                <w:sz w:val="22"/>
              </w:rPr>
              <w:t xml:space="preserve">104</w:t>
            </w:r>
          </w:p>
        </w:tc>
      </w:tr>
      <w:tr>
        <w:trPr>
          <w:cantSplit/>
        </w:trPr>
        <w:tc>
          <w:tcPr>
            <w:tcW w:w="1900" w:type="dxa"/>
          </w:tcPr>
          <w:p>
            <w:pPr>
              <w:keepNext/>
              <w:spacing w:before="40" w:after="40" w:line="240" w:lineRule="auto"/>
              <w:jc w:val="left"/>
            </w:pPr>
            <w:r>
              <w:rPr>
                <w:rFonts w:ascii="Arial" w:hAnsi="Arial"/>
                <w:b w:val="0"/>
                <w:sz w:val="22"/>
              </w:rPr>
              <w:t xml:space="preserve">IEEE Xplore</w:t>
            </w:r>
          </w:p>
        </w:tc>
        <w:tc>
          <w:tcPr>
            <w:tcW w:w="5726" w:type="dxa"/>
          </w:tcPr>
          <w:p>
            <w:pPr>
              <w:keepNext/>
              <w:spacing w:before="40" w:after="40" w:line="240" w:lineRule="auto"/>
              <w:jc w:val="left"/>
            </w:pPr>
            <w:r>
              <w:rPr>
                <w:rFonts w:ascii="Arial" w:hAnsi="Arial"/>
                <w:b w:val="0"/>
                <w:sz w:val="22"/>
              </w:rPr>
              <w:t xml:space="preserve">"Document Title": (chatbot OR chatbots OR "conversational agent") AND "artificial intelligence"</w:t>
            </w:r>
          </w:p>
        </w:tc>
        <w:tc>
          <w:tcPr>
            <w:tcW w:w="1400" w:type="dxa"/>
          </w:tcPr>
          <w:p>
            <w:pPr>
              <w:keepNext/>
              <w:spacing w:before="40" w:after="40" w:line="240" w:lineRule="auto"/>
              <w:jc w:val="right"/>
            </w:pPr>
            <w:r>
              <w:rPr>
                <w:rFonts w:ascii="Arial" w:hAnsi="Arial"/>
                <w:b w:val="0"/>
                <w:sz w:val="22"/>
              </w:rPr>
              <w:t xml:space="preserve">78</w:t>
            </w:r>
          </w:p>
        </w:tc>
      </w:tr>
      <w:tr>
        <w:trPr>
          <w:cantSplit/>
        </w:trPr>
        <w:tc>
          <w:tcPr>
            <w:tcW w:w="1900" w:type="dxa"/>
          </w:tcPr>
          <w:p>
            <w:pPr>
              <w:keepNext/>
              <w:spacing w:before="40" w:after="40" w:line="240" w:lineRule="auto"/>
              <w:jc w:val="left"/>
            </w:pPr>
            <w:r>
              <w:rPr>
                <w:rFonts w:ascii="Arial" w:hAnsi="Arial"/>
                <w:b w:val="0"/>
                <w:sz w:val="22"/>
              </w:rPr>
              <w:t xml:space="preserve">Google Scholar (inglés)</w:t>
            </w:r>
          </w:p>
        </w:tc>
        <w:tc>
          <w:tcPr>
            <w:tcW w:w="5726" w:type="dxa"/>
          </w:tcPr>
          <w:p>
            <w:pPr>
              <w:keepNext/>
              <w:spacing w:before="40" w:after="40" w:line="240" w:lineRule="auto"/>
              <w:jc w:val="left"/>
            </w:pPr>
            <w:r>
              <w:rPr>
                <w:rFonts w:ascii="Arial" w:hAnsi="Arial"/>
                <w:b w:val="0"/>
                <w:sz w:val="22"/>
              </w:rPr>
              <w:t xml:space="preserve">intitle:(chatbot OR chatbots OR "conversational agent") intitle:"artificial intelligence"</w:t>
            </w:r>
          </w:p>
        </w:tc>
        <w:tc>
          <w:tcPr>
            <w:tcW w:w="1400" w:type="dxa"/>
          </w:tcPr>
          <w:p>
            <w:pPr>
              <w:keepNext/>
              <w:spacing w:before="40" w:after="40" w:line="240" w:lineRule="auto"/>
              <w:jc w:val="right"/>
            </w:pPr>
            <w:r>
              <w:rPr>
                <w:rFonts w:ascii="Arial" w:hAnsi="Arial"/>
                <w:b w:val="0"/>
                <w:sz w:val="22"/>
              </w:rPr>
              <w:t xml:space="preserve">150*</w:t>
            </w:r>
          </w:p>
        </w:tc>
      </w:tr>
      <w:tr>
        <w:trPr>
          <w:cantSplit/>
        </w:trPr>
        <w:tc>
          <w:tcPr>
            <w:tcW w:w="1900" w:type="dxa"/>
          </w:tcPr>
          <w:p>
            <w:pPr>
              <w:keepNext/>
              <w:spacing w:before="40" w:after="40" w:line="240" w:lineRule="auto"/>
              <w:jc w:val="left"/>
            </w:pPr>
            <w:r>
              <w:rPr>
                <w:rFonts w:ascii="Arial" w:hAnsi="Arial"/>
                <w:b w:val="0"/>
                <w:sz w:val="22"/>
              </w:rPr>
              <w:t xml:space="preserve">Google Scholar (español)</w:t>
            </w:r>
          </w:p>
        </w:tc>
        <w:tc>
          <w:tcPr>
            <w:tcW w:w="5726" w:type="dxa"/>
          </w:tcPr>
          <w:p>
            <w:pPr>
              <w:keepNext/>
              <w:spacing w:before="40" w:after="40" w:line="240" w:lineRule="auto"/>
              <w:jc w:val="left"/>
            </w:pPr>
            <w:r>
              <w:rPr>
                <w:rFonts w:ascii="Arial" w:hAnsi="Arial"/>
                <w:b w:val="0"/>
                <w:sz w:val="22"/>
              </w:rPr>
              <w:t xml:space="preserve">intitle:(chatbot OR chatbots OR "agente conversacional") intitle:"inteligencia artificial"</w:t>
            </w:r>
          </w:p>
        </w:tc>
        <w:tc>
          <w:tcPr>
            <w:tcW w:w="1400" w:type="dxa"/>
          </w:tcPr>
          <w:p>
            <w:pPr>
              <w:keepNext/>
              <w:spacing w:before="40" w:after="40" w:line="240" w:lineRule="auto"/>
              <w:jc w:val="right"/>
            </w:pPr>
            <w:r>
              <w:rPr>
                <w:rFonts w:ascii="Arial" w:hAnsi="Arial"/>
                <w:b w:val="0"/>
                <w:sz w:val="22"/>
              </w:rPr>
              <w:t xml:space="preserve">222</w:t>
            </w:r>
          </w:p>
        </w:tc>
      </w:tr>
      <w:tr>
        <w:trPr>
          <w:cantSplit/>
        </w:trPr>
        <w:tc>
          <w:tcPr>
            <w:tcW w:w="1900" w:type="dxa"/>
          </w:tcPr>
          <w:p>
            <w:pPr>
              <w:keepNext/>
              <w:spacing w:before="40" w:after="40" w:line="240" w:lineRule="auto"/>
              <w:jc w:val="left"/>
            </w:pPr>
            <w:r>
              <w:rPr>
                <w:rFonts w:ascii="Arial" w:hAnsi="Arial"/>
                <w:b/>
                <w:sz w:val="22"/>
              </w:rPr>
              <w:t xml:space="preserve">Total</w:t>
            </w:r>
          </w:p>
        </w:tc>
        <w:tc>
          <w:tcPr>
            <w:tcW w:w="5726" w:type="dxa"/>
          </w:tcPr>
          <w:p>
            <w:pPr>
              <w:keepNext/>
              <w:spacing w:before="40" w:after="40" w:line="240" w:lineRule="auto"/>
              <w:jc w:val="left"/>
            </w:pPr>
            <w:r>
              <w:rPr>
                <w:rFonts w:ascii="Arial" w:hAnsi="Arial"/>
                <w:b w:val="0"/>
                <w:sz w:val="22"/>
              </w:rPr>
              <w:t xml:space="preserve"/>
            </w:r>
          </w:p>
        </w:tc>
        <w:tc>
          <w:tcPr>
            <w:tcW w:w="1400" w:type="dxa"/>
          </w:tcPr>
          <w:p>
            <w:pPr>
              <w:keepNext/>
              <w:spacing w:before="40" w:after="40" w:line="240" w:lineRule="auto"/>
              <w:jc w:val="right"/>
            </w:pPr>
            <w:r>
              <w:rPr>
                <w:rFonts w:ascii="Arial" w:hAnsi="Arial"/>
                <w:b/>
                <w:sz w:val="22"/>
              </w:rPr>
              <w:t xml:space="preserve">1580</w:t>
            </w:r>
          </w:p>
        </w:tc>
      </w:tr>
    </w:tbl>
    <w:p>
      <w:pPr>
        <w:spacing w:before="60" w:after="120" w:line="240" w:lineRule="auto"/>
        <w:jc w:val="left"/>
      </w:pPr>
      <w:r>
        <w:rPr>
          <w:rFonts w:ascii="Arial" w:hAnsi="Arial"/>
          <w:b w:val="0"/>
          <w:i/>
          <w:sz w:val="20"/>
        </w:rPr>
        <w:t xml:space="preserve">Nota. *Primeros 150 de 2060 resultados, por relevancia. Salvo SciELO (sin filtro de año), todas las búsquedas se limitaron a 2021-2025. Elaboración propia.</w:t>
      </w:r>
    </w:p>
    <w:p>
      <w:pPr>
        <w:spacing w:before="0" w:after="0" w:line="360" w:lineRule="auto"/>
        <w:ind w:firstLine="720"/>
        <w:jc w:val="both"/>
      </w:pPr>
      <w:r>
        <w:rPr>
          <w:rFonts w:ascii="Arial" w:hAnsi="Arial"/>
          <w:b w:val="0"/>
          <w:i w:val="0"/>
          <w:sz w:val="24"/>
        </w:rPr>
        <w:t xml:space="preserve">Tras eliminar 367 duplicados y 42 registros de SciELO fuera de alcance, quedaron 1171 registros únicos, cribados en dos fases: primero por título y resumen, luego a texto completo, registrando en cada caso el motivo de exclusión según los criterios de elegibilidad. De cada estudio incluido se extrajeron, en una matriz propia, país, sector, tipo de estudio, muestra, hallazgos y limitaciones, variables definidas según los objetivos específicos.</w:t>
      </w:r>
    </w:p>
    <w:p>
      <w:pPr>
        <w:spacing w:before="0" w:after="120" w:line="360" w:lineRule="auto"/>
        <w:jc w:val="left"/>
      </w:pPr>
      <w:r>
        <w:rPr>
          <w:rFonts w:ascii="Arial" w:hAnsi="Arial"/>
          <w:b/>
          <w:sz w:val="24"/>
        </w:rPr>
        <w:t>Referencias</w:t>
      </w:r>
    </w:p>
    <w:p>
      <w:pPr>
        <w:spacing w:before="0" w:after="120" w:line="360" w:lineRule="auto"/>
        <w:jc w:val="left"/>
      </w:pPr>
      <w:r>
        <w:rPr>
          <w:rFonts w:ascii="Arial" w:hAnsi="Arial"/>
          <w:b w:val="0"/>
          <w:sz w:val="24"/>
        </w:rPr>
        <w:t>[1] Z. Lin, T. Ramayah, and Y. Shi, "The latest developments in chatbots: A bibliometric review over the past 15 years," Int. J. Acad. Res. Bus. Soc. Sci., vol. 15, no. 7, pp. 1635-1646, 2025, doi: 10.6007/IJARBSS/v15-i7/25456.</w:t>
      </w:r>
    </w:p>
    <w:p>
      <w:pPr>
        <w:spacing w:before="0" w:after="120" w:line="360" w:lineRule="auto"/>
        <w:jc w:val="left"/>
      </w:pPr>
      <w:r>
        <w:rPr>
          <w:rFonts w:ascii="Arial" w:hAnsi="Arial"/>
          <w:b w:val="0"/>
          <w:sz w:val="24"/>
        </w:rPr>
        <w:t>[2] V. Rajaraman, "From ELIZA to ChatGPT: A brief history of chatbots and their evolution," Resonance, vol. 28, no. 6, pp. 889-905, 2023, doi: 10.1007/s12045-023-1620-6.</w:t>
      </w:r>
    </w:p>
    <w:p>
      <w:pPr>
        <w:spacing w:before="0" w:after="120" w:line="360" w:lineRule="auto"/>
        <w:jc w:val="left"/>
      </w:pPr>
      <w:r>
        <w:rPr>
          <w:rFonts w:ascii="Arial" w:hAnsi="Arial"/>
          <w:b w:val="0"/>
          <w:sz w:val="24"/>
        </w:rPr>
        <w:t>[3] T. Kingchang and P. Chatwattana, "Artificial intelligence chatbot platform: AI chatbot platform for educational recommendations in higher education," Int. J. Inf. Educ. Technol., vol. 14, no. 1, pp. 34-41, 2024, doi: 10.18178/ijiet.2024.14.1.2021.</w:t>
      </w:r>
    </w:p>
    <w:p>
      <w:pPr>
        <w:spacing w:before="0" w:after="120" w:line="360" w:lineRule="auto"/>
        <w:jc w:val="left"/>
      </w:pPr>
      <w:r>
        <w:rPr>
          <w:rFonts w:ascii="Arial" w:hAnsi="Arial"/>
          <w:b w:val="0"/>
          <w:sz w:val="24"/>
        </w:rPr>
        <w:t>[4] I. M. D. Andrade and C. Tumelero, "Increasing customer service efficiency through artificial intelligence chatbot," Revista de Gestão, vol. 29, no. 3, pp. 238-251, 2022, doi: 10.1108/REGE-07-2021-0120.</w:t>
      </w:r>
    </w:p>
    <w:p>
      <w:pPr>
        <w:spacing w:before="0" w:after="120" w:line="360" w:lineRule="auto"/>
        <w:jc w:val="left"/>
      </w:pPr>
      <w:r>
        <w:rPr>
          <w:rFonts w:ascii="Arial" w:hAnsi="Arial"/>
          <w:b w:val="0"/>
          <w:sz w:val="24"/>
        </w:rPr>
        <w:t>[5] L. A. Calvo-Valverde, K. Rojas-Salazar, J. F. Hidalgo-Rodríguez, V. Mora, J. A. Sandoval, E. Bolaños-Céspedes, and C. Quirós, "A study of conversational agent solution technologies for banana farmer assistance," Rev. Tecnol. Marcha, vol. 36, no. 4, pp. 3-18, 2023, doi: 10.18845/tm.v36i4.6242.</w:t>
      </w:r>
    </w:p>
    <w:p>
      <w:pPr>
        <w:spacing w:before="0" w:after="120" w:line="360" w:lineRule="auto"/>
        <w:jc w:val="left"/>
      </w:pPr>
      <w:r>
        <w:rPr>
          <w:rFonts w:ascii="Arial" w:hAnsi="Arial"/>
          <w:b w:val="0"/>
          <w:sz w:val="24"/>
        </w:rPr>
        <w:t>[6] R. Siche and N. Siche, "El modelo de lenguaje basado en inteligencia artificial sensible - ChatGPT: Análisis bibliométrico y posibles usos en la agricultura y pecuaria," Sci. Agropecu., vol. 14, no. 1, pp. 111-116, 2023, doi: 10.17268/sci.agropecu.2023.010.</w:t>
      </w:r>
    </w:p>
    <w:p>
      <w:pPr>
        <w:spacing w:before="0" w:after="120" w:line="360" w:lineRule="auto"/>
        <w:jc w:val="left"/>
      </w:pPr>
      <w:r>
        <w:rPr>
          <w:rFonts w:ascii="Arial" w:hAnsi="Arial"/>
          <w:b w:val="0"/>
          <w:sz w:val="24"/>
        </w:rPr>
        <w:t>[7] N. Alharbi, F. Ud Din, D. Paul, and E. Sadgrove, "Driving AI chatbot adoption: A systematic review of factors, barriers, and future research directions," J. Open Innov. Technol. Market Complex., vol. 11, no. 3, art. 100590, 2025, doi: 10.1016/j.joitmc.2025.100590.</w:t>
      </w:r>
    </w:p>
    <w:p>
      <w:pPr>
        <w:spacing w:before="0" w:after="120" w:line="360" w:lineRule="auto"/>
        <w:jc w:val="left"/>
      </w:pPr>
      <w:r>
        <w:rPr>
          <w:rFonts w:ascii="Arial" w:hAnsi="Arial"/>
          <w:b w:val="0"/>
          <w:sz w:val="24"/>
        </w:rPr>
        <w:t>[8] M. T. Hicks, J. Humphries, and J. Slater, "ChatGPT is bullshit," Ethics Inf. Technol., vol. 26, art. 38, 2024, doi: 10.1007/s10676-024-09775-5.</w:t>
      </w:r>
    </w:p>
    <w:p>
      <w:pPr>
        <w:spacing w:before="0" w:after="120" w:line="360" w:lineRule="auto"/>
        <w:jc w:val="left"/>
      </w:pPr>
      <w:r>
        <w:rPr>
          <w:rFonts w:ascii="Arial" w:hAnsi="Arial"/>
          <w:b w:val="0"/>
          <w:sz w:val="24"/>
        </w:rPr>
        <w:t>[9] O. Romanovskyi, N. Pidbutska, and A. Knysh, "Elomia chatbot: The effectiveness of artificial intelligence in the fight for mental health," presentada en COLINS 2021, CEUR Workshop Proceedings, vol. 2870, paper 89, 2021.</w:t>
      </w:r>
    </w:p>
    <w:p>
      <w:pPr>
        <w:spacing w:before="0" w:after="120" w:line="360" w:lineRule="auto"/>
        <w:jc w:val="left"/>
      </w:pPr>
      <w:r>
        <w:rPr>
          <w:rFonts w:ascii="Arial" w:hAnsi="Arial"/>
          <w:b w:val="0"/>
          <w:sz w:val="24"/>
        </w:rPr>
        <w:t>[10] M. H. Kurniawan, H. Handiyani, T. Nuraini et al., "A systematic review of artificial intelligence-powered (AI-powered) chatbot intervention for managing chronic illness," Ann. Med., vol. 56, no. 1, art. 2302980, 2024, doi: 10.1080/07853890.2024.2302980.</w:t>
      </w:r>
    </w:p>
    <w:p>
      <w:pPr>
        <w:spacing w:before="0" w:after="120" w:line="360" w:lineRule="auto"/>
        <w:jc w:val="left"/>
      </w:pPr>
      <w:r>
        <w:rPr>
          <w:rFonts w:ascii="Arial" w:hAnsi="Arial"/>
          <w:b w:val="0"/>
          <w:sz w:val="24"/>
        </w:rPr>
        <w:t>[11] F. Yolcu, M. Koç Yekedüz, E. Köse, F. G. Samur, and F. Tuba Eminoğlu, "Evaluation of scientific validity and appropriateness of artificial intelligence-assisted ChatGPT advices in dietary treatment of methylmalonic acidemia," Nutr. Hosp., vol. 42, no. 5, pp. 910-915, 2025, doi: 10.20960/nh.06026.</w:t>
      </w:r>
    </w:p>
    <w:p>
      <w:pPr>
        <w:spacing w:before="0" w:after="120" w:line="360" w:lineRule="auto"/>
        <w:jc w:val="left"/>
      </w:pPr>
      <w:r>
        <w:rPr>
          <w:rFonts w:ascii="Arial" w:hAnsi="Arial"/>
          <w:b w:val="0"/>
          <w:sz w:val="24"/>
        </w:rPr>
        <w:t>[12] A. J. Ayers, A. Poliak, M. Dredze et al., "Comparing physician and artificial intelligence chatbot responses to patient questions posted to a public social media forum," JAMA Intern. Med., vol. 183, no. 6, pp. 589-596, 2023, doi: 10.1001/jamainternmed.2023.1838.</w:t>
      </w:r>
    </w:p>
    <w:p>
      <w:pPr>
        <w:spacing w:before="0" w:after="120" w:line="360" w:lineRule="auto"/>
        <w:jc w:val="left"/>
      </w:pPr>
      <w:r>
        <w:rPr>
          <w:rFonts w:ascii="Arial" w:hAnsi="Arial"/>
          <w:b w:val="0"/>
          <w:sz w:val="24"/>
        </w:rPr>
        <w:t>[13] S. Chen, B. H. Kann, M. B. Foote et al., "Physician and artificial intelligence chatbot responses to cancer questions from social media," JAMA Oncol., vol. 10, no. 7, pp. 956-960, 2024, doi: 10.1001/jamaoncol.2024.0836.</w:t>
      </w:r>
    </w:p>
    <w:p>
      <w:pPr>
        <w:spacing w:before="0" w:after="120" w:line="360" w:lineRule="auto"/>
        <w:jc w:val="left"/>
      </w:pPr>
      <w:r>
        <w:rPr>
          <w:rFonts w:ascii="Arial" w:hAnsi="Arial"/>
          <w:b w:val="0"/>
          <w:sz w:val="24"/>
        </w:rPr>
        <w:t>[14] A. Pan, C. Musheyev, D. Bockelman, K. Loeb, and S. Kabarriti, "Assessment of artificial intelligence chatbot responses to top searched queries about cancer," JAMA Oncol., vol. 9, no. 10, pp. 1437-1440, 2023, doi: 10.1001/jamaoncol.2023.2947.</w:t>
      </w:r>
    </w:p>
    <w:p>
      <w:pPr>
        <w:spacing w:before="0" w:after="120" w:line="360" w:lineRule="auto"/>
        <w:jc w:val="left"/>
      </w:pPr>
      <w:r>
        <w:rPr>
          <w:rFonts w:ascii="Arial" w:hAnsi="Arial"/>
          <w:b w:val="0"/>
          <w:sz w:val="24"/>
        </w:rPr>
        <w:t>[15] V. Melo-Pedroza, M. Jaramillo-Sierra, G. Prieto-Angarita, A. Ascencio-Medina, and C. Solano, "Análisis bibliométrico de ChatGPT como herramienta emergente en la salud," Urol. Colomb., vol. 33, no. 2, pp. 61-67, 2024, doi: 10.24875/ruc.23000099.</w:t>
      </w:r>
    </w:p>
    <w:p>
      <w:pPr>
        <w:spacing w:before="0" w:after="120" w:line="360" w:lineRule="auto"/>
        <w:jc w:val="left"/>
      </w:pPr>
      <w:r>
        <w:rPr>
          <w:rFonts w:ascii="Arial" w:hAnsi="Arial"/>
          <w:b w:val="0"/>
          <w:sz w:val="24"/>
        </w:rPr>
        <w:t>[16] D. O. Chinguel Laban and C. A. Minaya Gutierrez, "Inteligencia artificial - ChatGPT: Un estudio bibliométrico y su aplicación en el caso de gases de efecto invernadero," Manglar, vol. 21, no. 1, pp. 149-157, 2024, doi: 10.57188/manglar.2024.015.</w:t>
      </w:r>
    </w:p>
    <w:p>
      <w:pPr>
        <w:spacing w:before="0" w:after="120" w:line="360" w:lineRule="auto"/>
        <w:jc w:val="left"/>
      </w:pPr>
      <w:r>
        <w:rPr>
          <w:rFonts w:ascii="Arial" w:hAnsi="Arial"/>
          <w:b w:val="0"/>
          <w:sz w:val="24"/>
        </w:rPr>
        <w:t>[17] D. Arias-Chávez, T. Ramos-Quispe, and L. M. Cangalaya Sevillano, "Análisis y tendencias en el uso de chatbots y agentes conversacionales en el campo de la educación: Una revisión bibliométrica," Rev. Innov. Educ., vol. 26, no. 41, pp. 242-260, 2024, doi: 10.22458/ie.v26i41.5135.</w:t>
      </w:r>
    </w:p>
    <w:p>
      <w:pPr>
        <w:spacing w:before="0" w:after="120" w:line="360" w:lineRule="auto"/>
        <w:jc w:val="left"/>
      </w:pPr>
      <w:r>
        <w:rPr>
          <w:rFonts w:ascii="Arial" w:hAnsi="Arial"/>
          <w:b w:val="0"/>
          <w:sz w:val="24"/>
        </w:rPr>
        <w:t>[18] M. Garzón-Quiroz, G. Del Campo-Saltos, and B. Loor-Ávila, "Análisis sistemático sobre la eficiencia comunicativa entre chatbots basados en reglas y modelos de lenguaje natural," Universitas-XXI, no. 42, pp. 167-192, 2025, doi: 10.17163/uni.n42.2025.07.</w:t>
      </w:r>
    </w:p>
    <w:p>
      <w:pPr>
        <w:spacing w:before="0" w:after="120" w:line="360" w:lineRule="auto"/>
        <w:jc w:val="left"/>
      </w:pPr>
      <w:r>
        <w:rPr>
          <w:rFonts w:ascii="Arial" w:hAnsi="Arial"/>
          <w:b w:val="0"/>
          <w:sz w:val="24"/>
        </w:rPr>
        <w:t>[19] C. R. Palacios, E. L. Palacios, F. D. Álvarez, and D. A. Lizarzaburu, "Validación de un cuestionario de actitud de estudiantes universitarios hacia el uso de chatbots de inteligencia artificial generativa," Form. Univ., vol. 18, no. 5, pp. 15-32, 2025, doi: 10.4067/s0718-50062025000500015.</w:t>
      </w:r>
    </w:p>
    <w:p>
      <w:pPr>
        <w:spacing w:before="0" w:after="120" w:line="360" w:lineRule="auto"/>
        <w:jc w:val="left"/>
      </w:pPr>
      <w:r>
        <w:rPr>
          <w:rFonts w:ascii="Arial" w:hAnsi="Arial"/>
          <w:b w:val="0"/>
          <w:sz w:val="24"/>
        </w:rPr>
        <w:t>[20] F. Vásquez Cardona, V. Carmona García, and D. Pérez Valencia, "ChatGPT in higher education: A cross-sectional study of student usage, ethical perceptions, and implications for academic integrity," Rev. Bioética Derecho, no. 65, pp. 101-119, 2025, doi: 10.1344/rbd2025.65.49416.</w:t>
      </w:r>
    </w:p>
    <w:p>
      <w:pPr>
        <w:spacing w:before="0" w:after="120" w:line="360" w:lineRule="auto"/>
        <w:jc w:val="left"/>
      </w:pPr>
      <w:r>
        <w:rPr>
          <w:rFonts w:ascii="Arial" w:hAnsi="Arial"/>
          <w:b w:val="0"/>
          <w:sz w:val="24"/>
        </w:rPr>
        <w:t>[21] L. F. Londoño Villarreal, "Guía de cumplimiento: regulación de IA generativa en asesoría jurídica por chatbot en Colombia," Rev. Criminalidad, vol. 67, no. 2, pp. 77-88, 2025, doi: 10.47741/17943108.731.</w:t>
      </w:r>
    </w:p>
    <w:p>
      <w:pPr>
        <w:spacing w:before="0" w:after="120" w:line="360" w:lineRule="auto"/>
        <w:jc w:val="left"/>
      </w:pPr>
      <w:r>
        <w:rPr>
          <w:rFonts w:ascii="Arial" w:hAnsi="Arial"/>
          <w:b w:val="0"/>
          <w:sz w:val="24"/>
        </w:rPr>
        <w:t>[22] E. Arguelles Toache and M. Amaro Rosales, "Preocupaciones éticas en el uso de inteligencia artificial, transparencia y derecho de acceso a la información. El caso de los chatbots en el gobierno de México, en el contexto de la COVID-19," Estud. Derecho Inf., no. 15, pp. 85-111, 2023, doi: 10.22201/iij.25940082e.2023.15.17472.</w:t>
      </w:r>
    </w:p>
    <w:p>
      <w:pPr>
        <w:spacing w:before="0" w:after="120" w:line="360" w:lineRule="auto"/>
        <w:jc w:val="left"/>
      </w:pPr>
      <w:r>
        <w:rPr>
          <w:rFonts w:ascii="Arial" w:hAnsi="Arial"/>
          <w:sz w:val="24"/>
        </w:rPr>
        <w:t>[23] J.-S. Chen, T.-T.-Y. Le, and D. Florence, "Usability and responsiveness of artificial intelligence chatbot on online customer experience in e-retailing," Int. J. Retail Distrib. Manag., vol. 49, no. 11, pp. 1512-1531, 2021, doi: 10.1108/IJRDM-08-2020-0312.</w:t>
      </w:r>
    </w:p>
    <w:p>
      <w:pPr>
        <w:spacing w:before="0" w:after="120" w:line="360" w:lineRule="auto"/>
        <w:jc w:val="left"/>
      </w:pPr>
      <w:r>
        <w:rPr>
          <w:rFonts w:ascii="Arial" w:hAnsi="Arial"/>
          <w:sz w:val="24"/>
        </w:rPr>
        <w:t>[24] F. R. Sofiyah, A. Dilham, A. S. Lubis, Hayatunnufus, J. L. Marpaung, and D. Lubis, "The impact of artificial intelligence chatbot implementation on customer satisfaction in Padangsidimpuan: Study with structural equation modelling approach," Math. Model. Eng. Probl., vol. 11, no. 8, pp. 2127-2135, 2024, doi: 10.18280/mmep.110814.</w:t>
      </w:r>
    </w:p>
    <w:p>
      <w:pPr>
        <w:spacing w:before="0" w:after="120" w:line="360" w:lineRule="auto"/>
        <w:jc w:val="left"/>
      </w:pPr>
      <w:r>
        <w:rPr>
          <w:rFonts w:ascii="Arial" w:hAnsi="Arial"/>
          <w:b w:val="0"/>
          <w:sz w:val="24"/>
        </w:rPr>
        <w:t xml:space="preserve">[25] M. J. Page et al., "The PRISMA 2020 statement: an updated guideline for reporting systematic reviews," BMJ, vol. 372, art. no. n71, 2021, doi: 10.1136/bmj.n71.</w:t>
      </w:r>
    </w:p>
    <w:p>
      <w:pPr>
        <w:spacing w:before="0" w:after="120" w:line="360" w:lineRule="auto"/>
        <w:jc w:val="left"/>
      </w:pPr>
      <w:r>
        <w:rPr>
          <w:rFonts w:ascii="Arial" w:hAnsi="Arial"/>
          <w:b w:val="0"/>
          <w:sz w:val="24"/>
        </w:rPr>
        <w:t xml:space="preserve">[26] N. R. Haddaway, A. M. Collins, D. Coughlin, and S. Kirk, "The Role of Google Scholar in Evidence Reviews and Its Applicability to Grey Literature Searching," PLOS ONE, vol. 10, no. 9, art. no. e0138237, 2015, doi: 10.1371/journal.pone.0138237.</w:t>
      </w:r>
    </w:p>
    <w:sectPr>
      <w:headerReference r:id="rId9" w:type="default"/>
      <w:headerReference r:id="rId10" w:type="first"/>
      <w:footerReference r:id="rId11" w:type="first"/>
      <w:pgSz w:h="16838" w:w="11906"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line="360" w:lineRule="auto"/>
      <w:ind w:left="79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9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361950</wp:posOffset>
          </wp:positionV>
          <wp:extent cx="5731200" cy="120650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206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rcid.org/0009-0008-7789-554X" TargetMode="External"/><Relationship Id="rId8" Type="http://schemas.openxmlformats.org/officeDocument/2006/relationships/hyperlink" Target="https://orcid.org/0000-0002-6155-8118" TargetMode="External"/><Relationship Id="rId1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U/iMMBT9+dxbYcBgwikLeDGwA==">CgMxLjAyDmguaHdmMWw1cGVyanVmMg5oLmozcDN6aXVxaWs2ZzIOaC5hZXg4YnJ0MTZpa3oyDmguNWlkNXk4ZzQ2b3cxOAByITFacEpncndLTG9vZUMzdDBrY1ZCeXhWbTByZkRnNFRhdw==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