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trHeight w:val="760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4C80" w:val="clear"/>
            <w:tcMar>
              <w:top w:type="dxa" w:w="600"/>
              <w:left w:type="dxa" w:w="650"/>
              <w:bottom w:type="dxa" w:w="600"/>
              <w:right w:type="dxa" w:w="650"/>
            </w:tcMar>
            <w:vAlign w:val="center"/>
          </w:tcPr>
          <w:p>
            <w:pPr>
              <w:spacing w:after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DCE8F7"/>
                <w:sz w:val="30"/>
                <w:szCs w:val="30"/>
              </w:rPr>
              <w:t xml:space="preserve">湖南财会监督案例库</w:t>
            </w:r>
          </w:p>
          <w:p>
            <w:pPr>
              <w:spacing w:after="260" w:line="5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案例智能检索演示方案</w:t>
            </w:r>
          </w:p>
          <w:p>
            <w:pPr>
              <w:spacing w:after="4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DCE8F7"/>
                <w:sz w:val="23"/>
                <w:szCs w:val="23"/>
              </w:rPr>
              <w:t xml:space="preserve">让历史监督文书真正成为可查、可判、可追溯的业务经验</w:t>
            </w:r>
          </w:p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BFD0E6"/>
                <w:sz w:val="19"/>
                <w:szCs w:val="19"/>
              </w:rPr>
              <w:t xml:space="preserve">演示范围：检索首页 · 相似案例结果 · 案例详情</w:t>
            </w:r>
          </w:p>
        </w:tc>
      </w:tr>
    </w:tbl>
    <w:p>
      <w:pPr>
        <w:spacing w:after="80" w:befor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D6EA8"/>
          <w:sz w:val="18"/>
          <w:szCs w:val="18"/>
        </w:rPr>
        <w:t xml:space="preserve">汇报用途说明</w:t>
      </w:r>
    </w:p>
    <w:p>
      <w:pPr>
        <w:spacing w:after="0" w:line="31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本方案用于向用户说明案例智能检索的演示思路、页面特点和业务价值。文档聚焦前端演示链路，不作为最终项目范围、接口方案或技术实施承诺。</w:t>
      </w:r>
    </w:p>
    <w:p>
      <w:r>
        <w:br w:type="page"/>
      </w:r>
    </w:p>
    <w:p>
      <w:pPr>
        <w:pStyle w:val="Heading1"/>
        <w:keepNext/>
        <w:spacing w:after="70" w:before="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32"/>
          <w:szCs w:val="32"/>
        </w:rPr>
        <w:t xml:space="preserve">一、建设思路与演示主线</w:t>
      </w:r>
    </w:p>
    <w:p>
      <w:pPr>
        <w:spacing w:after="180" w:line="2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7B8798"/>
          <w:sz w:val="19"/>
          <w:szCs w:val="19"/>
        </w:rPr>
        <w:t xml:space="preserve">案例库一期首先解决“遇到新事项时，能否快速找到历史类似处理案例”。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3D6EA8" w:sz="16"/>
              <w:bottom w:val="none" w:color="FFFFFF" w:sz="0"/>
              <w:right w:val="none" w:color="FFFFFF" w:sz="0"/>
            </w:tcBorders>
            <w:shd w:fill="EEF4F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D6EA8"/>
                <w:sz w:val="22"/>
                <w:szCs w:val="22"/>
              </w:rPr>
              <w:t xml:space="preserve">核心定位</w:t>
            </w:r>
          </w:p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以湖南 OA 近五年整改通知书、检查报告、行政处罚决定书等历史监督文书为基础，建立面向业务人员的案例检索入口。首期优先帮助用户找准原始案例、看清命中依据并追溯来源，不让复杂 AI 生成内容替代业务判断。</w:t>
            </w:r>
          </w:p>
        </w:tc>
      </w:tr>
    </w:tbl>
    <w:p>
      <w:pPr>
        <w:spacing w:after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p>
      <w:pPr>
        <w:pStyle w:val="Heading2"/>
        <w:keepNext/>
        <w:spacing w:after="15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7"/>
          <w:szCs w:val="27"/>
        </w:rPr>
        <w:t xml:space="preserve">当前痛点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40"/>
        <w:gridCol w:w="3140"/>
        <w:gridCol w:w="3140"/>
      </w:tblGrid>
      <w:tr>
        <w:tc>
          <w:tcPr>
            <w:tcW w:type="dxa" w:w="3140"/>
            <w:tcBorders>
              <w:top w:val="single" w:color="DDE6F0" w:sz="4"/>
              <w:left w:val="single" w:color="DDE6F0" w:sz="4"/>
              <w:bottom w:val="single" w:color="DDE6F0" w:sz="4"/>
              <w:right w:val="single" w:color="DDE6F0" w:sz="4"/>
            </w:tcBorders>
            <w:shd w:fill="F7F9FC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9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94C80"/>
                <w:sz w:val="21"/>
                <w:szCs w:val="21"/>
              </w:rPr>
              <w:t xml:space="preserve">历史文书分散</w:t>
            </w:r>
          </w:p>
          <w:p>
            <w:pPr>
              <w:spacing w:after="0" w:line="27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文书沉淀在 OA 和附件中，跨年度查找耗时，历史经验难以复用。</w:t>
            </w:r>
          </w:p>
        </w:tc>
        <w:tc>
          <w:tcPr>
            <w:tcW w:type="dxa" w:w="3140"/>
            <w:tcBorders>
              <w:top w:val="single" w:color="DDE6F0" w:sz="4"/>
              <w:left w:val="single" w:color="DDE6F0" w:sz="4"/>
              <w:bottom w:val="single" w:color="DDE6F0" w:sz="4"/>
              <w:right w:val="single" w:color="DDE6F0" w:sz="4"/>
            </w:tcBorders>
            <w:shd w:fill="F7F9FC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9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94C80"/>
                <w:sz w:val="21"/>
                <w:szCs w:val="21"/>
              </w:rPr>
              <w:t xml:space="preserve">表达方式不统一</w:t>
            </w:r>
          </w:p>
          <w:p>
            <w:pPr>
              <w:spacing w:after="0" w:line="27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同一类问题可能有不同表述，仅靠精确关键词容易漏掉相似案例。</w:t>
            </w:r>
          </w:p>
        </w:tc>
        <w:tc>
          <w:tcPr>
            <w:tcW w:type="dxa" w:w="3140"/>
            <w:tcBorders>
              <w:top w:val="single" w:color="DDE6F0" w:sz="4"/>
              <w:left w:val="single" w:color="DDE6F0" w:sz="4"/>
              <w:bottom w:val="single" w:color="DDE6F0" w:sz="4"/>
              <w:right w:val="single" w:color="DDE6F0" w:sz="4"/>
            </w:tcBorders>
            <w:shd w:fill="F7F9FC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9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94C80"/>
                <w:sz w:val="21"/>
                <w:szCs w:val="21"/>
              </w:rPr>
              <w:t xml:space="preserve">结果缺少判断依据</w:t>
            </w:r>
          </w:p>
          <w:p>
            <w:pPr>
              <w:spacing w:after="0" w:line="27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只返回文件名称还不够，用户仍需逐份打开，难以快速确认是否相关。</w:t>
            </w:r>
          </w:p>
        </w:tc>
      </w:tr>
    </w:tbl>
    <w:p>
      <w:pPr>
        <w:pStyle w:val="Heading2"/>
        <w:keepNext/>
        <w:spacing w:after="15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7"/>
          <w:szCs w:val="27"/>
        </w:rPr>
        <w:t xml:space="preserve">三页面演示主线</w:t>
      </w:r>
    </w:p>
    <w:tbl>
      <w:tblPr>
        <w:tblW w:type="dxa" w:w="943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60"/>
        <w:gridCol w:w="130"/>
        <w:gridCol w:w="2260"/>
        <w:gridCol w:w="130"/>
        <w:gridCol w:w="2260"/>
        <w:gridCol w:w="130"/>
        <w:gridCol w:w="2260"/>
      </w:tblGrid>
      <w:tr>
        <w:tc>
          <w:tcPr>
            <w:tcW w:type="dxa" w:w="2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160"/>
              <w:left w:type="dxa" w:w="150"/>
              <w:bottom w:type="dxa" w:w="160"/>
              <w:right w:type="dxa" w:w="150"/>
            </w:tcMar>
          </w:tcPr>
          <w:p>
            <w:pPr>
              <w:spacing w:after="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D6EA8"/>
                <w:sz w:val="18"/>
                <w:szCs w:val="18"/>
              </w:rPr>
              <w:t xml:space="preserve">1</w:t>
            </w:r>
          </w:p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7"/>
                <w:sz w:val="21"/>
                <w:szCs w:val="21"/>
              </w:rPr>
              <w:t xml:space="preserve">输入事项</w:t>
            </w:r>
          </w:p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7B8798"/>
                <w:sz w:val="17"/>
                <w:szCs w:val="17"/>
              </w:rPr>
              <w:t xml:space="preserve">关键词、文号或自然语言描述</w:t>
            </w:r>
          </w:p>
        </w:tc>
        <w:tc>
          <w:tcPr>
            <w:tcW w:type="dxa" w:w="1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6A8DC4"/>
                <w:sz w:val="24"/>
                <w:szCs w:val="24"/>
              </w:rPr>
              <w:t xml:space="preserve">›</w:t>
            </w:r>
          </w:p>
        </w:tc>
        <w:tc>
          <w:tcPr>
            <w:tcW w:type="dxa" w:w="2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C" w:val="clear"/>
            <w:tcMar>
              <w:top w:type="dxa" w:w="160"/>
              <w:left w:type="dxa" w:w="150"/>
              <w:bottom w:type="dxa" w:w="160"/>
              <w:right w:type="dxa" w:w="150"/>
            </w:tcMar>
          </w:tcPr>
          <w:p>
            <w:pPr>
              <w:spacing w:after="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D6EA8"/>
                <w:sz w:val="18"/>
                <w:szCs w:val="18"/>
              </w:rPr>
              <w:t xml:space="preserve">2</w:t>
            </w:r>
          </w:p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7"/>
                <w:sz w:val="21"/>
                <w:szCs w:val="21"/>
              </w:rPr>
              <w:t xml:space="preserve">判断结果</w:t>
            </w:r>
          </w:p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7B8798"/>
                <w:sz w:val="17"/>
                <w:szCs w:val="17"/>
              </w:rPr>
              <w:t xml:space="preserve">相关度、命中片段和匹配原因</w:t>
            </w:r>
          </w:p>
        </w:tc>
        <w:tc>
          <w:tcPr>
            <w:tcW w:type="dxa" w:w="1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6A8DC4"/>
                <w:sz w:val="24"/>
                <w:szCs w:val="24"/>
              </w:rPr>
              <w:t xml:space="preserve">›</w:t>
            </w:r>
          </w:p>
        </w:tc>
        <w:tc>
          <w:tcPr>
            <w:tcW w:type="dxa" w:w="2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C" w:val="clear"/>
            <w:tcMar>
              <w:top w:type="dxa" w:w="160"/>
              <w:left w:type="dxa" w:w="150"/>
              <w:bottom w:type="dxa" w:w="160"/>
              <w:right w:type="dxa" w:w="150"/>
            </w:tcMar>
          </w:tcPr>
          <w:p>
            <w:pPr>
              <w:spacing w:after="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D6EA8"/>
                <w:sz w:val="18"/>
                <w:szCs w:val="18"/>
              </w:rPr>
              <w:t xml:space="preserve">3</w:t>
            </w:r>
          </w:p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7"/>
                <w:sz w:val="21"/>
                <w:szCs w:val="21"/>
              </w:rPr>
              <w:t xml:space="preserve">核验依据</w:t>
            </w:r>
          </w:p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7B8798"/>
                <w:sz w:val="17"/>
                <w:szCs w:val="17"/>
              </w:rPr>
              <w:t xml:space="preserve">正文高亮、附件与 OA 来源</w:t>
            </w:r>
          </w:p>
        </w:tc>
        <w:tc>
          <w:tcPr>
            <w:tcW w:type="dxa" w:w="1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6A8DC4"/>
                <w:sz w:val="24"/>
                <w:szCs w:val="24"/>
              </w:rPr>
              <w:t xml:space="preserve">›</w:t>
            </w:r>
          </w:p>
        </w:tc>
        <w:tc>
          <w:tcPr>
            <w:tcW w:type="dxa" w:w="2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C" w:val="clear"/>
            <w:tcMar>
              <w:top w:type="dxa" w:w="160"/>
              <w:left w:type="dxa" w:w="150"/>
              <w:bottom w:type="dxa" w:w="160"/>
              <w:right w:type="dxa" w:w="150"/>
            </w:tcMar>
          </w:tcPr>
          <w:p>
            <w:pPr>
              <w:spacing w:after="5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D6EA8"/>
                <w:sz w:val="18"/>
                <w:szCs w:val="18"/>
              </w:rPr>
              <w:t xml:space="preserve">4</w:t>
            </w:r>
          </w:p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7"/>
                <w:sz w:val="21"/>
                <w:szCs w:val="21"/>
              </w:rPr>
              <w:t xml:space="preserve">延伸参考</w:t>
            </w:r>
          </w:p>
          <w:p>
            <w:pPr>
              <w:spacing w:after="0" w:line="25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7B8798"/>
                <w:sz w:val="17"/>
                <w:szCs w:val="17"/>
              </w:rPr>
              <w:t xml:space="preserve">继续查看相似历史案例</w:t>
            </w:r>
          </w:p>
        </w:tc>
      </w:tr>
    </w:tbl>
    <w:p>
      <w:pPr>
        <w:spacing w:after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3F7A66" w:sz="16"/>
              <w:bottom w:val="none" w:color="FFFFFF" w:sz="0"/>
              <w:right w:val="none" w:color="FFFFFF" w:sz="0"/>
            </w:tcBorders>
            <w:shd w:fill="EEF6F2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F7A66"/>
                <w:sz w:val="22"/>
                <w:szCs w:val="22"/>
              </w:rPr>
              <w:t xml:space="preserve">为什么采用三页而不是一页堆满功能</w:t>
            </w:r>
          </w:p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三个页面分别承担“发起检索、判断结果、核验依据”三个任务。每一步只突出当前最重要的信息，既便于现场演示，也符合业务人员从发现问题到引用历史经验的实际工作节奏。</w:t>
            </w:r>
          </w:p>
        </w:tc>
      </w:tr>
    </w:tbl>
    <w:p>
      <w:r>
        <w:br w:type="page"/>
      </w:r>
    </w:p>
    <w:p>
      <w:pPr>
        <w:pStyle w:val="Heading1"/>
        <w:keepNext/>
        <w:spacing w:after="70" w:before="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32"/>
          <w:szCs w:val="32"/>
        </w:rPr>
        <w:t xml:space="preserve">二、页面一：案例智能检索首页</w:t>
      </w:r>
    </w:p>
    <w:p>
      <w:pPr>
        <w:spacing w:after="180" w:line="2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7B8798"/>
          <w:sz w:val="19"/>
          <w:szCs w:val="19"/>
        </w:rPr>
        <w:t xml:space="preserve">先降低使用门槛，让业务人员能够快速、自然地表达要找的问题。</w:t>
      </w:r>
    </w:p>
    <w:tbl>
      <w:tblPr>
        <w:tblW w:type="dxa" w:w="9638"/>
        <w:tblBorders>
          <w:top w:val="dashed" w:color="AFC1D6" w:sz="8"/>
          <w:left w:val="dashed" w:color="AFC1D6" w:sz="8"/>
          <w:bottom w:val="dashed" w:color="AFC1D6" w:sz="8"/>
          <w:right w:val="dashed" w:color="AFC1D6" w:sz="8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trHeight w:val="4550" w:hRule="exact"/>
        </w:trPr>
        <w:tc>
          <w:tcPr>
            <w:tcW w:type="dxa" w:w="9638"/>
            <w:shd w:fill="F5F8FC" w:val="clear"/>
            <w:tcMar>
              <w:top w:type="dxa" w:w="180"/>
              <w:left w:type="dxa" w:w="220"/>
              <w:bottom w:type="dxa" w:w="180"/>
              <w:right w:type="dxa" w:w="22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6A8DC4"/>
                <w:sz w:val="18"/>
                <w:szCs w:val="18"/>
              </w:rPr>
              <w:t xml:space="preserve">页面截图 1/3</w:t>
            </w:r>
          </w:p>
          <w:p>
            <w:pPr>
              <w:spacing w:after="1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94C80"/>
                <w:sz w:val="27"/>
                <w:szCs w:val="27"/>
              </w:rPr>
              <w:t xml:space="preserve">案例智能检索首页</w:t>
            </w:r>
          </w:p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7B8798"/>
                <w:sz w:val="19"/>
                <w:szCs w:val="19"/>
              </w:rPr>
              <w:t xml:space="preserve">请在此处插入对应演示页面截图</w:t>
            </w:r>
          </w:p>
        </w:tc>
      </w:tr>
    </w:tbl>
    <w:p>
      <w:pPr>
        <w:spacing w:after="1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20"/>
        <w:gridCol w:w="198"/>
        <w:gridCol w:w="4720"/>
      </w:tblGrid>
      <w:tr>
        <w:tc>
          <w:tcPr>
            <w:tcW w:type="dxa" w:w="4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C" w:val="clear"/>
            <w:tcMar>
              <w:top w:type="dxa" w:w="160"/>
              <w:left w:type="dxa" w:w="190"/>
              <w:bottom w:type="dxa" w:w="130"/>
              <w:right w:type="dxa" w:w="190"/>
            </w:tcMar>
          </w:tcPr>
          <w:p>
            <w:pPr>
              <w:spacing w:after="9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94C80"/>
                <w:sz w:val="21"/>
                <w:szCs w:val="21"/>
              </w:rPr>
              <w:t xml:space="preserve">页面重点展示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ind w:left="360" w:hanging="1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支持文号、单位名称、专有名词和自然语言描述。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ind w:left="360" w:hanging="1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提供典型检索示例，帮助用户理解可以怎样提问。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ind w:left="360" w:hanging="1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展示最近检索和当前可检索文书范围，建立使用预期。</w:t>
            </w:r>
          </w:p>
        </w:tc>
        <w:tc>
          <w:tcPr>
            <w:tcW w:type="dxa" w:w="1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line="3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475569"/>
                <w:sz w:val="22"/>
                <w:szCs w:val="22"/>
              </w:rPr>
              <w:t xml:space="preserve"/>
            </w:r>
          </w:p>
        </w:tc>
        <w:tc>
          <w:tcPr>
            <w:tcW w:type="dxa" w:w="4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D" w:val="clear"/>
            <w:tcMar>
              <w:top w:type="dxa" w:w="160"/>
              <w:left w:type="dxa" w:w="190"/>
              <w:bottom w:type="dxa" w:w="130"/>
              <w:right w:type="dxa" w:w="190"/>
            </w:tcMar>
          </w:tcPr>
          <w:p>
            <w:pPr>
              <w:spacing w:after="9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94C80"/>
                <w:sz w:val="21"/>
                <w:szCs w:val="21"/>
              </w:rPr>
              <w:t xml:space="preserve">设计目的与价值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ind w:left="360" w:hanging="1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单一大检索框突出核心任务，避免复杂表单增加学习成本。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ind w:left="360" w:hanging="1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精确检索与语义检索互补，既能找准文号，也能识别不同说法下的相似事项。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ind w:left="360" w:hanging="1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不以标签为主要入口，减少用户理解分类体系和前期维护标签的负担。</w:t>
            </w:r>
          </w:p>
        </w:tc>
      </w:tr>
    </w:tbl>
    <w:p>
      <w:pPr>
        <w:spacing w:after="1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9A6A17" w:sz="16"/>
              <w:bottom w:val="none" w:color="FFFFFF" w:sz="0"/>
              <w:right w:val="none" w:color="FFFFFF" w:sz="0"/>
            </w:tcBorders>
            <w:shd w:fill="FFF7E7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9A6A17"/>
                <w:sz w:val="22"/>
                <w:szCs w:val="22"/>
              </w:rPr>
              <w:t xml:space="preserve">汇报讲解重点</w:t>
            </w:r>
          </w:p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“用户不需要先知道案例属于哪个分类，也不需要记住原文的准确表述，只要描述当前遇到的事项，就可以开始查找历史经验。”</w:t>
            </w:r>
          </w:p>
        </w:tc>
      </w:tr>
    </w:tbl>
    <w:p>
      <w:r>
        <w:br w:type="page"/>
      </w:r>
    </w:p>
    <w:p>
      <w:pPr>
        <w:pStyle w:val="Heading1"/>
        <w:keepNext/>
        <w:spacing w:after="70" w:before="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32"/>
          <w:szCs w:val="32"/>
        </w:rPr>
        <w:t xml:space="preserve">三、页面二：相似案例检索结果</w:t>
      </w:r>
    </w:p>
    <w:p>
      <w:pPr>
        <w:spacing w:after="180" w:line="2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7B8798"/>
          <w:sz w:val="19"/>
          <w:szCs w:val="19"/>
        </w:rPr>
        <w:t xml:space="preserve">结果页首先帮助用户判断“这些结果是不是我真正要找的”。</w:t>
      </w:r>
    </w:p>
    <w:tbl>
      <w:tblPr>
        <w:tblW w:type="dxa" w:w="9638"/>
        <w:tblBorders>
          <w:top w:val="dashed" w:color="AFC1D6" w:sz="8"/>
          <w:left w:val="dashed" w:color="AFC1D6" w:sz="8"/>
          <w:bottom w:val="dashed" w:color="AFC1D6" w:sz="8"/>
          <w:right w:val="dashed" w:color="AFC1D6" w:sz="8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trHeight w:val="4550" w:hRule="exact"/>
        </w:trPr>
        <w:tc>
          <w:tcPr>
            <w:tcW w:type="dxa" w:w="9638"/>
            <w:shd w:fill="F5F8FC" w:val="clear"/>
            <w:tcMar>
              <w:top w:type="dxa" w:w="180"/>
              <w:left w:type="dxa" w:w="220"/>
              <w:bottom w:type="dxa" w:w="180"/>
              <w:right w:type="dxa" w:w="22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6A8DC4"/>
                <w:sz w:val="18"/>
                <w:szCs w:val="18"/>
              </w:rPr>
              <w:t xml:space="preserve">页面截图 2/3</w:t>
            </w:r>
          </w:p>
          <w:p>
            <w:pPr>
              <w:spacing w:after="1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94C80"/>
                <w:sz w:val="27"/>
                <w:szCs w:val="27"/>
              </w:rPr>
              <w:t xml:space="preserve">相似案例检索结果</w:t>
            </w:r>
          </w:p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7B8798"/>
                <w:sz w:val="19"/>
                <w:szCs w:val="19"/>
              </w:rPr>
              <w:t xml:space="preserve">请在此处插入对应演示页面截图</w:t>
            </w:r>
          </w:p>
        </w:tc>
      </w:tr>
    </w:tbl>
    <w:p>
      <w:pPr>
        <w:spacing w:after="1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20"/>
        <w:gridCol w:w="198"/>
        <w:gridCol w:w="4720"/>
      </w:tblGrid>
      <w:tr>
        <w:tc>
          <w:tcPr>
            <w:tcW w:type="dxa" w:w="4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C" w:val="clear"/>
            <w:tcMar>
              <w:top w:type="dxa" w:w="160"/>
              <w:left w:type="dxa" w:w="190"/>
              <w:bottom w:type="dxa" w:w="130"/>
              <w:right w:type="dxa" w:w="190"/>
            </w:tcMar>
          </w:tcPr>
          <w:p>
            <w:pPr>
              <w:spacing w:after="9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94C80"/>
                <w:sz w:val="21"/>
                <w:szCs w:val="21"/>
              </w:rPr>
              <w:t xml:space="preserve">页面重点展示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ind w:left="360" w:hanging="1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按相关度展示候选案例，并支持年度、文书类型、文号和相关单位筛选。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ind w:left="360" w:hanging="1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直接展示命中片段、相关度和可解释匹配原因。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ind w:left="360" w:hanging="1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保留标题、文号、日期、单位等关键身份信息，可快速进入详情或查看原文。</w:t>
            </w:r>
          </w:p>
        </w:tc>
        <w:tc>
          <w:tcPr>
            <w:tcW w:type="dxa" w:w="1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line="3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475569"/>
                <w:sz w:val="22"/>
                <w:szCs w:val="22"/>
              </w:rPr>
              <w:t xml:space="preserve"/>
            </w:r>
          </w:p>
        </w:tc>
        <w:tc>
          <w:tcPr>
            <w:tcW w:type="dxa" w:w="4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D" w:val="clear"/>
            <w:tcMar>
              <w:top w:type="dxa" w:w="160"/>
              <w:left w:type="dxa" w:w="190"/>
              <w:bottom w:type="dxa" w:w="130"/>
              <w:right w:type="dxa" w:w="190"/>
            </w:tcMar>
          </w:tcPr>
          <w:p>
            <w:pPr>
              <w:spacing w:after="9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94C80"/>
                <w:sz w:val="21"/>
                <w:szCs w:val="21"/>
              </w:rPr>
              <w:t xml:space="preserve">设计目的与价值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ind w:left="360" w:hanging="1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把“结果为什么相关”前置展示，减少逐份打开文书的时间。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ind w:left="360" w:hanging="1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关键词命中保证明确术语和文号准确，语义相似覆盖表达差异。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ind w:left="360" w:hanging="1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连续结果册便于纵向比较，避免多张卡片打断扫描节奏。</w:t>
            </w:r>
          </w:p>
        </w:tc>
      </w:tr>
    </w:tbl>
    <w:p>
      <w:pPr>
        <w:spacing w:after="1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3F7A66" w:sz="16"/>
              <w:bottom w:val="none" w:color="FFFFFF" w:sz="0"/>
              <w:right w:val="none" w:color="FFFFFF" w:sz="0"/>
            </w:tcBorders>
            <w:shd w:fill="EEF6F2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F7A66"/>
                <w:sz w:val="22"/>
                <w:szCs w:val="22"/>
              </w:rPr>
              <w:t xml:space="preserve">解决的核心痛点</w:t>
            </w:r>
          </w:p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传统检索常出现“返回很多结果，但不知道哪一份值得看”。本页通过命中片段、相关度和匹配原因，让用户在结果列表中就能完成第一轮业务判断。</w:t>
            </w:r>
          </w:p>
        </w:tc>
      </w:tr>
    </w:tbl>
    <w:p>
      <w:r>
        <w:br w:type="page"/>
      </w:r>
    </w:p>
    <w:p>
      <w:pPr>
        <w:pStyle w:val="Heading1"/>
        <w:keepNext/>
        <w:spacing w:after="70" w:before="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32"/>
          <w:szCs w:val="32"/>
        </w:rPr>
        <w:t xml:space="preserve">四、页面三：案例详情与原文追溯</w:t>
      </w:r>
    </w:p>
    <w:p>
      <w:pPr>
        <w:spacing w:after="180" w:line="2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7B8798"/>
          <w:sz w:val="19"/>
          <w:szCs w:val="19"/>
        </w:rPr>
        <w:t xml:space="preserve">从“看起来相关”进一步进入“证据是否充分、是否可引用”的核验环节。</w:t>
      </w:r>
    </w:p>
    <w:tbl>
      <w:tblPr>
        <w:tblW w:type="dxa" w:w="9638"/>
        <w:tblBorders>
          <w:top w:val="dashed" w:color="AFC1D6" w:sz="8"/>
          <w:left w:val="dashed" w:color="AFC1D6" w:sz="8"/>
          <w:bottom w:val="dashed" w:color="AFC1D6" w:sz="8"/>
          <w:right w:val="dashed" w:color="AFC1D6" w:sz="8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trHeight w:val="4550" w:hRule="exact"/>
        </w:trPr>
        <w:tc>
          <w:tcPr>
            <w:tcW w:type="dxa" w:w="9638"/>
            <w:shd w:fill="F5F8FC" w:val="clear"/>
            <w:tcMar>
              <w:top w:type="dxa" w:w="180"/>
              <w:left w:type="dxa" w:w="220"/>
              <w:bottom w:type="dxa" w:w="180"/>
              <w:right w:type="dxa" w:w="22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6A8DC4"/>
                <w:sz w:val="18"/>
                <w:szCs w:val="18"/>
              </w:rPr>
              <w:t xml:space="preserve">页面截图 3/3</w:t>
            </w:r>
          </w:p>
          <w:p>
            <w:pPr>
              <w:spacing w:after="1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94C80"/>
                <w:sz w:val="27"/>
                <w:szCs w:val="27"/>
              </w:rPr>
              <w:t xml:space="preserve">案例详情与原文追溯</w:t>
            </w:r>
          </w:p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7B8798"/>
                <w:sz w:val="19"/>
                <w:szCs w:val="19"/>
              </w:rPr>
              <w:t xml:space="preserve">请在此处插入对应演示页面截图</w:t>
            </w:r>
          </w:p>
        </w:tc>
      </w:tr>
    </w:tbl>
    <w:p>
      <w:pPr>
        <w:spacing w:after="1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20"/>
        <w:gridCol w:w="198"/>
        <w:gridCol w:w="4720"/>
      </w:tblGrid>
      <w:tr>
        <w:tc>
          <w:tcPr>
            <w:tcW w:type="dxa" w:w="4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C" w:val="clear"/>
            <w:tcMar>
              <w:top w:type="dxa" w:w="160"/>
              <w:left w:type="dxa" w:w="190"/>
              <w:bottom w:type="dxa" w:w="130"/>
              <w:right w:type="dxa" w:w="190"/>
            </w:tcMar>
          </w:tcPr>
          <w:p>
            <w:pPr>
              <w:spacing w:after="9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94C80"/>
                <w:sz w:val="21"/>
                <w:szCs w:val="21"/>
              </w:rPr>
              <w:t xml:space="preserve">页面重点展示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ind w:left="360" w:hanging="1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集中展示案例标题、文号、文书类型、日期、相关单位和本次检索内容。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ind w:left="360" w:hanging="1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提供命中内容定位、正文高亮、源文件附件和 OA 来源入口。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ind w:left="360" w:hanging="1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展示匹配原因，并可继续查看其他相似案例。</w:t>
            </w:r>
          </w:p>
        </w:tc>
        <w:tc>
          <w:tcPr>
            <w:tcW w:type="dxa" w:w="1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line="3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475569"/>
                <w:sz w:val="22"/>
                <w:szCs w:val="22"/>
              </w:rPr>
              <w:t xml:space="preserve"/>
            </w:r>
          </w:p>
        </w:tc>
        <w:tc>
          <w:tcPr>
            <w:tcW w:type="dxa" w:w="4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D" w:val="clear"/>
            <w:tcMar>
              <w:top w:type="dxa" w:w="160"/>
              <w:left w:type="dxa" w:w="190"/>
              <w:bottom w:type="dxa" w:w="130"/>
              <w:right w:type="dxa" w:w="190"/>
            </w:tcMar>
          </w:tcPr>
          <w:p>
            <w:pPr>
              <w:spacing w:after="9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94C80"/>
                <w:sz w:val="21"/>
                <w:szCs w:val="21"/>
              </w:rPr>
              <w:t xml:space="preserve">设计目的与价值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ind w:left="360" w:hanging="1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连续白色阅读区保持文书核验的专注感，减少卡片和重复标题造成的割裂。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ind w:left="360" w:hanging="1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分级分隔线只在业务阶段、阅读列和局部分组之间发挥作用，兼顾结构与美观。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ind w:left="360" w:hanging="1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所有判断都能回到原文和来源，避免“黑盒推荐”，增强结果可信度。</w:t>
            </w:r>
          </w:p>
        </w:tc>
      </w:tr>
    </w:tbl>
    <w:p>
      <w:pPr>
        <w:spacing w:after="1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9A6A17" w:sz="16"/>
              <w:bottom w:val="none" w:color="FFFFFF" w:sz="0"/>
              <w:right w:val="none" w:color="FFFFFF" w:sz="0"/>
            </w:tcBorders>
            <w:shd w:fill="FFF7E7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9A6A17"/>
                <w:sz w:val="22"/>
                <w:szCs w:val="22"/>
              </w:rPr>
              <w:t xml:space="preserve">汇报讲解重点</w:t>
            </w:r>
          </w:p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“系统不是替用户直接下结论，而是把相关案例、命中依据和原始文书放在一起，帮助业务人员更快完成核验和引用。”</w:t>
            </w:r>
          </w:p>
        </w:tc>
      </w:tr>
    </w:tbl>
    <w:p>
      <w:r>
        <w:br w:type="page"/>
      </w:r>
    </w:p>
    <w:p>
      <w:pPr>
        <w:pStyle w:val="Heading1"/>
        <w:keepNext/>
        <w:spacing w:after="70" w:before="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32"/>
          <w:szCs w:val="32"/>
        </w:rPr>
        <w:t xml:space="preserve">五、演示价值与汇报建议</w:t>
      </w:r>
    </w:p>
    <w:p>
      <w:pPr>
        <w:spacing w:after="180" w:line="2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7B8798"/>
          <w:sz w:val="19"/>
          <w:szCs w:val="19"/>
        </w:rPr>
        <w:t xml:space="preserve">用一条完整业务链路说明案例库如何从“存文书”升级为“用经验”。</w:t>
      </w:r>
    </w:p>
    <w:p>
      <w:pPr>
        <w:pStyle w:val="Heading2"/>
        <w:keepNext/>
        <w:spacing w:after="15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7"/>
          <w:szCs w:val="27"/>
        </w:rPr>
        <w:t xml:space="preserve">预期业务价值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40"/>
        <w:gridCol w:w="3140"/>
        <w:gridCol w:w="3140"/>
      </w:tblGrid>
      <w:tr>
        <w:tc>
          <w:tcPr>
            <w:tcW w:type="dxa" w:w="3140"/>
            <w:tcBorders>
              <w:top w:val="single" w:color="DDE6F0" w:sz="4"/>
              <w:left w:val="single" w:color="DDE6F0" w:sz="4"/>
              <w:bottom w:val="single" w:color="DDE6F0" w:sz="4"/>
              <w:right w:val="single" w:color="DDE6F0" w:sz="4"/>
            </w:tcBorders>
            <w:shd w:fill="EEF4FA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9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94C80"/>
                <w:sz w:val="21"/>
                <w:szCs w:val="21"/>
              </w:rPr>
              <w:t xml:space="preserve">提升查找效率</w:t>
            </w:r>
          </w:p>
          <w:p>
            <w:pPr>
              <w:spacing w:after="0" w:line="27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从跨系统、逐文件翻找，转为通过一个入口快速定位目标与相似案例。</w:t>
            </w:r>
          </w:p>
        </w:tc>
        <w:tc>
          <w:tcPr>
            <w:tcW w:type="dxa" w:w="3140"/>
            <w:tcBorders>
              <w:top w:val="single" w:color="DDE6F0" w:sz="4"/>
              <w:left w:val="single" w:color="DDE6F0" w:sz="4"/>
              <w:bottom w:val="single" w:color="DDE6F0" w:sz="4"/>
              <w:right w:val="single" w:color="DDE6F0" w:sz="4"/>
            </w:tcBorders>
            <w:shd w:fill="EEF6F2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9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F7A66"/>
                <w:sz w:val="21"/>
                <w:szCs w:val="21"/>
              </w:rPr>
              <w:t xml:space="preserve">辅助业务判断</w:t>
            </w:r>
          </w:p>
          <w:p>
            <w:pPr>
              <w:spacing w:after="0" w:line="27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通过命中片段和匹配原因，帮助人员快速判断案例是否具有参考价值。</w:t>
            </w:r>
          </w:p>
        </w:tc>
        <w:tc>
          <w:tcPr>
            <w:tcW w:type="dxa" w:w="3140"/>
            <w:tcBorders>
              <w:top w:val="single" w:color="DDE6F0" w:sz="4"/>
              <w:left w:val="single" w:color="DDE6F0" w:sz="4"/>
              <w:bottom w:val="single" w:color="DDE6F0" w:sz="4"/>
              <w:right w:val="single" w:color="DDE6F0" w:sz="4"/>
            </w:tcBorders>
            <w:shd w:fill="FFF7E7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9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9A6A17"/>
                <w:sz w:val="21"/>
                <w:szCs w:val="21"/>
              </w:rPr>
              <w:t xml:space="preserve">强化可信追溯</w:t>
            </w:r>
          </w:p>
          <w:p>
            <w:pPr>
              <w:spacing w:after="0" w:line="275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结果关联正文、附件与 OA 来源，使历史经验可核验、可引用、可复查。</w:t>
            </w:r>
          </w:p>
        </w:tc>
      </w:tr>
    </w:tbl>
    <w:p>
      <w:pPr>
        <w:pStyle w:val="Heading2"/>
        <w:keepNext/>
        <w:spacing w:after="15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7"/>
          <w:szCs w:val="27"/>
        </w:rPr>
        <w:t xml:space="preserve">建议现场演示顺序</w:t>
      </w:r>
    </w:p>
    <w:p>
      <w:pPr>
        <w:spacing w:after="1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D6EA8"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从一个实际监督事项出发，在首页用自然语言输入问题。</w:t>
      </w:r>
    </w:p>
    <w:p>
      <w:pPr>
        <w:spacing w:after="1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D6EA8"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在结果页说明系统同时兼顾精确命中和语义相似，并现场比较前两条结果。</w:t>
      </w:r>
    </w:p>
    <w:p>
      <w:pPr>
        <w:spacing w:after="1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D6EA8"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进入详情页，展示命中位置、正文高亮、匹配原因和 OA 来源追溯。</w:t>
      </w:r>
    </w:p>
    <w:p>
      <w:pPr>
        <w:spacing w:after="18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D6EA8"/>
          <w:sz w:val="22"/>
          <w:szCs w:val="22"/>
        </w:rPr>
        <w:t xml:space="preserve">4.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用“继续查看相似案例”收尾，说明历史案例能够持续形成业务参考网络。</w:t>
      </w:r>
    </w:p>
    <w:p>
      <w:pPr>
        <w:pStyle w:val="Heading2"/>
        <w:keepNext/>
        <w:spacing w:after="15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7"/>
          <w:szCs w:val="27"/>
        </w:rPr>
        <w:t xml:space="preserve">本期演示边界</w:t>
      </w:r>
    </w:p>
    <w:p>
      <w:pPr>
        <w:pStyle w:val="ListParagraph"/>
        <w:numPr>
          <w:ilvl w:val="0"/>
          <w:numId w:val="2"/>
        </w:numPr>
        <w:spacing w:after="80" w:line="300"/>
        <w:ind w:left="360" w:hanging="1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475569"/>
          <w:sz w:val="21"/>
          <w:szCs w:val="21"/>
        </w:rPr>
        <w:t xml:space="preserve">首期聚焦 OA 历史文书接入、混合检索、条件筛选、相似案例展示和来源追溯。</w:t>
      </w:r>
    </w:p>
    <w:p>
      <w:pPr>
        <w:pStyle w:val="ListParagraph"/>
        <w:numPr>
          <w:ilvl w:val="0"/>
          <w:numId w:val="2"/>
        </w:numPr>
        <w:spacing w:after="80" w:line="300"/>
        <w:ind w:left="360" w:hanging="1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475569"/>
          <w:sz w:val="21"/>
          <w:szCs w:val="21"/>
        </w:rPr>
        <w:t xml:space="preserve">不把独立案卷归档、复杂标签治理、典型案例分析和生成式 AI 总结作为本次三页面演示重点。</w:t>
      </w:r>
    </w:p>
    <w:p>
      <w:pPr>
        <w:pStyle w:val="ListParagraph"/>
        <w:numPr>
          <w:ilvl w:val="0"/>
          <w:numId w:val="2"/>
        </w:numPr>
        <w:spacing w:after="80" w:line="300"/>
        <w:ind w:left="360" w:hanging="1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475569"/>
          <w:sz w:val="21"/>
          <w:szCs w:val="21"/>
        </w:rPr>
        <w:t xml:space="preserve">页面数据与交互用于方案展示，最终筛选字段、文书类型、来源方式和验收查询样例需结合实际 OA 能力确认。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94C80" w:sz="16"/>
              <w:bottom w:val="none" w:color="FFFFFF" w:sz="0"/>
              <w:right w:val="none" w:color="FFFFFF" w:sz="0"/>
            </w:tcBorders>
            <w:shd w:fill="EEF4F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94C80"/>
                <w:sz w:val="22"/>
                <w:szCs w:val="22"/>
              </w:rPr>
              <w:t xml:space="preserve">一句话总结</w:t>
            </w:r>
          </w:p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通过“检索—判断—核验—追溯”的完整链路，把湖南历年监督文书转化为业务人员能够快速调用、可信参考的历史经验库。</w:t>
            </w:r>
          </w:p>
        </w:tc>
      </w:tr>
    </w:tbl>
    <w:sectPr>
      <w:footerReference w:type="default" r:id="rId7"/>
      <w:pgSz w:w="11906" w:h="16838" w:orient="portrait"/>
      <w:pgMar w:top="850" w:right="1134" w:bottom="820" w:left="1134" w:header="420" w:footer="4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7B8798"/>
        <w:sz w:val="16"/>
        <w:szCs w:val="16"/>
      </w:rPr>
      <w:t xml:space="preserve">湖南财会监督案例库智能检索演示方案  ·  </w:t>
    </w:r>
    <w:r>
      <w:rPr>
        <w:rFonts w:ascii="Microsoft YaHei" w:cs="Microsoft YaHei" w:eastAsia="Microsoft YaHei" w:hAnsi="Microsoft YaHei"/>
        <w:color w:val="7B879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75569"/>
        <w:sz w:val="21"/>
        <w:szCs w:val="21"/>
      </w:rPr>
    </w:rPrDefault>
    <w:pPrDefault>
      <w:pPr>
        <w:spacing w:after="10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50" w:before="60"/>
      <w:outlineLvl w:val="0"/>
    </w:pPr>
    <w:rPr>
      <w:rFonts w:ascii="Microsoft YaHei" w:cs="Microsoft YaHei" w:eastAsia="Microsoft YaHei" w:hAnsi="Microsoft YaHei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40"/>
      <w:outlineLvl w:val="1"/>
    </w:pPr>
    <w:rPr>
      <w:rFonts w:ascii="Microsoft YaHei" w:cs="Microsoft YaHei" w:eastAsia="Microsoft YaHei" w:hAnsi="Microsoft YaHei"/>
      <w:b/>
      <w:bCs/>
      <w:color w:val="1F2937"/>
      <w:sz w:val="27"/>
      <w:szCs w:val="27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湖南财会监督案例库智能检索演示方案</dc:title>
  <dc:subject>面向用户的案例智能检索三页面演示方案</dc:subject>
  <dc:creator>财会监督V2.0项目组</dc:creator>
  <dc:description>用于方案沟通与演示汇报，不作为最终建设范围和技术设计文件。</dc:description>
  <cp:lastModifiedBy>Un-named</cp:lastModifiedBy>
  <cp:revision>1</cp:revision>
  <dcterms:created xsi:type="dcterms:W3CDTF">2026-08-13T03:06:52.811Z</dcterms:created>
  <dcterms:modified xsi:type="dcterms:W3CDTF">2026-08-13T03:06:52.814Z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