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100"/>
        <w:jc w:val="center"/>
      </w:pPr>
      <w:r>
        <w:rPr>
          <w:rFonts w:ascii="Microsoft YaHei" w:cs="Microsoft YaHei" w:eastAsia="Microsoft YaHei" w:hAnsi="Microsoft YaHei"/>
          <w:b/>
          <w:bCs/>
          <w:color w:val="17365D"/>
          <w:sz w:val="46"/>
          <w:szCs w:val="46"/>
        </w:rPr>
        <w:t xml:space="preserve">通用知识入库与元数据标签治理</w:t>
      </w:r>
    </w:p>
    <w:p>
      <w:pPr>
        <w:spacing w:after="460"/>
        <w:jc w:val="center"/>
      </w:pPr>
      <w:r>
        <w:rPr>
          <w:rFonts w:ascii="Microsoft YaHei" w:cs="Microsoft YaHei" w:eastAsia="Microsoft YaHei" w:hAnsi="Microsoft YaHei"/>
          <w:b/>
          <w:bCs/>
          <w:color w:val="2F5597"/>
          <w:sz w:val="34"/>
          <w:szCs w:val="34"/>
        </w:rPr>
        <w:t xml:space="preserve">方案说明（框架稿）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5758B"/>
          <w:sz w:val="22"/>
          <w:szCs w:val="22"/>
        </w:rPr>
        <w:t xml:space="preserve">面向多地区、多来源、多类型知识数据的统一入库与治理</w:t>
      </w:r>
    </w:p>
    <w:p>
      <w:pPr>
        <w:spacing w:after="100" w:before="17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5758B"/>
          <w:sz w:val="20"/>
          <w:szCs w:val="20"/>
        </w:rPr>
        <w:t xml:space="preserve">财会监督V2.0</w:t>
      </w:r>
    </w:p>
    <w:p>
      <w:pPr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5758B"/>
          <w:sz w:val="19"/>
          <w:szCs w:val="19"/>
        </w:rPr>
        <w:t xml:space="preserve">2026年8月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F5597" w:sz="8" w:space="5"/>
        </w:pBdr>
        <w:spacing w:after="130" w:before="240"/>
      </w:pPr>
      <w:r>
        <w:rPr>
          <w:rFonts w:ascii="Microsoft YaHei" w:cs="Microsoft YaHei" w:eastAsia="Microsoft YaHei" w:hAnsi="Microsoft YaHei"/>
          <w:b/>
          <w:bCs/>
          <w:color w:val="17365D"/>
          <w:sz w:val="30"/>
          <w:szCs w:val="30"/>
        </w:rPr>
        <w:t xml:space="preserve">一、方案概述</w:t>
      </w:r>
    </w:p>
    <w:p>
      <w:pPr>
        <w:spacing w:after="12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本方案拟建设一套通用的知识入库、元数据标准化与标签治理能力，用于处理不同地区、不同来源和不同格式的业务资料。系统通过统一流程完成文件解析、内容切分、要素抽取、标准分类、质量校验和知识库写入，并通过持续治理机制处理新增标签、规则变化和历史数据更新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2F5597" w:sz="18"/>
              <w:bottom w:val="none" w:color="FFFFFF" w:sz="0"/>
              <w:right w:val="none" w:color="FFFFFF" w:sz="0"/>
            </w:tcBorders>
            <w:shd w:fill="EEF3F8" w:color="auto" w:val="clear"/>
            <w:tcMar>
              <w:top w:type="dxa" w:w="180"/>
              <w:left w:type="dxa" w:w="24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65D"/>
                <w:sz w:val="22"/>
                <w:szCs w:val="22"/>
              </w:rPr>
              <w:t xml:space="preserve">核心定位</w:t>
            </w:r>
          </w:p>
          <w:p>
            <w:pPr>
              <w:spacing w:after="0" w:line="3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20"/>
                <w:szCs w:val="20"/>
              </w:rPr>
              <w:t xml:space="preserve">建设“统一引擎 + 项目配置”的能力框架。湖南、甘肃或其他项目共用同一套处理流程，仅配置各自的元数据规范、标签体系、认定标准、抽取提示词和切块策略。</w:t>
            </w:r>
          </w:p>
        </w:tc>
      </w:tr>
    </w:tbl>
    <w:p>
      <w:pPr>
        <w:pStyle w:val="Heading1"/>
        <w:pBdr>
          <w:bottom w:val="single" w:color="2F5597" w:sz="8" w:space="5"/>
        </w:pBdr>
        <w:spacing w:after="130" w:before="240"/>
      </w:pPr>
      <w:r>
        <w:rPr>
          <w:rFonts w:ascii="Microsoft YaHei" w:cs="Microsoft YaHei" w:eastAsia="Microsoft YaHei" w:hAnsi="Microsoft YaHei"/>
          <w:b/>
          <w:bCs/>
          <w:color w:val="17365D"/>
          <w:sz w:val="30"/>
          <w:szCs w:val="30"/>
        </w:rPr>
        <w:t xml:space="preserve">二、建设背景</w:t>
      </w:r>
    </w:p>
    <w:p>
      <w:pPr>
        <w:spacing w:after="12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当前案例、问题、制度和认定标准等资料来源分散，既有Word、PDF，也有结构复杂的Excel表格。不同项目的数据口径、字段名称、分类体系和文件质量不一致，直接入库容易形成“文件有了但难以检索、标签很多但无法统计、规则变化后历史数据无法同步”的问题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不同地区和业务项目的数据来源、文件结构及分类口径不一致。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LLM可以提取信息，但自由生成容易产生同义标签、近义标签和分类漂移。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新增元数据或分类标准后，已入库的历史数据缺少统一的补充和回填机制。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认定标准、政策依据和分类结果之间缺少可追溯关系，用户难以判断AI结果是否可靠。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如果所有数据都逐条人工整理，会显著增加用户工作量，违背提升效率的建设目标。</w:t>
      </w:r>
    </w:p>
    <w:p>
      <w:pPr>
        <w:pStyle w:val="Heading1"/>
        <w:pBdr>
          <w:bottom w:val="single" w:color="2F5597" w:sz="8" w:space="5"/>
        </w:pBdr>
        <w:spacing w:after="130" w:before="240"/>
      </w:pPr>
      <w:r>
        <w:rPr>
          <w:rFonts w:ascii="Microsoft YaHei" w:cs="Microsoft YaHei" w:eastAsia="Microsoft YaHei" w:hAnsi="Microsoft YaHei"/>
          <w:b/>
          <w:bCs/>
          <w:color w:val="17365D"/>
          <w:sz w:val="30"/>
          <w:szCs w:val="30"/>
        </w:rPr>
        <w:t xml:space="preserve">三、为什么要建设</w:t>
      </w:r>
    </w:p>
    <w:p>
      <w:pPr>
        <w:spacing w:after="12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该能力的重点不是简单增加元数据字段或调用LLM，而是建立一套可以持续使用和迭代的数据标准化机制，使不同来源的数据进入知识库后具备统一、稳定、可解释和可维护的属性。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提高入库效率：自动完成大部分解析、抽取、分类和格式统一工作。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提高检索质量：通过规范元数据、标签和合理切块，减少无关命中和信息遗漏。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统一分类口径：正式标签由标准词表管理，避免模型和人员自由命名。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支持持续演进：新增字段、新增标签、标签改名和标准升级后，可更新存量数据。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保留判断依据：分类结果能够关联原文片段、认定标准和政策来源。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降低用户负担：只把候选、冲突和低置信度结果交给用户审核。</w:t>
      </w:r>
    </w:p>
    <w:p>
      <w:pPr>
        <w:pStyle w:val="Heading1"/>
        <w:pBdr>
          <w:bottom w:val="single" w:color="2F5597" w:sz="8" w:space="5"/>
        </w:pBdr>
        <w:spacing w:after="130" w:before="240"/>
      </w:pPr>
      <w:r>
        <w:rPr>
          <w:rFonts w:ascii="Microsoft YaHei" w:cs="Microsoft YaHei" w:eastAsia="Microsoft YaHei" w:hAnsi="Microsoft YaHei"/>
          <w:b/>
          <w:bCs/>
          <w:color w:val="17365D"/>
          <w:sz w:val="30"/>
          <w:szCs w:val="30"/>
        </w:rPr>
        <w:t xml:space="preserve">四、总体目标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形成面向多项目复用的通用入库处理引擎。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形成元数据规范、标签分类和认定标准三套可管理的业务规则。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形成新数据标准化入库、候选审核、规则发布和存量回填的闭环。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为后续案例检索、问题分析、统计画像和智能研究提供高质量数据基础。</w:t>
      </w:r>
    </w:p>
    <w:p>
      <w:pPr>
        <w:pStyle w:val="Heading1"/>
        <w:pBdr>
          <w:bottom w:val="single" w:color="2F5597" w:sz="8" w:space="5"/>
        </w:pBdr>
        <w:spacing w:after="130" w:before="240"/>
      </w:pPr>
      <w:r>
        <w:rPr>
          <w:rFonts w:ascii="Microsoft YaHei" w:cs="Microsoft YaHei" w:eastAsia="Microsoft YaHei" w:hAnsi="Microsoft YaHei"/>
          <w:b/>
          <w:bCs/>
          <w:color w:val="17365D"/>
          <w:sz w:val="30"/>
          <w:szCs w:val="30"/>
        </w:rPr>
        <w:t xml:space="preserve">五、总体思路</w:t>
      </w:r>
    </w:p>
    <w:p>
      <w:pPr>
        <w:pStyle w:val="Heading2"/>
        <w:spacing w:after="90" w:before="170"/>
      </w:pPr>
      <w:r>
        <w:rPr>
          <w:rFonts w:ascii="Microsoft YaHei" w:cs="Microsoft YaHei" w:eastAsia="Microsoft YaHei" w:hAnsi="Microsoft YaHei"/>
          <w:b/>
          <w:bCs/>
          <w:color w:val="2F5597"/>
          <w:sz w:val="25"/>
          <w:szCs w:val="25"/>
        </w:rPr>
        <w:t xml:space="preserve">（一）通用知识标准化入库主流程</w:t>
      </w:r>
    </w:p>
    <w:p>
      <w:pPr>
        <w:keepNext/>
        <w:spacing w:after="80" w:before="8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5758B"/>
          <w:sz w:val="18"/>
          <w:szCs w:val="18"/>
        </w:rPr>
        <w:t xml:space="preserve">图1  通用知识标准化入库主流程</w:t>
      </w:r>
    </w:p>
    <w:p>
      <w:pPr>
        <w:spacing w:after="120" w:before="16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系统采用分层处理思路：确定性规则优先，LLM负责理解非结构化内容；正式规则与候选结果分离；正常数据自动通过，只有新标签、低置信度和规则冲突进入人工审核。</w:t>
      </w:r>
    </w:p>
    <w:p>
      <w:pPr>
        <w:pStyle w:val="Heading1"/>
        <w:pBdr>
          <w:bottom w:val="single" w:color="2F5597" w:sz="8" w:space="5"/>
        </w:pBdr>
        <w:spacing w:after="130" w:before="240"/>
      </w:pPr>
      <w:r>
        <w:rPr>
          <w:rFonts w:ascii="Microsoft YaHei" w:cs="Microsoft YaHei" w:eastAsia="Microsoft YaHei" w:hAnsi="Microsoft YaHei"/>
          <w:b/>
          <w:bCs/>
          <w:color w:val="17365D"/>
          <w:sz w:val="30"/>
          <w:szCs w:val="30"/>
        </w:rPr>
        <w:t xml:space="preserve">六、建设内容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500"/>
        <w:gridCol w:w="4650"/>
      </w:tblGrid>
      <w:tr>
        <w:trPr>
          <w:tblHeader/>
        </w:trPr>
        <w:tc>
          <w:tcPr>
            <w:tcW w:type="dxa" w:w="185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shd w:fill="2F5597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组成</w:t>
            </w:r>
          </w:p>
        </w:tc>
        <w:tc>
          <w:tcPr>
            <w:tcW w:type="dxa" w:w="25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shd w:fill="2F5597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解决的问题</w:t>
            </w:r>
          </w:p>
        </w:tc>
        <w:tc>
          <w:tcPr>
            <w:tcW w:type="dxa" w:w="465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shd w:fill="2F5597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主要内容</w:t>
            </w:r>
          </w:p>
        </w:tc>
      </w:tr>
      <w:tr>
        <w:tc>
          <w:tcPr>
            <w:tcW w:type="dxa" w:w="185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shd w:fill="EEF3F8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243447"/>
                <w:sz w:val="18"/>
                <w:szCs w:val="18"/>
              </w:rPr>
              <w:t xml:space="preserve">元数据规范</w:t>
            </w:r>
          </w:p>
        </w:tc>
        <w:tc>
          <w:tcPr>
            <w:tcW w:type="dxa" w:w="25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18"/>
                <w:szCs w:val="18"/>
              </w:rPr>
              <w:t xml:space="preserve">定义要提取哪些属性</w:t>
            </w:r>
          </w:p>
        </w:tc>
        <w:tc>
          <w:tcPr>
            <w:tcW w:type="dxa" w:w="465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18"/>
                <w:szCs w:val="18"/>
              </w:rPr>
              <w:t xml:space="preserve">字段名称、类型、是否必填、固定或开放、适用项目、版本及用途。</w:t>
            </w:r>
          </w:p>
        </w:tc>
      </w:tr>
      <w:tr>
        <w:tc>
          <w:tcPr>
            <w:tcW w:type="dxa" w:w="185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shd w:fill="EEF3F8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243447"/>
                <w:sz w:val="18"/>
                <w:szCs w:val="18"/>
              </w:rPr>
              <w:t xml:space="preserve">标签分类库</w:t>
            </w:r>
          </w:p>
        </w:tc>
        <w:tc>
          <w:tcPr>
            <w:tcW w:type="dxa" w:w="25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18"/>
                <w:szCs w:val="18"/>
              </w:rPr>
              <w:t xml:space="preserve">统一分类名称和口径</w:t>
            </w:r>
          </w:p>
        </w:tc>
        <w:tc>
          <w:tcPr>
            <w:tcW w:type="dxa" w:w="465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18"/>
                <w:szCs w:val="18"/>
              </w:rPr>
              <w:t xml:space="preserve">标签层级、正式值、别名、候选值、来源依据、启停状态、合并关系和版本。</w:t>
            </w:r>
          </w:p>
        </w:tc>
      </w:tr>
      <w:tr>
        <w:tc>
          <w:tcPr>
            <w:tcW w:type="dxa" w:w="185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shd w:fill="EEF3F8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243447"/>
                <w:sz w:val="18"/>
                <w:szCs w:val="18"/>
              </w:rPr>
              <w:t xml:space="preserve">认定标准库</w:t>
            </w:r>
          </w:p>
        </w:tc>
        <w:tc>
          <w:tcPr>
            <w:tcW w:type="dxa" w:w="25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18"/>
                <w:szCs w:val="18"/>
              </w:rPr>
              <w:t xml:space="preserve">明确分类判断依据</w:t>
            </w:r>
          </w:p>
        </w:tc>
        <w:tc>
          <w:tcPr>
            <w:tcW w:type="dxa" w:w="465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18"/>
                <w:szCs w:val="18"/>
              </w:rPr>
              <w:t xml:space="preserve">管理制度文件、认定标准、Excel规则表及其版本，并保留原始来源和引用位置。</w:t>
            </w:r>
          </w:p>
        </w:tc>
      </w:tr>
      <w:tr>
        <w:tc>
          <w:tcPr>
            <w:tcW w:type="dxa" w:w="185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shd w:fill="EEF3F8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243447"/>
                <w:sz w:val="18"/>
                <w:szCs w:val="18"/>
              </w:rPr>
              <w:t xml:space="preserve">通用入库流程</w:t>
            </w:r>
          </w:p>
        </w:tc>
        <w:tc>
          <w:tcPr>
            <w:tcW w:type="dxa" w:w="25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18"/>
                <w:szCs w:val="18"/>
              </w:rPr>
              <w:t xml:space="preserve">处理不同来源文件</w:t>
            </w:r>
          </w:p>
        </w:tc>
        <w:tc>
          <w:tcPr>
            <w:tcW w:type="dxa" w:w="465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18"/>
                <w:szCs w:val="18"/>
              </w:rPr>
              <w:t xml:space="preserve">文件解析、切块、要素抽取、标准化匹配、质量校验、知识库写入。</w:t>
            </w:r>
          </w:p>
        </w:tc>
      </w:tr>
      <w:tr>
        <w:tc>
          <w:tcPr>
            <w:tcW w:type="dxa" w:w="185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shd w:fill="EEF3F8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243447"/>
                <w:sz w:val="18"/>
                <w:szCs w:val="18"/>
              </w:rPr>
              <w:t xml:space="preserve">治理与回填</w:t>
            </w:r>
          </w:p>
        </w:tc>
        <w:tc>
          <w:tcPr>
            <w:tcW w:type="dxa" w:w="25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18"/>
                <w:szCs w:val="18"/>
              </w:rPr>
              <w:t xml:space="preserve">处理规则变化和历史数据</w:t>
            </w:r>
          </w:p>
        </w:tc>
        <w:tc>
          <w:tcPr>
            <w:tcW w:type="dxa" w:w="465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18"/>
                <w:szCs w:val="18"/>
              </w:rPr>
              <w:t xml:space="preserve">候选审核、标准发布、版本升级、存量数据补充、值迁移、差异复核和反馈闭环。</w:t>
            </w:r>
          </w:p>
        </w:tc>
      </w:tr>
    </w:tbl>
    <w:p>
      <w:pPr>
        <w:pStyle w:val="Heading1"/>
        <w:pBdr>
          <w:bottom w:val="single" w:color="2F5597" w:sz="8" w:space="5"/>
        </w:pBdr>
        <w:spacing w:after="130" w:before="240"/>
      </w:pPr>
      <w:r>
        <w:rPr>
          <w:rFonts w:ascii="Microsoft YaHei" w:cs="Microsoft YaHei" w:eastAsia="Microsoft YaHei" w:hAnsi="Microsoft YaHei"/>
          <w:b/>
          <w:bCs/>
          <w:color w:val="17365D"/>
          <w:sz w:val="30"/>
          <w:szCs w:val="30"/>
        </w:rPr>
        <w:t xml:space="preserve">七、核心业务流程</w:t>
      </w:r>
    </w:p>
    <w:p>
      <w:pPr>
        <w:pStyle w:val="Heading2"/>
        <w:spacing w:after="90" w:before="170"/>
      </w:pPr>
      <w:r>
        <w:rPr>
          <w:rFonts w:ascii="Microsoft YaHei" w:cs="Microsoft YaHei" w:eastAsia="Microsoft YaHei" w:hAnsi="Microsoft YaHei"/>
          <w:b/>
          <w:bCs/>
          <w:color w:val="2F5597"/>
          <w:sz w:val="25"/>
          <w:szCs w:val="25"/>
        </w:rPr>
        <w:t xml:space="preserve">（一）新文件标准化入库</w:t>
      </w:r>
    </w:p>
    <w:p>
      <w:pPr>
        <w:spacing w:after="12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文件上传后，系统先按类型进行解析和切块，再调用LLM提取原始事实。固定字段通过标准值和别名校验，可扩充字段优先匹配正式标签；无法匹配的新值作为候选，不直接进入正式知识库。校验通过后，原文、切块和正式元数据统一写入知识库。</w:t>
      </w:r>
    </w:p>
    <w:p>
      <w:pPr>
        <w:pStyle w:val="Heading2"/>
        <w:spacing w:after="90" w:before="170"/>
      </w:pPr>
      <w:r>
        <w:rPr>
          <w:rFonts w:ascii="Microsoft YaHei" w:cs="Microsoft YaHei" w:eastAsia="Microsoft YaHei" w:hAnsi="Microsoft YaHei"/>
          <w:b/>
          <w:bCs/>
          <w:color w:val="2F5597"/>
          <w:sz w:val="25"/>
          <w:szCs w:val="25"/>
        </w:rPr>
        <w:t xml:space="preserve">（二）标签与元数据治理</w:t>
      </w:r>
    </w:p>
    <w:p>
      <w:pPr>
        <w:spacing w:after="12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候选标签、低置信度结果和用户负向反馈进入审核工作台。审核人员可以批准、合并、驳回或修正。批准后更新正式分类词表并提升规则版本；系统再识别受影响的历史文档，生成新旧结果差异并完成存量回填。</w:t>
      </w:r>
    </w:p>
    <w:p>
      <w:pPr>
        <w:pStyle w:val="Heading2"/>
        <w:spacing w:after="90" w:before="170"/>
      </w:pPr>
      <w:r>
        <w:rPr>
          <w:rFonts w:ascii="Microsoft YaHei" w:cs="Microsoft YaHei" w:eastAsia="Microsoft YaHei" w:hAnsi="Microsoft YaHei"/>
          <w:b/>
          <w:bCs/>
          <w:color w:val="2F5597"/>
          <w:sz w:val="25"/>
          <w:szCs w:val="25"/>
        </w:rPr>
        <w:t xml:space="preserve">（三）认定标准辅助分类</w:t>
      </w:r>
    </w:p>
    <w:p>
      <w:pPr>
        <w:spacing w:after="12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制度文件和认定标准单独进入标准库。对于Excel标准表，按行转成结构化规则并保留文件、Sheet和行号。新数据分类时先检索相关标准，再由LLM对照事实与标准进行判断，并返回标准名称、规则条目和原文依据。</w:t>
      </w:r>
    </w:p>
    <w:p>
      <w:pPr>
        <w:pStyle w:val="Heading2"/>
        <w:spacing w:after="90" w:before="170"/>
      </w:pPr>
      <w:r>
        <w:rPr>
          <w:rFonts w:ascii="Microsoft YaHei" w:cs="Microsoft YaHei" w:eastAsia="Microsoft YaHei" w:hAnsi="Microsoft YaHei"/>
          <w:b/>
          <w:bCs/>
          <w:color w:val="2F5597"/>
          <w:sz w:val="25"/>
          <w:szCs w:val="25"/>
        </w:rPr>
        <w:t xml:space="preserve">（四）标签治理与存量回填闭环</w:t>
      </w:r>
    </w:p>
    <w:p>
      <w:pPr>
        <w:keepNext/>
        <w:spacing w:after="80" w:before="80"/>
        <w:jc w:val="center"/>
      </w:pPr>
      <w:r>
        <w:drawing>
          <wp:inline distT="0" distB="0" distL="0" distR="0">
            <wp:extent cx="5715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7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65758B"/>
          <w:sz w:val="18"/>
          <w:szCs w:val="18"/>
        </w:rPr>
        <w:t xml:space="preserve">图2  标签治理与存量数据回填闭环</w:t>
      </w:r>
    </w:p>
    <w:p>
      <w:pPr>
        <w:pStyle w:val="Heading1"/>
        <w:pBdr>
          <w:bottom w:val="single" w:color="2F5597" w:sz="8" w:space="5"/>
        </w:pBdr>
        <w:spacing w:after="130" w:before="240"/>
      </w:pPr>
      <w:r>
        <w:rPr>
          <w:rFonts w:ascii="Microsoft YaHei" w:cs="Microsoft YaHei" w:eastAsia="Microsoft YaHei" w:hAnsi="Microsoft YaHei"/>
          <w:b/>
          <w:bCs/>
          <w:color w:val="17365D"/>
          <w:sz w:val="30"/>
          <w:szCs w:val="30"/>
        </w:rPr>
        <w:t xml:space="preserve">八、元数据与标签的关系</w:t>
      </w:r>
    </w:p>
    <w:p>
      <w:pPr>
        <w:spacing w:after="12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元数据用于定义文档有哪些属性，例如行政区划、文书类型、监督领域和问题大类；标签用于管理某些分类型元数据字段允许使用的规范值。并非所有元数据值都是标签，文号、标题、日期和单位名称通常属于开放属性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single" w:color="2F5597" w:sz="18"/>
              <w:bottom w:val="none" w:color="FFFFFF" w:sz="0"/>
              <w:right w:val="none" w:color="FFFFFF" w:sz="0"/>
            </w:tcBorders>
            <w:shd w:fill="EEF3F8" w:color="auto" w:val="clear"/>
            <w:tcMar>
              <w:top w:type="dxa" w:w="180"/>
              <w:left w:type="dxa" w:w="24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7365D"/>
                <w:sz w:val="22"/>
                <w:szCs w:val="22"/>
              </w:rPr>
              <w:t xml:space="preserve">简单理解</w:t>
            </w:r>
          </w:p>
          <w:p>
            <w:pPr>
              <w:spacing w:after="0" w:line="3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20"/>
                <w:szCs w:val="20"/>
              </w:rPr>
              <w:t xml:space="preserve">元数据定义“有哪些分类维度”，标签库管理“某些分类维度可以使用哪些正式值”。</w:t>
            </w:r>
          </w:p>
        </w:tc>
      </w:tr>
    </w:tbl>
    <w:p>
      <w:pPr>
        <w:pStyle w:val="Heading2"/>
        <w:spacing w:after="90" w:before="170"/>
      </w:pPr>
      <w:r>
        <w:rPr>
          <w:rFonts w:ascii="Microsoft YaHei" w:cs="Microsoft YaHei" w:eastAsia="Microsoft YaHei" w:hAnsi="Microsoft YaHei"/>
          <w:b/>
          <w:bCs/>
          <w:color w:val="2F5597"/>
          <w:sz w:val="25"/>
          <w:szCs w:val="25"/>
        </w:rPr>
        <w:t xml:space="preserve">（一）固定值字段</w:t>
      </w:r>
    </w:p>
    <w:p>
      <w:pPr>
        <w:spacing w:after="12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例如行政区划、文书性质和问题大类。优先通过编码、全称和别名进行确定性匹配，速度快且结果稳定；无法确定时再交由LLM辅助判断或人工处理。</w:t>
      </w:r>
    </w:p>
    <w:p>
      <w:pPr>
        <w:pStyle w:val="Heading2"/>
        <w:spacing w:after="90" w:before="170"/>
      </w:pPr>
      <w:r>
        <w:rPr>
          <w:rFonts w:ascii="Microsoft YaHei" w:cs="Microsoft YaHei" w:eastAsia="Microsoft YaHei" w:hAnsi="Microsoft YaHei"/>
          <w:b/>
          <w:bCs/>
          <w:color w:val="2F5597"/>
          <w:sz w:val="25"/>
          <w:szCs w:val="25"/>
        </w:rPr>
        <w:t xml:space="preserve">（二）可扩充标签字段</w:t>
      </w:r>
    </w:p>
    <w:p>
      <w:pPr>
        <w:spacing w:after="12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例如违规类型。先匹配正式标签库，无法匹配时生成候选标签并附原文依据。只有审核通过的候选值才能进入正式标签库，避免标签重复和失控增长。</w:t>
      </w:r>
    </w:p>
    <w:p>
      <w:pPr>
        <w:pStyle w:val="Heading2"/>
        <w:spacing w:after="90" w:before="170"/>
      </w:pPr>
      <w:r>
        <w:rPr>
          <w:rFonts w:ascii="Microsoft YaHei" w:cs="Microsoft YaHei" w:eastAsia="Microsoft YaHei" w:hAnsi="Microsoft YaHei"/>
          <w:b/>
          <w:bCs/>
          <w:color w:val="2F5597"/>
          <w:sz w:val="25"/>
          <w:szCs w:val="25"/>
        </w:rPr>
        <w:t xml:space="preserve">（三）开放字段</w:t>
      </w:r>
    </w:p>
    <w:p>
      <w:pPr>
        <w:spacing w:after="12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例如单位名称、标题、文号、日期、政策依据和检索关键词。按原文提取并执行格式规范、去重和必要的别名统一，不要求预先枚举所有值。</w:t>
      </w:r>
    </w:p>
    <w:p>
      <w:pPr>
        <w:pStyle w:val="Heading1"/>
        <w:pBdr>
          <w:bottom w:val="single" w:color="2F5597" w:sz="8" w:space="5"/>
        </w:pBdr>
        <w:spacing w:after="130" w:before="240"/>
      </w:pPr>
      <w:r>
        <w:rPr>
          <w:rFonts w:ascii="Microsoft YaHei" w:cs="Microsoft YaHei" w:eastAsia="Microsoft YaHei" w:hAnsi="Microsoft YaHei"/>
          <w:b/>
          <w:bCs/>
          <w:color w:val="17365D"/>
          <w:sz w:val="30"/>
          <w:szCs w:val="30"/>
        </w:rPr>
        <w:t xml:space="preserve">九、Workflow、LLM与Agent的职责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00"/>
      </w:tblGrid>
      <w:tr>
        <w:trPr>
          <w:tblHeader/>
        </w:trPr>
        <w:tc>
          <w:tcPr>
            <w:tcW w:type="dxa" w:w="18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shd w:fill="2F5597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能力</w:t>
            </w:r>
          </w:p>
        </w:tc>
        <w:tc>
          <w:tcPr>
            <w:tcW w:type="dxa" w:w="35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shd w:fill="2F5597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主要职责</w:t>
            </w:r>
          </w:p>
        </w:tc>
        <w:tc>
          <w:tcPr>
            <w:tcW w:type="dxa" w:w="37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shd w:fill="2F5597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使用原则</w:t>
            </w:r>
          </w:p>
        </w:tc>
      </w:tr>
      <w:tr>
        <w:tc>
          <w:tcPr>
            <w:tcW w:type="dxa" w:w="18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shd w:fill="EEF3F8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243447"/>
                <w:sz w:val="18"/>
                <w:szCs w:val="18"/>
              </w:rPr>
              <w:t xml:space="preserve">Workflow</w:t>
            </w:r>
          </w:p>
        </w:tc>
        <w:tc>
          <w:tcPr>
            <w:tcW w:type="dxa" w:w="35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18"/>
                <w:szCs w:val="18"/>
              </w:rPr>
              <w:t xml:space="preserve">编排固定步骤、调用接口、分流、版本判断和数据写入。</w:t>
            </w:r>
          </w:p>
        </w:tc>
        <w:tc>
          <w:tcPr>
            <w:tcW w:type="dxa" w:w="37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18"/>
                <w:szCs w:val="18"/>
              </w:rPr>
              <w:t xml:space="preserve">用于稳定、可追踪、可重复执行的业务流程。</w:t>
            </w:r>
          </w:p>
        </w:tc>
      </w:tr>
      <w:tr>
        <w:tc>
          <w:tcPr>
            <w:tcW w:type="dxa" w:w="18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shd w:fill="EEF3F8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243447"/>
                <w:sz w:val="18"/>
                <w:szCs w:val="18"/>
              </w:rPr>
              <w:t xml:space="preserve">LLM</w:t>
            </w:r>
          </w:p>
        </w:tc>
        <w:tc>
          <w:tcPr>
            <w:tcW w:type="dxa" w:w="35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18"/>
                <w:szCs w:val="18"/>
              </w:rPr>
              <w:t xml:space="preserve">理解非结构化内容、抽取事实、辅助分类和生成分析。</w:t>
            </w:r>
          </w:p>
        </w:tc>
        <w:tc>
          <w:tcPr>
            <w:tcW w:type="dxa" w:w="37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18"/>
                <w:szCs w:val="18"/>
              </w:rPr>
              <w:t xml:space="preserve">只负责提出结果，不直接修改正式规则和标签库。</w:t>
            </w:r>
          </w:p>
        </w:tc>
      </w:tr>
      <w:tr>
        <w:tc>
          <w:tcPr>
            <w:tcW w:type="dxa" w:w="18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shd w:fill="EEF3F8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243447"/>
                <w:sz w:val="18"/>
                <w:szCs w:val="18"/>
              </w:rPr>
              <w:t xml:space="preserve">规则校验</w:t>
            </w:r>
          </w:p>
        </w:tc>
        <w:tc>
          <w:tcPr>
            <w:tcW w:type="dxa" w:w="35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18"/>
                <w:szCs w:val="18"/>
              </w:rPr>
              <w:t xml:space="preserve">执行固定值、别名、格式、阈值及一致性校验。</w:t>
            </w:r>
          </w:p>
        </w:tc>
        <w:tc>
          <w:tcPr>
            <w:tcW w:type="dxa" w:w="37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18"/>
                <w:szCs w:val="18"/>
              </w:rPr>
              <w:t xml:space="preserve">确定性规则优先于LLM，避免结果随模型变化。</w:t>
            </w:r>
          </w:p>
        </w:tc>
      </w:tr>
      <w:tr>
        <w:tc>
          <w:tcPr>
            <w:tcW w:type="dxa" w:w="18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shd w:fill="EEF3F8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243447"/>
                <w:sz w:val="18"/>
                <w:szCs w:val="18"/>
              </w:rPr>
              <w:t xml:space="preserve">Agent</w:t>
            </w:r>
          </w:p>
        </w:tc>
        <w:tc>
          <w:tcPr>
            <w:tcW w:type="dxa" w:w="35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18"/>
                <w:szCs w:val="18"/>
              </w:rPr>
              <w:t xml:space="preserve">在复杂任务中自主选择多个Workflow工具并迭代分析。</w:t>
            </w:r>
          </w:p>
        </w:tc>
        <w:tc>
          <w:tcPr>
            <w:tcW w:type="dxa" w:w="37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18"/>
                <w:szCs w:val="18"/>
              </w:rPr>
              <w:t xml:space="preserve">当前入库治理阶段不必引入，后续复杂研究场景再增加。</w:t>
            </w:r>
          </w:p>
        </w:tc>
      </w:tr>
    </w:tbl>
    <w:p>
      <w:pPr>
        <w:spacing w:after="120" w:before="15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当前阶段以Workflow和LLM为主。只有未来出现跨多个知识库、需要反复检索、动态选择工具并根据中间结果调整策略的复杂研究任务时，才在现有Workflow之上增加Agent编排层。</w:t>
      </w:r>
    </w:p>
    <w:p>
      <w:pPr>
        <w:pStyle w:val="Heading1"/>
        <w:pBdr>
          <w:bottom w:val="single" w:color="2F5597" w:sz="8" w:space="5"/>
        </w:pBdr>
        <w:spacing w:after="130" w:before="240"/>
      </w:pPr>
      <w:r>
        <w:rPr>
          <w:rFonts w:ascii="Microsoft YaHei" w:cs="Microsoft YaHei" w:eastAsia="Microsoft YaHei" w:hAnsi="Microsoft YaHei"/>
          <w:b/>
          <w:bCs/>
          <w:color w:val="17365D"/>
          <w:sz w:val="30"/>
          <w:szCs w:val="30"/>
        </w:rPr>
        <w:t xml:space="preserve">十、切块与检索质量</w:t>
      </w:r>
    </w:p>
    <w:p>
      <w:pPr>
        <w:spacing w:after="12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切块是知识检索质量的基础。案例文书应尽量按“基本信息、问题事实、处理意见、整改要求、政策依据”等业务段落组织；较长段落再二次切分并保留适量上下文。Excel标准表应按规则行处理，并携带层级字段和来源位置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切块过大，会稀释主题并导致命中片段过长。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切块过小，会造成标题、事实、处理意见和依据相互分离。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检索返回的命中块用于展示命中原因、定位原文和支持深度分析。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切块参数应通过真实查询测试校准，不宜一次固定后长期不变。</w:t>
      </w:r>
    </w:p>
    <w:p>
      <w:pPr>
        <w:pStyle w:val="Heading1"/>
        <w:pBdr>
          <w:bottom w:val="single" w:color="2F5597" w:sz="8" w:space="5"/>
        </w:pBdr>
        <w:spacing w:after="130" w:before="240"/>
      </w:pPr>
      <w:r>
        <w:rPr>
          <w:rFonts w:ascii="Microsoft YaHei" w:cs="Microsoft YaHei" w:eastAsia="Microsoft YaHei" w:hAnsi="Microsoft YaHei"/>
          <w:b/>
          <w:bCs/>
          <w:color w:val="17365D"/>
          <w:sz w:val="30"/>
          <w:szCs w:val="30"/>
        </w:rPr>
        <w:t xml:space="preserve">十一、跨项目扩展方式</w:t>
      </w:r>
    </w:p>
    <w:p>
      <w:pPr>
        <w:spacing w:after="12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通用引擎不直接写死湖南或甘肃业务规则，而是通过“项目配置”加载差异。每套配置包括元数据Schema、标签词表、认定标准库、抽取Prompt、切块策略、匹配阈值和审核要求。新增项目时主要增加配置，不重新建设整套流程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50"/>
        <w:gridCol w:w="3550"/>
      </w:tblGrid>
      <w:tr>
        <w:trPr>
          <w:tblHeader/>
        </w:trPr>
        <w:tc>
          <w:tcPr>
            <w:tcW w:type="dxa" w:w="19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shd w:fill="2F5597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355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shd w:fill="2F5597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复用内容</w:t>
            </w:r>
          </w:p>
        </w:tc>
        <w:tc>
          <w:tcPr>
            <w:tcW w:type="dxa" w:w="355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shd w:fill="2F5597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差异配置</w:t>
            </w:r>
          </w:p>
        </w:tc>
      </w:tr>
      <w:tr>
        <w:tc>
          <w:tcPr>
            <w:tcW w:type="dxa" w:w="19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shd w:fill="EEF3F8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243447"/>
                <w:sz w:val="18"/>
                <w:szCs w:val="18"/>
              </w:rPr>
              <w:t xml:space="preserve">湖南案例库</w:t>
            </w:r>
          </w:p>
        </w:tc>
        <w:tc>
          <w:tcPr>
            <w:tcW w:type="dxa" w:w="355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18"/>
                <w:szCs w:val="18"/>
              </w:rPr>
              <w:t xml:space="preserve">解析、匹配、审核、入库与回填</w:t>
            </w:r>
          </w:p>
        </w:tc>
        <w:tc>
          <w:tcPr>
            <w:tcW w:type="dxa" w:w="355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18"/>
                <w:szCs w:val="18"/>
              </w:rPr>
              <w:t xml:space="preserve">湖南元数据、标签、标准与Prompt</w:t>
            </w:r>
          </w:p>
        </w:tc>
      </w:tr>
      <w:tr>
        <w:tc>
          <w:tcPr>
            <w:tcW w:type="dxa" w:w="190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shd w:fill="EEF3F8" w:color="auto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243447"/>
                <w:sz w:val="18"/>
                <w:szCs w:val="18"/>
              </w:rPr>
              <w:t xml:space="preserve">甘肃案例库</w:t>
            </w:r>
          </w:p>
        </w:tc>
        <w:tc>
          <w:tcPr>
            <w:tcW w:type="dxa" w:w="355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18"/>
                <w:szCs w:val="18"/>
              </w:rPr>
              <w:t xml:space="preserve">解析、匹配、审核、入库与回填</w:t>
            </w:r>
          </w:p>
        </w:tc>
        <w:tc>
          <w:tcPr>
            <w:tcW w:type="dxa" w:w="3550"/>
            <w:tcBorders>
              <w:top w:val="single" w:color="C7D2E2" w:sz="4"/>
              <w:left w:val="single" w:color="C7D2E2" w:sz="4"/>
              <w:bottom w:val="single" w:color="C7D2E2" w:sz="4"/>
              <w:right w:val="single" w:color="C7D2E2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43447"/>
                <w:sz w:val="18"/>
                <w:szCs w:val="18"/>
              </w:rPr>
              <w:t xml:space="preserve">甘肃字段、标签、标准与Prompt</w:t>
            </w:r>
          </w:p>
        </w:tc>
      </w:tr>
    </w:tbl>
    <w:p>
      <w:pPr>
        <w:pStyle w:val="Heading1"/>
        <w:pBdr>
          <w:bottom w:val="single" w:color="2F5597" w:sz="8" w:space="5"/>
        </w:pBdr>
        <w:spacing w:after="130" w:before="240"/>
      </w:pPr>
      <w:r>
        <w:rPr>
          <w:rFonts w:ascii="Microsoft YaHei" w:cs="Microsoft YaHei" w:eastAsia="Microsoft YaHei" w:hAnsi="Microsoft YaHei"/>
          <w:b/>
          <w:bCs/>
          <w:color w:val="17365D"/>
          <w:sz w:val="30"/>
          <w:szCs w:val="30"/>
        </w:rPr>
        <w:t xml:space="preserve">十二、用户效率设计原则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正常且高置信度的数据自动处理，不要求逐条确认。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只将新标签、低置信度、冲突值和规则升级差异推送给用户。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提供批量审核、相似候选合并和默认建议，减少重复操作。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用户反馈先进入治理流程，不直接改变全局规则，避免误操作污染数据。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所有分类结果尽量提供原文或标准依据，降低用户复核成本。</w:t>
      </w:r>
    </w:p>
    <w:p>
      <w:pPr>
        <w:pStyle w:val="Heading1"/>
        <w:pBdr>
          <w:bottom w:val="single" w:color="2F5597" w:sz="8" w:space="5"/>
        </w:pBdr>
        <w:spacing w:after="130" w:before="240"/>
      </w:pPr>
      <w:r>
        <w:rPr>
          <w:rFonts w:ascii="Microsoft YaHei" w:cs="Microsoft YaHei" w:eastAsia="Microsoft YaHei" w:hAnsi="Microsoft YaHei"/>
          <w:b/>
          <w:bCs/>
          <w:color w:val="17365D"/>
          <w:sz w:val="30"/>
          <w:szCs w:val="30"/>
        </w:rPr>
        <w:t xml:space="preserve">十三、建议建设路径</w:t>
      </w:r>
    </w:p>
    <w:p>
      <w:pPr>
        <w:spacing w:after="12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第一阶段先以湖南案例库为试点，选择四类代表场景验证总体框架：固定值字段（行政区划）、可扩充标签（违规类型）、新增字段回填（问题大类）和依据标准分类（基础认定标准）。</w:t>
      </w:r>
    </w:p>
    <w:p>
      <w:pPr>
        <w:spacing w:after="12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第二阶段形成元数据规范管理、标签分类管理、认定标准管理和待审核工作台，并建立规则版本与存量回填能力。</w:t>
      </w:r>
    </w:p>
    <w:p>
      <w:pPr>
        <w:spacing w:after="120" w:before="0" w:line="340"/>
        <w:ind w:firstLine="420"/>
        <w:jc w:val="both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第三阶段将相同引擎扩展到甘肃及其他项目，并在复杂跨库研究场景中评估增加Agent编排能力。</w:t>
      </w:r>
    </w:p>
    <w:p>
      <w:pPr>
        <w:pStyle w:val="Heading1"/>
        <w:pBdr>
          <w:bottom w:val="single" w:color="2F5597" w:sz="8" w:space="5"/>
        </w:pBdr>
        <w:spacing w:after="130" w:before="240"/>
      </w:pPr>
      <w:r>
        <w:rPr>
          <w:rFonts w:ascii="Microsoft YaHei" w:cs="Microsoft YaHei" w:eastAsia="Microsoft YaHei" w:hAnsi="Microsoft YaHei"/>
          <w:b/>
          <w:bCs/>
          <w:color w:val="17365D"/>
          <w:sz w:val="30"/>
          <w:szCs w:val="30"/>
        </w:rPr>
        <w:t xml:space="preserve">十四、预期成效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实现不同来源数据的统一接入、标准化和可追溯管理。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提升案例和问题检索的准确性、可解释性及后续分析能力。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减少人工整理、重复打标签和历史数据返工。</w:t>
      </w:r>
    </w:p>
    <w:p>
      <w:pPr>
        <w:pStyle w:val="ListParagraph"/>
        <w:numPr>
          <w:ilvl w:val="0"/>
          <w:numId w:val="2"/>
        </w:numPr>
        <w:spacing w:after="70" w:line="310"/>
      </w:pPr>
      <w:r>
        <w:rPr>
          <w:rFonts w:ascii="Microsoft YaHei" w:cs="Microsoft YaHei" w:eastAsia="Microsoft YaHei" w:hAnsi="Microsoft YaHei"/>
          <w:b w:val="false"/>
          <w:bCs w:val="false"/>
          <w:color w:val="243447"/>
          <w:sz w:val="21"/>
          <w:szCs w:val="21"/>
        </w:rPr>
        <w:t xml:space="preserve">形成可以跨地区、跨知识类型复用的入库治理基础能力。</w:t>
      </w:r>
    </w:p>
    <w:sectPr>
      <w:headerReference w:type="default" r:id="rId7"/>
      <w:footerReference w:type="default" r:id="rId8"/>
      <w:type w:val="nextPage"/>
      <w:pgSz w:w="11906" w:h="16838" w:orient="portrait"/>
      <w:pgMar w:top="1050" w:right="1440" w:bottom="10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color w:val="65758B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575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color w:val="65758B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E2" w:sz="4" w:space="4"/>
      </w:pBdr>
      <w:spacing w:after="80"/>
      <w:jc w:val="right"/>
    </w:pPr>
    <w:r>
      <w:rPr>
        <w:rFonts w:ascii="Microsoft YaHei" w:cs="Microsoft YaHei" w:eastAsia="Microsoft YaHei" w:hAnsi="Microsoft YaHei"/>
        <w:b w:val="false"/>
        <w:bCs w:val="false"/>
        <w:color w:val="65758B"/>
        <w:sz w:val="16"/>
        <w:szCs w:val="16"/>
      </w:rPr>
      <w:t xml:space="preserve">通用知识入库与元数据标签治理方案说明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20" w:hanging="240"/>
      </w:pPr>
      <w:rPr>
        <w:rFonts w:ascii="Microsoft YaHei" w:cs="Microsoft YaHei" w:eastAsia="Microsoft YaHei" w:hAnsi="Microsoft YaHei"/>
        <w:color w:val="2F5597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43447"/>
        <w:sz w:val="21"/>
        <w:szCs w:val="21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60"/>
      <w:jc w:val="center"/>
    </w:pPr>
    <w:rPr>
      <w:rFonts w:ascii="Microsoft YaHei" w:cs="Microsoft YaHei" w:eastAsia="Microsoft YaHei" w:hAnsi="Microsoft YaHei"/>
      <w:b/>
      <w:bCs/>
      <w:color w:val="17365D"/>
      <w:sz w:val="46"/>
      <w:szCs w:val="46"/>
    </w:rPr>
  </w:style>
  <w:style w:type="paragraph" w:styleId="Heading1">
    <w:name w:val="Heading 1"/>
    <w:basedOn w:val="Normal"/>
    <w:next w:val="Normal"/>
    <w:qFormat/>
    <w:pPr>
      <w:spacing w:after="150" w:before="280"/>
      <w:outlineLvl w:val="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90"/>
      <w:outlineLvl w:val="1"/>
    </w:pPr>
    <w:rPr>
      <w:rFonts w:ascii="Microsoft YaHei" w:cs="Microsoft YaHei" w:eastAsia="Microsoft YaHei" w:hAnsi="Microsoft YaHei"/>
      <w:b/>
      <w:bCs/>
      <w:color w:val="2F559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1409100658aef6577b168645d1573abf28d3521.png"/><Relationship Id="rId10" Type="http://schemas.openxmlformats.org/officeDocument/2006/relationships/image" Target="media/de1a214309f24f3bade6ddd8833688236f317ef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通用知识入库与元数据标签治理方案说明（框架稿）</dc:title>
  <dc:creator>Codex</dc:creator>
  <dc:description>面向不同地区和不同知识类型的统一入库、元数据标准化与标签治理总体方案。</dc:description>
  <cp:lastModifiedBy>Un-named</cp:lastModifiedBy>
  <cp:revision>1</cp:revision>
  <dcterms:created xsi:type="dcterms:W3CDTF">2026-08-31T03:06:49.191Z</dcterms:created>
  <dcterms:modified xsi:type="dcterms:W3CDTF">2026-08-31T03:06:49.194Z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