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1FC48" w14:textId="3ED46A2F" w:rsidR="00765171" w:rsidRDefault="00E830DE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75FA6B2E" w14:textId="642C61BB" w:rsid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E830DE">
        <w:rPr>
          <w:rFonts w:ascii="아리따-돋움4.0(OTF)-Medium" w:eastAsia="아리따-돋움4.0(OTF)-Medium" w:hAnsi="아리따-돋움4.0(OTF)-Medium" w:hint="eastAsia"/>
        </w:rPr>
        <w:t>술어논리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830DE">
        <w:rPr>
          <w:rFonts w:ascii="아리따-돋움4.0(OTF)-Medium" w:eastAsia="아리따-돋움4.0(OTF)-Medium" w:hAnsi="아리따-돋움4.0(OTF)-Medium" w:hint="eastAsia"/>
        </w:rPr>
        <w:t>명제를</w:t>
      </w:r>
      <w:r w:rsidRPr="00E830DE">
        <w:rPr>
          <w:rFonts w:ascii="아리따-돋움4.0(OTF)-Medium" w:eastAsia="아리따-돋움4.0(OTF)-Medium" w:hAnsi="아리따-돋움4.0(OTF)-Medium"/>
        </w:rPr>
        <w:t xml:space="preserve"> 술어와 주어로 분리하여 술어(주어)의 형태로 표현하기 때문에 주어와 술어 사이에 더욱 세밀한 표현 가능하며 더 다양한 사실을 찾을 수 있다.</w:t>
      </w:r>
    </w:p>
    <w:p w14:paraId="18DC1DD9" w14:textId="3F458959" w:rsid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E830DE">
        <w:rPr>
          <w:rFonts w:ascii="아리따-돋움4.0(OTF)-Medium" w:eastAsia="아리따-돋움4.0(OTF)-Medium" w:hAnsi="아리따-돋움4.0(OTF)-Medium" w:hint="eastAsia"/>
        </w:rPr>
        <w:t>추론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830DE">
        <w:rPr>
          <w:rFonts w:ascii="아리따-돋움4.0(OTF)-Medium" w:eastAsia="아리따-돋움4.0(OTF)-Medium" w:hAnsi="아리따-돋움4.0(OTF)-Medium" w:hint="eastAsia"/>
        </w:rPr>
        <w:t>참이라고</w:t>
      </w:r>
      <w:r w:rsidRPr="00E830DE">
        <w:rPr>
          <w:rFonts w:ascii="아리따-돋움4.0(OTF)-Medium" w:eastAsia="아리따-돋움4.0(OTF)-Medium" w:hAnsi="아리따-돋움4.0(OTF)-Medium"/>
        </w:rPr>
        <w:t xml:space="preserve"> 알려져 있는 사실로부터 논리적인 과정을 거쳐 참인 사실을 이끌어 내는 과정이며 추론을 이용하여 기존의 논리식으로부터 새로운 논리식을 생성할 수 있다.</w:t>
      </w:r>
    </w:p>
    <w:p w14:paraId="40BDF782" w14:textId="03AB8959" w:rsid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E830DE">
        <w:rPr>
          <w:rFonts w:ascii="아리따-돋움4.0(OTF)-Medium" w:eastAsia="아리따-돋움4.0(OTF)-Medium" w:hAnsi="아리따-돋움4.0(OTF)-Medium" w:hint="eastAsia"/>
        </w:rPr>
        <w:t>추론규칙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830DE">
        <w:rPr>
          <w:rFonts w:ascii="아리따-돋움4.0(OTF)-Medium" w:eastAsia="아리따-돋움4.0(OTF)-Medium" w:hAnsi="아리따-돋움4.0(OTF)-Medium" w:hint="eastAsia"/>
        </w:rPr>
        <w:t>어떤</w:t>
      </w:r>
      <w:r w:rsidRPr="00E830DE">
        <w:rPr>
          <w:rFonts w:ascii="아리따-돋움4.0(OTF)-Medium" w:eastAsia="아리따-돋움4.0(OTF)-Medium" w:hAnsi="아리따-돋움4.0(OTF)-Medium"/>
        </w:rPr>
        <w:t xml:space="preserve"> 명제로부터 다른 명제나 논리식을 끌어내는 규칙이며 다른 주장들로부터 결론을 도출하는데 사용되는데 이는 증명의 과정을 연결하는 역할을 한다.</w:t>
      </w:r>
    </w:p>
    <w:p w14:paraId="66C0C178" w14:textId="0BCB03E5" w:rsid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75802533" w14:textId="70A83EF6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830DE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02007F1" w14:textId="2B14BA7A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830DE">
        <w:rPr>
          <w:rFonts w:ascii="아리따-돋움4.0(OTF)-Medium" w:eastAsia="아리따-돋움4.0(OTF)-Medium" w:hAnsi="아리따-돋움4.0(OTF)-Medium" w:hint="eastAsia"/>
        </w:rPr>
        <w:t>술어논리</w:t>
      </w:r>
    </w:p>
    <w:p w14:paraId="77DD9079" w14:textId="55429DC1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830DE">
        <w:rPr>
          <w:rFonts w:ascii="아리따-돋움4.0(OTF)-Medium" w:eastAsia="아리따-돋움4.0(OTF)-Medium" w:hAnsi="아리따-돋움4.0(OTF)-Medium" w:hint="eastAsia"/>
        </w:rPr>
        <w:t>추론</w:t>
      </w:r>
    </w:p>
    <w:p w14:paraId="09FC6FB1" w14:textId="77AAE13B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830DE">
        <w:rPr>
          <w:rFonts w:ascii="아리따-돋움4.0(OTF)-Medium" w:eastAsia="아리따-돋움4.0(OTF)-Medium" w:hAnsi="아리따-돋움4.0(OTF)-Medium" w:hint="eastAsia"/>
        </w:rPr>
        <w:t>추론규칙</w:t>
      </w:r>
    </w:p>
    <w:p w14:paraId="345584FC" w14:textId="4F87E2CD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830DE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FDB8D6A" w14:textId="718F98C1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830DE">
        <w:rPr>
          <w:rFonts w:ascii="아리따-돋움4.0(OTF)-Medium" w:eastAsia="아리따-돋움4.0(OTF)-Medium" w:hAnsi="아리따-돋움4.0(OTF)-Medium" w:hint="eastAsia"/>
        </w:rPr>
        <w:t>전체한정자와</w:t>
      </w:r>
      <w:r w:rsidRPr="00E830DE">
        <w:rPr>
          <w:rFonts w:ascii="아리따-돋움4.0(OTF)-Medium" w:eastAsia="아리따-돋움4.0(OTF)-Medium" w:hAnsi="아리따-돋움4.0(OTF)-Medium"/>
        </w:rPr>
        <w:t xml:space="preserve"> 존재한정자를 사용하여 술어논리를 표현할 수 있다.</w:t>
      </w:r>
    </w:p>
    <w:p w14:paraId="34CCFB7E" w14:textId="2CE41BED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830DE">
        <w:rPr>
          <w:rFonts w:ascii="아리따-돋움4.0(OTF)-Medium" w:eastAsia="아리따-돋움4.0(OTF)-Medium" w:hAnsi="아리따-돋움4.0(OTF)-Medium" w:hint="eastAsia"/>
        </w:rPr>
        <w:t>추론을</w:t>
      </w:r>
      <w:r w:rsidRPr="00E830DE">
        <w:rPr>
          <w:rFonts w:ascii="아리따-돋움4.0(OTF)-Medium" w:eastAsia="아리따-돋움4.0(OTF)-Medium" w:hAnsi="아리따-돋움4.0(OTF)-Medium"/>
        </w:rPr>
        <w:t xml:space="preserve"> 적용하여 논리적으로 참인 명제를 유도해 낼 수 있다.</w:t>
      </w:r>
    </w:p>
    <w:p w14:paraId="06611FDE" w14:textId="72686996" w:rsid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E830DE">
        <w:rPr>
          <w:rFonts w:ascii="아리따-돋움4.0(OTF)-Medium" w:eastAsia="아리따-돋움4.0(OTF)-Medium" w:hAnsi="아리따-돋움4.0(OTF)-Medium" w:hint="eastAsia"/>
        </w:rPr>
        <w:t>다양한</w:t>
      </w:r>
      <w:r w:rsidRPr="00E830DE">
        <w:rPr>
          <w:rFonts w:ascii="아리따-돋움4.0(OTF)-Medium" w:eastAsia="아리따-돋움4.0(OTF)-Medium" w:hAnsi="아리따-돋움4.0(OTF)-Medium"/>
        </w:rPr>
        <w:t xml:space="preserve"> 추론규칙을 이용하여 논리적으로 동치인 다른 명제로 적용할 수 있다.</w:t>
      </w:r>
    </w:p>
    <w:p w14:paraId="2AA78C5D" w14:textId="00867875" w:rsidR="00E830DE" w:rsidRDefault="005E14E8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41C7D1BB" wp14:editId="60DE67D1">
            <wp:extent cx="3314987" cy="4038950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81B7" w14:textId="77777777" w:rsidR="00E830DE" w:rsidRPr="00E830DE" w:rsidRDefault="00E830DE" w:rsidP="00E830DE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</w:p>
    <w:sectPr w:rsidR="00E830DE" w:rsidRPr="00E830DE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612A1"/>
    <w:rsid w:val="005E14E8"/>
    <w:rsid w:val="00614918"/>
    <w:rsid w:val="00705DF1"/>
    <w:rsid w:val="00765171"/>
    <w:rsid w:val="00996B8F"/>
    <w:rsid w:val="00AA66E3"/>
    <w:rsid w:val="00CD21C1"/>
    <w:rsid w:val="00DC0E26"/>
    <w:rsid w:val="00E830DE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9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10</cp:revision>
  <dcterms:created xsi:type="dcterms:W3CDTF">2021-03-18T03:05:00Z</dcterms:created>
  <dcterms:modified xsi:type="dcterms:W3CDTF">2021-04-03T08:18:00Z</dcterms:modified>
</cp:coreProperties>
</file>