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DE77BFB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  <w:highlight w:val="yellow"/>
        </w:rPr>
        <w:t>함수</w:t>
      </w:r>
    </w:p>
    <w:p w14:paraId="356389FC" w14:textId="248C1D2F" w:rsidR="00BF361C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함수는</w:t>
      </w:r>
      <w:r w:rsidRPr="003762EB">
        <w:rPr>
          <w:rFonts w:ascii="아리따-돋움4.0(OTF)-Medium" w:eastAsia="아리따-돋움4.0(OTF)-Medium" w:hAnsi="아리따-돋움4.0(OTF)-Medium"/>
        </w:rPr>
        <w:t xml:space="preserve"> 집합을 구성하는 모든 원소가 다른 집합의 원소에 각각 </w:t>
      </w:r>
      <w:proofErr w:type="gramStart"/>
      <w:r w:rsidRPr="003762EB">
        <w:rPr>
          <w:rFonts w:ascii="아리따-돋움4.0(OTF)-Medium" w:eastAsia="아리따-돋움4.0(OTF)-Medium" w:hAnsi="아리따-돋움4.0(OTF)-Medium"/>
        </w:rPr>
        <w:t>한번씩만</w:t>
      </w:r>
      <w:proofErr w:type="gramEnd"/>
      <w:r w:rsidRPr="003762EB">
        <w:rPr>
          <w:rFonts w:ascii="아리따-돋움4.0(OTF)-Medium" w:eastAsia="아리따-돋움4.0(OTF)-Medium" w:hAnsi="아리따-돋움4.0(OTF)-Medium"/>
        </w:rPr>
        <w:t xml:space="preserve"> 대응되는 관계를 말하며 함수는 컴퓨터로 복잡한 문제를 해결할 때 사용할 수 있으며 세부적으로 응용되는 범위가 넓기 때문에 컴퓨터과학 분야에서 매우 중요하다.</w:t>
      </w:r>
    </w:p>
    <w:p w14:paraId="7E7A2CC0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  <w:highlight w:val="yellow"/>
        </w:rPr>
        <w:t>전자함수</w:t>
      </w:r>
      <w:r w:rsidRPr="003762EB">
        <w:rPr>
          <w:rFonts w:ascii="아리따-돋움4.0(OTF)-Medium" w:eastAsia="아리따-돋움4.0(OTF)-Medium" w:hAnsi="아리따-돋움4.0(OTF)-Medium"/>
          <w:highlight w:val="yellow"/>
        </w:rPr>
        <w:t>, 단사함수, 전단사함수</w:t>
      </w:r>
    </w:p>
    <w:p w14:paraId="363D858F" w14:textId="3013CA1F" w:rsidR="00AB139E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단사함수는</w:t>
      </w:r>
      <w:r w:rsidRPr="003762EB">
        <w:rPr>
          <w:rFonts w:ascii="아리따-돋움4.0(OTF)-Medium" w:eastAsia="아리따-돋움4.0(OTF)-Medium" w:hAnsi="아리따-돋움4.0(OTF)-Medium"/>
        </w:rPr>
        <w:t xml:space="preserve"> 일대일 함수이며 정의역의 원소와 대응되는 공변역 원소는 </w:t>
      </w:r>
      <w:proofErr w:type="gramStart"/>
      <w:r w:rsidRPr="003762EB">
        <w:rPr>
          <w:rFonts w:ascii="아리따-돋움4.0(OTF)-Medium" w:eastAsia="아리따-돋움4.0(OTF)-Medium" w:hAnsi="아리따-돋움4.0(OTF)-Medium"/>
        </w:rPr>
        <w:t>하나 뿐이고</w:t>
      </w:r>
      <w:proofErr w:type="gramEnd"/>
      <w:r w:rsidRPr="003762EB">
        <w:rPr>
          <w:rFonts w:ascii="아리따-돋움4.0(OTF)-Medium" w:eastAsia="아리따-돋움4.0(OTF)-Medium" w:hAnsi="아리따-돋움4.0(OTF)-Medium"/>
        </w:rPr>
        <w:t>, 전사함수는 치역과 공변역이 같으며 공변역의 모든 원소가 대응되며 전단사함수는 단사함수이면서 전사함수인 함수이다.</w:t>
      </w:r>
    </w:p>
    <w:p w14:paraId="67D99D4B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  <w:highlight w:val="yellow"/>
        </w:rPr>
        <w:t>역함수</w:t>
      </w:r>
    </w:p>
    <w:p w14:paraId="4845BEF6" w14:textId="22742A94" w:rsidR="00AB139E" w:rsidRPr="00AB139E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/>
        </w:rPr>
        <w:t>y가 x의 함수일 때, 역으로 x를 y의 함수로 본 것으로 x의 함수 y=f(x)가 있을 때, 그 치역에 속하는 y의 각 값에 대하여 y=f(x)인 관계에 있는 x를 대응시킴으로써, x를 y의 함수로 간주할 수가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C9590B3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함수의</w:t>
      </w:r>
      <w:r w:rsidRPr="003762EB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00DCF860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단사함수</w:t>
      </w:r>
      <w:r w:rsidRPr="003762EB">
        <w:rPr>
          <w:rFonts w:ascii="아리따-돋움4.0(OTF)-Medium" w:eastAsia="아리따-돋움4.0(OTF)-Medium" w:hAnsi="아리따-돋움4.0(OTF)-Medium"/>
        </w:rPr>
        <w:t>, 전사함수, 전단사함수</w:t>
      </w:r>
    </w:p>
    <w:p w14:paraId="4800D969" w14:textId="38312A15" w:rsidR="00F768AE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역함수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80EDAB0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함수가</w:t>
      </w:r>
      <w:r w:rsidRPr="003762EB">
        <w:rPr>
          <w:rFonts w:ascii="아리따-돋움4.0(OTF)-Medium" w:eastAsia="아리따-돋움4.0(OTF)-Medium" w:hAnsi="아리따-돋움4.0(OTF)-Medium"/>
        </w:rPr>
        <w:t xml:space="preserve"> 무엇인지 이해하고 설명할 수 있다.</w:t>
      </w:r>
    </w:p>
    <w:p w14:paraId="0CE84A96" w14:textId="77777777" w:rsidR="003762EB" w:rsidRPr="003762EB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단사함수</w:t>
      </w:r>
      <w:r w:rsidRPr="003762EB">
        <w:rPr>
          <w:rFonts w:ascii="아리따-돋움4.0(OTF)-Medium" w:eastAsia="아리따-돋움4.0(OTF)-Medium" w:hAnsi="아리따-돋움4.0(OTF)-Medium"/>
        </w:rPr>
        <w:t>, 전사함수, 전단사함수 각각의 특징과 차이점을 구별할 수 있다.</w:t>
      </w:r>
    </w:p>
    <w:p w14:paraId="35BE62E9" w14:textId="46821C42" w:rsidR="000E4AE9" w:rsidRDefault="003762EB" w:rsidP="003762EB">
      <w:pPr>
        <w:rPr>
          <w:rFonts w:ascii="아리따-돋움4.0(OTF)-Medium" w:eastAsia="아리따-돋움4.0(OTF)-Medium" w:hAnsi="아리따-돋움4.0(OTF)-Medium"/>
        </w:rPr>
      </w:pPr>
      <w:r w:rsidRPr="003762EB">
        <w:rPr>
          <w:rFonts w:ascii="아리따-돋움4.0(OTF)-Medium" w:eastAsia="아리따-돋움4.0(OTF)-Medium" w:hAnsi="아리따-돋움4.0(OTF)-Medium" w:hint="eastAsia"/>
        </w:rPr>
        <w:t>역함수란</w:t>
      </w:r>
      <w:r w:rsidRPr="003762EB">
        <w:rPr>
          <w:rFonts w:ascii="아리따-돋움4.0(OTF)-Medium" w:eastAsia="아리따-돋움4.0(OTF)-Medium" w:hAnsi="아리따-돋움4.0(OTF)-Medium"/>
        </w:rPr>
        <w:t xml:space="preserve"> 무엇인지 이해하고 주어진 함수의 역함수를 구할 수 있다.</w:t>
      </w:r>
    </w:p>
    <w:p w14:paraId="758E21CC" w14:textId="7EFA18AE" w:rsidR="00311A12" w:rsidRDefault="003762EB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5B91BA41" wp14:editId="362B0AA5">
            <wp:extent cx="3337849" cy="2865368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A12">
        <w:rPr>
          <w:rFonts w:ascii="아리따-돋움4.0(OTF)-Medium" w:eastAsia="아리따-돋움4.0(OTF)-Medium" w:hAnsi="아리따-돋움4.0(OTF)-Medium" w:hint="eastAsia"/>
        </w:rPr>
        <w:t>: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53717" w14:textId="77777777" w:rsidR="0036637F" w:rsidRDefault="0036637F" w:rsidP="00AB139E">
      <w:pPr>
        <w:spacing w:after="0" w:line="240" w:lineRule="auto"/>
      </w:pPr>
      <w:r>
        <w:separator/>
      </w:r>
    </w:p>
  </w:endnote>
  <w:endnote w:type="continuationSeparator" w:id="0">
    <w:p w14:paraId="6FF5D338" w14:textId="77777777" w:rsidR="0036637F" w:rsidRDefault="0036637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7D2E" w14:textId="77777777" w:rsidR="0036637F" w:rsidRDefault="0036637F" w:rsidP="00AB139E">
      <w:pPr>
        <w:spacing w:after="0" w:line="240" w:lineRule="auto"/>
      </w:pPr>
      <w:r>
        <w:separator/>
      </w:r>
    </w:p>
  </w:footnote>
  <w:footnote w:type="continuationSeparator" w:id="0">
    <w:p w14:paraId="17B753C1" w14:textId="77777777" w:rsidR="0036637F" w:rsidRDefault="0036637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6637F"/>
    <w:rsid w:val="003762EB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6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2021-04-18T04:44:00Z</dcterms:modified>
</cp:coreProperties>
</file>