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7BF72AE0" w14:textId="77777777" w:rsidR="00704DA5" w:rsidRPr="00704DA5" w:rsidRDefault="00704DA5" w:rsidP="00704DA5">
      <w:pPr>
        <w:rPr>
          <w:rFonts w:ascii="아리따-돋움4.0(OTF)-Medium" w:eastAsia="아리따-돋움4.0(OTF)-Medium" w:hAnsi="아리따-돋움4.0(OTF)-Medium"/>
        </w:rPr>
      </w:pPr>
      <w:r w:rsidRPr="00704DA5">
        <w:rPr>
          <w:rFonts w:ascii="아리따-돋움4.0(OTF)-Medium" w:eastAsia="아리따-돋움4.0(OTF)-Medium" w:hAnsi="아리따-돋움4.0(OTF)-Medium" w:hint="eastAsia"/>
          <w:highlight w:val="yellow"/>
        </w:rPr>
        <w:t>페이지</w:t>
      </w:r>
      <w:r w:rsidRPr="00704DA5">
        <w:rPr>
          <w:rFonts w:ascii="아리따-돋움4.0(OTF)-Medium" w:eastAsia="아리따-돋움4.0(OTF)-Medium" w:hAnsi="아리따-돋움4.0(OTF)-Medium"/>
          <w:highlight w:val="yellow"/>
        </w:rPr>
        <w:t xml:space="preserve"> 레이아웃</w:t>
      </w:r>
    </w:p>
    <w:p w14:paraId="356389FC" w14:textId="5434CB2F" w:rsidR="00BF361C" w:rsidRDefault="00704DA5" w:rsidP="00704DA5">
      <w:pPr>
        <w:rPr>
          <w:rFonts w:ascii="아리따-돋움4.0(OTF)-Medium" w:eastAsia="아리따-돋움4.0(OTF)-Medium" w:hAnsi="아리따-돋움4.0(OTF)-Medium"/>
        </w:rPr>
      </w:pPr>
      <w:r w:rsidRPr="00704DA5">
        <w:rPr>
          <w:rFonts w:ascii="아리따-돋움4.0(OTF)-Medium" w:eastAsia="아리따-돋움4.0(OTF)-Medium" w:hAnsi="아리따-돋움4.0(OTF)-Medium" w:hint="eastAsia"/>
        </w:rPr>
        <w:t>페이지</w:t>
      </w:r>
      <w:r w:rsidRPr="00704DA5">
        <w:rPr>
          <w:rFonts w:ascii="아리따-돋움4.0(OTF)-Medium" w:eastAsia="아리따-돋움4.0(OTF)-Medium" w:hAnsi="아리따-돋움4.0(OTF)-Medium"/>
        </w:rPr>
        <w:t xml:space="preserve"> 레이아웃(Page layout)은 디자인 (종이, 웹 등), 건축 설계, 인테리어 (전시장, 전시실 설계, 전시실 디자인 등), 도서, 잡지, 신문 등에서 무엇을 어디에 어떻게 배치(할당) 하느냐, 또한 그런 배치(할당) 하는 행위를 의미한다. 디자인과 편집 분야에서는 편집 디자인이라고도 하며, 그래픽 디자이너, 에디토리얼 디자이너, 아트 디렉터 등이 담당한다.</w:t>
      </w:r>
    </w:p>
    <w:p w14:paraId="524B1E53" w14:textId="77777777" w:rsidR="00704DA5" w:rsidRPr="00704DA5" w:rsidRDefault="00704DA5" w:rsidP="00704DA5">
      <w:pPr>
        <w:rPr>
          <w:rFonts w:ascii="아리따-돋움4.0(OTF)-Medium" w:eastAsia="아리따-돋움4.0(OTF)-Medium" w:hAnsi="아리따-돋움4.0(OTF)-Medium"/>
        </w:rPr>
      </w:pPr>
      <w:r w:rsidRPr="00704DA5">
        <w:rPr>
          <w:rFonts w:ascii="아리따-돋움4.0(OTF)-Medium" w:eastAsia="아리따-돋움4.0(OTF)-Medium" w:hAnsi="아리따-돋움4.0(OTF)-Medium" w:hint="eastAsia"/>
          <w:highlight w:val="yellow"/>
        </w:rPr>
        <w:t>가독성</w:t>
      </w:r>
    </w:p>
    <w:p w14:paraId="363D858F" w14:textId="26D725F4" w:rsidR="00AB139E" w:rsidRDefault="00704DA5" w:rsidP="00704DA5">
      <w:pPr>
        <w:rPr>
          <w:rFonts w:ascii="아리따-돋움4.0(OTF)-Medium" w:eastAsia="아리따-돋움4.0(OTF)-Medium" w:hAnsi="아리따-돋움4.0(OTF)-Medium"/>
        </w:rPr>
      </w:pPr>
      <w:r w:rsidRPr="00704DA5">
        <w:rPr>
          <w:rFonts w:ascii="아리따-돋움4.0(OTF)-Medium" w:eastAsia="아리따-돋움4.0(OTF)-Medium" w:hAnsi="아리따-돋움4.0(OTF)-Medium" w:hint="eastAsia"/>
        </w:rPr>
        <w:t>가독성</w:t>
      </w:r>
      <w:r w:rsidRPr="00704DA5">
        <w:rPr>
          <w:rFonts w:ascii="아리따-돋움4.0(OTF)-Medium" w:eastAsia="아리따-돋움4.0(OTF)-Medium" w:hAnsi="아리따-돋움4.0(OTF)-Medium"/>
        </w:rPr>
        <w:t>(Readability)은 얼마나 쉽게 읽을 수 있는지를 나타내는 정도를 뜻하는 말이다. 문서 디자인에서의 가독성은 독자(사용자)가 문서를 읽기 얼마나 좋은지를 뜻하며, 서체, 레이아웃, 자간, 행간, 여백 등에 따라 결정된다.</w:t>
      </w:r>
    </w:p>
    <w:p w14:paraId="1713A409" w14:textId="77777777" w:rsidR="00704DA5" w:rsidRPr="00704DA5" w:rsidRDefault="00704DA5" w:rsidP="00704DA5">
      <w:pPr>
        <w:rPr>
          <w:rFonts w:ascii="아리따-돋움4.0(OTF)-Medium" w:eastAsia="아리따-돋움4.0(OTF)-Medium" w:hAnsi="아리따-돋움4.0(OTF)-Medium"/>
        </w:rPr>
      </w:pPr>
      <w:r w:rsidRPr="00704DA5">
        <w:rPr>
          <w:rFonts w:ascii="아리따-돋움4.0(OTF)-Medium" w:eastAsia="아리따-돋움4.0(OTF)-Medium" w:hAnsi="아리따-돋움4.0(OTF)-Medium" w:hint="eastAsia"/>
          <w:highlight w:val="yellow"/>
        </w:rPr>
        <w:t>역상</w:t>
      </w:r>
      <w:r w:rsidRPr="00704DA5">
        <w:rPr>
          <w:rFonts w:ascii="아리따-돋움4.0(OTF)-Medium" w:eastAsia="아리따-돋움4.0(OTF)-Medium" w:hAnsi="아리따-돋움4.0(OTF)-Medium"/>
          <w:highlight w:val="yellow"/>
        </w:rPr>
        <w:t xml:space="preserve"> 표시</w:t>
      </w:r>
    </w:p>
    <w:p w14:paraId="4845BEF6" w14:textId="6788B426" w:rsidR="00AB139E" w:rsidRPr="00AB139E" w:rsidRDefault="00704DA5" w:rsidP="00704DA5">
      <w:pPr>
        <w:rPr>
          <w:rFonts w:ascii="아리따-돋움4.0(OTF)-Medium" w:eastAsia="아리따-돋움4.0(OTF)-Medium" w:hAnsi="아리따-돋움4.0(OTF)-Medium"/>
        </w:rPr>
      </w:pPr>
      <w:r w:rsidRPr="00704DA5">
        <w:rPr>
          <w:rFonts w:ascii="아리따-돋움4.0(OTF)-Medium" w:eastAsia="아리따-돋움4.0(OTF)-Medium" w:hAnsi="아리따-돋움4.0(OTF)-Medium" w:hint="eastAsia"/>
        </w:rPr>
        <w:t>역상표시</w:t>
      </w:r>
      <w:r w:rsidRPr="00704DA5">
        <w:rPr>
          <w:rFonts w:ascii="아리따-돋움4.0(OTF)-Medium" w:eastAsia="아리따-돋움4.0(OTF)-Medium" w:hAnsi="아리따-돋움4.0(OTF)-Medium"/>
        </w:rPr>
        <w:t>((Reversing Display)는 워드 프로세서 등에서 화면의 특정 부분의 음영을 반전시킴으로써 지정 대상을 명확히 표시하는 방법으로, 복사 범위 등을 지정하여 할 수 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68391652" w14:textId="77777777" w:rsidR="00704DA5" w:rsidRPr="00704DA5" w:rsidRDefault="00704DA5" w:rsidP="00704DA5">
      <w:pPr>
        <w:rPr>
          <w:rFonts w:ascii="아리따-돋움4.0(OTF)-Medium" w:eastAsia="아리따-돋움4.0(OTF)-Medium" w:hAnsi="아리따-돋움4.0(OTF)-Medium"/>
        </w:rPr>
      </w:pPr>
      <w:r w:rsidRPr="00704DA5">
        <w:rPr>
          <w:rFonts w:ascii="아리따-돋움4.0(OTF)-Medium" w:eastAsia="아리따-돋움4.0(OTF)-Medium" w:hAnsi="아리따-돋움4.0(OTF)-Medium" w:hint="eastAsia"/>
        </w:rPr>
        <w:t>문서양식</w:t>
      </w:r>
      <w:r w:rsidRPr="00704DA5">
        <w:rPr>
          <w:rFonts w:ascii="아리따-돋움4.0(OTF)-Medium" w:eastAsia="아리따-돋움4.0(OTF)-Medium" w:hAnsi="아리따-돋움4.0(OTF)-Medium"/>
        </w:rPr>
        <w:t xml:space="preserve"> 설계의 주요 개념</w:t>
      </w:r>
    </w:p>
    <w:p w14:paraId="711A3E19" w14:textId="77777777" w:rsidR="00704DA5" w:rsidRPr="00704DA5" w:rsidRDefault="00704DA5" w:rsidP="00704DA5">
      <w:pPr>
        <w:rPr>
          <w:rFonts w:ascii="아리따-돋움4.0(OTF)-Medium" w:eastAsia="아리따-돋움4.0(OTF)-Medium" w:hAnsi="아리따-돋움4.0(OTF)-Medium"/>
        </w:rPr>
      </w:pPr>
      <w:r w:rsidRPr="00704DA5">
        <w:rPr>
          <w:rFonts w:ascii="아리따-돋움4.0(OTF)-Medium" w:eastAsia="아리따-돋움4.0(OTF)-Medium" w:hAnsi="아리따-돋움4.0(OTF)-Medium" w:hint="eastAsia"/>
        </w:rPr>
        <w:t>문서양식</w:t>
      </w:r>
      <w:r w:rsidRPr="00704DA5">
        <w:rPr>
          <w:rFonts w:ascii="아리따-돋움4.0(OTF)-Medium" w:eastAsia="아리따-돋움4.0(OTF)-Medium" w:hAnsi="아리따-돋움4.0(OTF)-Medium"/>
        </w:rPr>
        <w:t xml:space="preserve"> 설계의 주요 지침</w:t>
      </w:r>
    </w:p>
    <w:p w14:paraId="4800D969" w14:textId="16CD3E05" w:rsidR="00F768AE" w:rsidRDefault="00704DA5" w:rsidP="00704DA5">
      <w:pPr>
        <w:rPr>
          <w:rFonts w:ascii="아리따-돋움4.0(OTF)-Medium" w:eastAsia="아리따-돋움4.0(OTF)-Medium" w:hAnsi="아리따-돋움4.0(OTF)-Medium"/>
        </w:rPr>
      </w:pPr>
      <w:r w:rsidRPr="00704DA5">
        <w:rPr>
          <w:rFonts w:ascii="아리따-돋움4.0(OTF)-Medium" w:eastAsia="아리따-돋움4.0(OTF)-Medium" w:hAnsi="아리따-돋움4.0(OTF)-Medium" w:hint="eastAsia"/>
        </w:rPr>
        <w:t>문서양식</w:t>
      </w:r>
      <w:r w:rsidRPr="00704DA5">
        <w:rPr>
          <w:rFonts w:ascii="아리따-돋움4.0(OTF)-Medium" w:eastAsia="아리따-돋움4.0(OTF)-Medium" w:hAnsi="아리따-돋움4.0(OTF)-Medium"/>
        </w:rPr>
        <w:t xml:space="preserve"> 설계 방법</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2FD6162E" w14:textId="77777777" w:rsidR="00704DA5" w:rsidRPr="00704DA5" w:rsidRDefault="00704DA5" w:rsidP="00704DA5">
      <w:pPr>
        <w:rPr>
          <w:rFonts w:ascii="아리따-돋움4.0(OTF)-Medium" w:eastAsia="아리따-돋움4.0(OTF)-Medium" w:hAnsi="아리따-돋움4.0(OTF)-Medium"/>
        </w:rPr>
      </w:pPr>
      <w:r w:rsidRPr="00704DA5">
        <w:rPr>
          <w:rFonts w:ascii="아리따-돋움4.0(OTF)-Medium" w:eastAsia="아리따-돋움4.0(OTF)-Medium" w:hAnsi="아리따-돋움4.0(OTF)-Medium" w:hint="eastAsia"/>
        </w:rPr>
        <w:t>문서양식</w:t>
      </w:r>
      <w:r w:rsidRPr="00704DA5">
        <w:rPr>
          <w:rFonts w:ascii="아리따-돋움4.0(OTF)-Medium" w:eastAsia="아리따-돋움4.0(OTF)-Medium" w:hAnsi="아리따-돋움4.0(OTF)-Medium"/>
        </w:rPr>
        <w:t xml:space="preserve"> 설계의 주요 개념이 무엇인지 설명할 수 있다.</w:t>
      </w:r>
    </w:p>
    <w:p w14:paraId="431DBDE6" w14:textId="77777777" w:rsidR="00704DA5" w:rsidRPr="00704DA5" w:rsidRDefault="00704DA5" w:rsidP="00704DA5">
      <w:pPr>
        <w:rPr>
          <w:rFonts w:ascii="아리따-돋움4.0(OTF)-Medium" w:eastAsia="아리따-돋움4.0(OTF)-Medium" w:hAnsi="아리따-돋움4.0(OTF)-Medium"/>
        </w:rPr>
      </w:pPr>
      <w:r w:rsidRPr="00704DA5">
        <w:rPr>
          <w:rFonts w:ascii="아리따-돋움4.0(OTF)-Medium" w:eastAsia="아리따-돋움4.0(OTF)-Medium" w:hAnsi="아리따-돋움4.0(OTF)-Medium" w:hint="eastAsia"/>
        </w:rPr>
        <w:t>문서양식</w:t>
      </w:r>
      <w:r w:rsidRPr="00704DA5">
        <w:rPr>
          <w:rFonts w:ascii="아리따-돋움4.0(OTF)-Medium" w:eastAsia="아리따-돋움4.0(OTF)-Medium" w:hAnsi="아리따-돋움4.0(OTF)-Medium"/>
        </w:rPr>
        <w:t xml:space="preserve"> 설계의 주요 지침에 대해 설명할 수 있다.</w:t>
      </w:r>
    </w:p>
    <w:p w14:paraId="35BE62E9" w14:textId="670AFC91" w:rsidR="000E4AE9" w:rsidRDefault="00704DA5" w:rsidP="00704DA5">
      <w:pPr>
        <w:rPr>
          <w:rFonts w:ascii="아리따-돋움4.0(OTF)-Medium" w:eastAsia="아리따-돋움4.0(OTF)-Medium" w:hAnsi="아리따-돋움4.0(OTF)-Medium"/>
        </w:rPr>
      </w:pPr>
      <w:r w:rsidRPr="00704DA5">
        <w:rPr>
          <w:rFonts w:ascii="아리따-돋움4.0(OTF)-Medium" w:eastAsia="아리따-돋움4.0(OTF)-Medium" w:hAnsi="아리따-돋움4.0(OTF)-Medium" w:hint="eastAsia"/>
        </w:rPr>
        <w:t>구체적인</w:t>
      </w:r>
      <w:r w:rsidRPr="00704DA5">
        <w:rPr>
          <w:rFonts w:ascii="아리따-돋움4.0(OTF)-Medium" w:eastAsia="아리따-돋움4.0(OTF)-Medium" w:hAnsi="아리따-돋움4.0(OTF)-Medium"/>
        </w:rPr>
        <w:t xml:space="preserve"> 문서양식 설계 방법을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627C60A4"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704DA5">
        <w:rPr>
          <w:rFonts w:ascii="아리따-돋움4.0(OTF)-Medium" w:eastAsia="아리따-돋움4.0(OTF)-Medium" w:hAnsi="아리따-돋움4.0(OTF)-Medium"/>
        </w:rPr>
        <w:t xml:space="preserve"> </w:t>
      </w:r>
      <w:r w:rsidR="00704DA5" w:rsidRPr="00704DA5">
        <w:rPr>
          <w:rFonts w:ascii="아리따-돋움4.0(OTF)-Medium" w:eastAsia="아리따-돋움4.0(OTF)-Medium" w:hAnsi="아리따-돋움4.0(OTF)-Medium" w:hint="eastAsia"/>
        </w:rPr>
        <w:t>문서양식에서</w:t>
      </w:r>
      <w:r w:rsidR="00704DA5" w:rsidRPr="00704DA5">
        <w:rPr>
          <w:rFonts w:ascii="아리따-돋움4.0(OTF)-Medium" w:eastAsia="아리따-돋움4.0(OTF)-Medium" w:hAnsi="아리따-돋움4.0(OTF)-Medium"/>
        </w:rPr>
        <w:t xml:space="preserve"> 강조를 할 경우 일반적인 원칙은 무엇인가요?</w:t>
      </w:r>
    </w:p>
    <w:p w14:paraId="758E21CC" w14:textId="4907ADA4"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704DA5">
        <w:rPr>
          <w:rFonts w:ascii="아리따-돋움4.0(OTF)-Medium" w:eastAsia="아리따-돋움4.0(OTF)-Medium" w:hAnsi="아리따-돋움4.0(OTF)-Medium"/>
        </w:rPr>
        <w:t xml:space="preserve"> </w:t>
      </w:r>
      <w:r w:rsidR="00704DA5" w:rsidRPr="00704DA5">
        <w:rPr>
          <w:rFonts w:ascii="아리따-돋움4.0(OTF)-Medium" w:eastAsia="아리따-돋움4.0(OTF)-Medium" w:hAnsi="아리따-돋움4.0(OTF)-Medium" w:hint="eastAsia"/>
        </w:rPr>
        <w:t>일반적인</w:t>
      </w:r>
      <w:r w:rsidR="00704DA5" w:rsidRPr="00704DA5">
        <w:rPr>
          <w:rFonts w:ascii="아리따-돋움4.0(OTF)-Medium" w:eastAsia="아리따-돋움4.0(OTF)-Medium" w:hAnsi="아리따-돋움4.0(OTF)-Medium"/>
        </w:rPr>
        <w:t xml:space="preserve"> 강조의 원칙은 다음과 같다. 첫째, 강조는 문서의 주제어에 적용하는 것이 좋다. 강조하는 방법은 다양하며 일반적으로 볼드체(두꺼운 글자체), 언더라인(밑줄), 또는 색상변화 등을 통하여 제공할 수 있다. 다만 주제어가 여럿인 경우 너무 지나치게 나열하게 되면 오히려 강조효과가 저하될 수 있기 때문에 주제어는 보통 몇 개로 제한해야 한다. 둘째, 강조는 문서의 상단부분 또는 전반부에 하는 것이 좋다. 즉 장문의 내용을 포함하는 문서의 경우 대부분 </w:t>
      </w:r>
      <w:r w:rsidR="00704DA5" w:rsidRPr="00704DA5">
        <w:rPr>
          <w:rFonts w:ascii="아리따-돋움4.0(OTF)-Medium" w:eastAsia="아리따-돋움4.0(OTF)-Medium" w:hAnsi="아리따-돋움4.0(OTF)-Medium" w:hint="eastAsia"/>
        </w:rPr>
        <w:t>독자들은</w:t>
      </w:r>
      <w:r w:rsidR="00704DA5" w:rsidRPr="00704DA5">
        <w:rPr>
          <w:rFonts w:ascii="아리따-돋움4.0(OTF)-Medium" w:eastAsia="아리따-돋움4.0(OTF)-Medium" w:hAnsi="아리따-돋움4.0(OTF)-Medium"/>
        </w:rPr>
        <w:t xml:space="preserve"> 처음부터 읽어 내려가다가 점차 주의가 분산되는 경향이 있다. 따라서 문서의 후반부로 갈수록 주의집중이 어려워짐에 따라 강조를 항 경우 문서의 상단 또는 전반부에 하는 것이 좋다. 셋째, 문서양식에서 강조를 할 경우 강조할 내용은 문서의 오른편 보다는 왼편에 하는 것이 효과적이다. 이는 대부분의 독자는 항상 왼편에서 오른편으로 읽어 내려가는 습관이 있기 때문에, 중요하고 강조할 내용을 왼편에 배치하는 것이 효율적이다.</w:t>
      </w:r>
    </w:p>
    <w:p w14:paraId="644CEB21" w14:textId="75E533D1" w:rsidR="00E63AC9" w:rsidRDefault="00E63AC9" w:rsidP="00BF361C">
      <w:pPr>
        <w:rPr>
          <w:rFonts w:ascii="아리따-돋움4.0(OTF)-Medium" w:eastAsia="아리따-돋움4.0(OTF)-Medium" w:hAnsi="아리따-돋움4.0(OTF)-Medium"/>
        </w:rPr>
      </w:pPr>
    </w:p>
    <w:p w14:paraId="7501C92A" w14:textId="19615708" w:rsidR="00E63AC9" w:rsidRPr="00311A12" w:rsidRDefault="00704DA5"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46548222" wp14:editId="17A9748B">
            <wp:extent cx="3231160" cy="4679085"/>
            <wp:effectExtent l="0" t="0" r="7620" b="762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231160" cy="4679085"/>
                    </a:xfrm>
                    <a:prstGeom prst="rect">
                      <a:avLst/>
                    </a:prstGeom>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06F37" w14:textId="77777777" w:rsidR="000D037F" w:rsidRDefault="000D037F" w:rsidP="00AB139E">
      <w:pPr>
        <w:spacing w:after="0" w:line="240" w:lineRule="auto"/>
      </w:pPr>
      <w:r>
        <w:separator/>
      </w:r>
    </w:p>
  </w:endnote>
  <w:endnote w:type="continuationSeparator" w:id="0">
    <w:p w14:paraId="144C867A" w14:textId="77777777" w:rsidR="000D037F" w:rsidRDefault="000D037F"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DDC18" w14:textId="77777777" w:rsidR="000D037F" w:rsidRDefault="000D037F" w:rsidP="00AB139E">
      <w:pPr>
        <w:spacing w:after="0" w:line="240" w:lineRule="auto"/>
      </w:pPr>
      <w:r>
        <w:separator/>
      </w:r>
    </w:p>
  </w:footnote>
  <w:footnote w:type="continuationSeparator" w:id="0">
    <w:p w14:paraId="30DA8E07" w14:textId="77777777" w:rsidR="000D037F" w:rsidRDefault="000D037F"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D037F"/>
    <w:rsid w:val="000E4AE9"/>
    <w:rsid w:val="00210C16"/>
    <w:rsid w:val="00311A12"/>
    <w:rsid w:val="003160AD"/>
    <w:rsid w:val="003D7398"/>
    <w:rsid w:val="005612A1"/>
    <w:rsid w:val="005845B6"/>
    <w:rsid w:val="00614918"/>
    <w:rsid w:val="00704DA5"/>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053379">
      <w:bodyDiv w:val="1"/>
      <w:marLeft w:val="0"/>
      <w:marRight w:val="0"/>
      <w:marTop w:val="0"/>
      <w:marBottom w:val="0"/>
      <w:divBdr>
        <w:top w:val="none" w:sz="0" w:space="0" w:color="auto"/>
        <w:left w:val="none" w:sz="0" w:space="0" w:color="auto"/>
        <w:bottom w:val="none" w:sz="0" w:space="0" w:color="auto"/>
        <w:right w:val="none" w:sz="0" w:space="0" w:color="auto"/>
      </w:divBdr>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546069143">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247573">
      <w:bodyDiv w:val="1"/>
      <w:marLeft w:val="0"/>
      <w:marRight w:val="0"/>
      <w:marTop w:val="0"/>
      <w:marBottom w:val="0"/>
      <w:divBdr>
        <w:top w:val="none" w:sz="0" w:space="0" w:color="auto"/>
        <w:left w:val="none" w:sz="0" w:space="0" w:color="auto"/>
        <w:bottom w:val="none" w:sz="0" w:space="0" w:color="auto"/>
        <w:right w:val="none" w:sz="0" w:space="0" w:color="auto"/>
      </w:divBdr>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124346886">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12841814">
      <w:bodyDiv w:val="1"/>
      <w:marLeft w:val="0"/>
      <w:marRight w:val="0"/>
      <w:marTop w:val="0"/>
      <w:marBottom w:val="0"/>
      <w:divBdr>
        <w:top w:val="none" w:sz="0" w:space="0" w:color="auto"/>
        <w:left w:val="none" w:sz="0" w:space="0" w:color="auto"/>
        <w:bottom w:val="none" w:sz="0" w:space="0" w:color="auto"/>
        <w:right w:val="none" w:sz="0" w:space="0" w:color="auto"/>
      </w:divBdr>
      <w:divsChild>
        <w:div w:id="2099793030">
          <w:marLeft w:val="0"/>
          <w:marRight w:val="0"/>
          <w:marTop w:val="0"/>
          <w:marBottom w:val="0"/>
          <w:divBdr>
            <w:top w:val="none" w:sz="0" w:space="0" w:color="auto"/>
            <w:left w:val="none" w:sz="0" w:space="0" w:color="auto"/>
            <w:bottom w:val="none" w:sz="0" w:space="0" w:color="auto"/>
            <w:right w:val="none" w:sz="0" w:space="0" w:color="auto"/>
          </w:divBdr>
          <w:divsChild>
            <w:div w:id="1168015239">
              <w:marLeft w:val="0"/>
              <w:marRight w:val="0"/>
              <w:marTop w:val="0"/>
              <w:marBottom w:val="0"/>
              <w:divBdr>
                <w:top w:val="none" w:sz="0" w:space="0" w:color="auto"/>
                <w:left w:val="none" w:sz="0" w:space="0" w:color="auto"/>
                <w:bottom w:val="none" w:sz="0" w:space="0" w:color="auto"/>
                <w:right w:val="none" w:sz="0" w:space="0" w:color="auto"/>
              </w:divBdr>
              <w:divsChild>
                <w:div w:id="583537600">
                  <w:marLeft w:val="0"/>
                  <w:marRight w:val="0"/>
                  <w:marTop w:val="0"/>
                  <w:marBottom w:val="0"/>
                  <w:divBdr>
                    <w:top w:val="none" w:sz="0" w:space="0" w:color="auto"/>
                    <w:left w:val="none" w:sz="0" w:space="0" w:color="auto"/>
                    <w:bottom w:val="none" w:sz="0" w:space="0" w:color="auto"/>
                    <w:right w:val="none" w:sz="0" w:space="0" w:color="auto"/>
                  </w:divBdr>
                  <w:divsChild>
                    <w:div w:id="170186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741100135">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972654">
      <w:bodyDiv w:val="1"/>
      <w:marLeft w:val="0"/>
      <w:marRight w:val="0"/>
      <w:marTop w:val="0"/>
      <w:marBottom w:val="0"/>
      <w:divBdr>
        <w:top w:val="none" w:sz="0" w:space="0" w:color="auto"/>
        <w:left w:val="none" w:sz="0" w:space="0" w:color="auto"/>
        <w:bottom w:val="none" w:sz="0" w:space="0" w:color="auto"/>
        <w:right w:val="none" w:sz="0" w:space="0" w:color="auto"/>
      </w:divBdr>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171</Words>
  <Characters>978</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2021-05-13T09:17:00Z</dcterms:modified>
</cp:coreProperties>
</file>