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7D6A169E" w14:textId="77777777" w:rsidR="00FD26D6" w:rsidRPr="00FD26D6" w:rsidRDefault="00FD26D6" w:rsidP="00FD26D6">
      <w:pPr>
        <w:rPr>
          <w:rFonts w:ascii="아리따-돋움4.0(OTF)-Medium" w:eastAsia="아리따-돋움4.0(OTF)-Medium" w:hAnsi="아리따-돋움4.0(OTF)-Medium"/>
        </w:rPr>
      </w:pPr>
      <w:r w:rsidRPr="00FD26D6">
        <w:rPr>
          <w:rFonts w:ascii="아리따-돋움4.0(OTF)-Medium" w:eastAsia="아리따-돋움4.0(OTF)-Medium" w:hAnsi="아리따-돋움4.0(OTF)-Medium" w:hint="eastAsia"/>
          <w:highlight w:val="yellow"/>
        </w:rPr>
        <w:t>일반</w:t>
      </w:r>
      <w:r w:rsidRPr="00FD26D6">
        <w:rPr>
          <w:rFonts w:ascii="아리따-돋움4.0(OTF)-Medium" w:eastAsia="아리따-돋움4.0(OTF)-Medium" w:hAnsi="아리따-돋움4.0(OTF)-Medium"/>
          <w:highlight w:val="yellow"/>
        </w:rPr>
        <w:t>/강한 엔티티</w:t>
      </w:r>
    </w:p>
    <w:p w14:paraId="356389FC" w14:textId="69F2A082" w:rsidR="00BF361C" w:rsidRDefault="00FD26D6" w:rsidP="00FD26D6">
      <w:pPr>
        <w:rPr>
          <w:rFonts w:ascii="아리따-돋움4.0(OTF)-Medium" w:eastAsia="아리따-돋움4.0(OTF)-Medium" w:hAnsi="아리따-돋움4.0(OTF)-Medium"/>
        </w:rPr>
      </w:pPr>
      <w:r w:rsidRPr="00FD26D6">
        <w:rPr>
          <w:rFonts w:ascii="아리따-돋움4.0(OTF)-Medium" w:eastAsia="아리따-돋움4.0(OTF)-Medium" w:hAnsi="아리따-돋움4.0(OTF)-Medium" w:hint="eastAsia"/>
        </w:rPr>
        <w:t>약</w:t>
      </w:r>
      <w:r w:rsidRPr="00FD26D6">
        <w:rPr>
          <w:rFonts w:ascii="아리따-돋움4.0(OTF)-Medium" w:eastAsia="아리따-돋움4.0(OTF)-Medium" w:hAnsi="아리따-돋움4.0(OTF)-Medium"/>
        </w:rPr>
        <w:t xml:space="preserve"> 엔티티와는 다르게 실세계의 독립체를 나타내며, 데이터 구성의 주체가 되는 개념이다. 엔티티의 존재가 다른 엔티티에 의해 종속되지 않는다.</w:t>
      </w:r>
    </w:p>
    <w:p w14:paraId="7111543F" w14:textId="77777777" w:rsidR="00FD26D6" w:rsidRPr="00FD26D6" w:rsidRDefault="00FD26D6" w:rsidP="00FD26D6">
      <w:pPr>
        <w:rPr>
          <w:rFonts w:ascii="아리따-돋움4.0(OTF)-Medium" w:eastAsia="아리따-돋움4.0(OTF)-Medium" w:hAnsi="아리따-돋움4.0(OTF)-Medium"/>
        </w:rPr>
      </w:pPr>
      <w:r w:rsidRPr="00FD26D6">
        <w:rPr>
          <w:rFonts w:ascii="아리따-돋움4.0(OTF)-Medium" w:eastAsia="아리따-돋움4.0(OTF)-Medium" w:hAnsi="아리따-돋움4.0(OTF)-Medium" w:hint="eastAsia"/>
          <w:highlight w:val="yellow"/>
        </w:rPr>
        <w:t>약</w:t>
      </w:r>
      <w:r w:rsidRPr="00FD26D6">
        <w:rPr>
          <w:rFonts w:ascii="아리따-돋움4.0(OTF)-Medium" w:eastAsia="아리따-돋움4.0(OTF)-Medium" w:hAnsi="아리따-돋움4.0(OTF)-Medium"/>
          <w:highlight w:val="yellow"/>
        </w:rPr>
        <w:t xml:space="preserve"> 엔티티의 사상 방법</w:t>
      </w:r>
    </w:p>
    <w:p w14:paraId="363D858F" w14:textId="40D9E9C6" w:rsidR="00AB139E" w:rsidRDefault="00FD26D6" w:rsidP="00FD26D6">
      <w:pPr>
        <w:rPr>
          <w:rFonts w:ascii="아리따-돋움4.0(OTF)-Medium" w:eastAsia="아리따-돋움4.0(OTF)-Medium" w:hAnsi="아리따-돋움4.0(OTF)-Medium"/>
        </w:rPr>
      </w:pPr>
      <w:r w:rsidRPr="00FD26D6">
        <w:rPr>
          <w:rFonts w:ascii="아리따-돋움4.0(OTF)-Medium" w:eastAsia="아리따-돋움4.0(OTF)-Medium" w:hAnsi="아리따-돋움4.0(OTF)-Medium" w:hint="eastAsia"/>
        </w:rPr>
        <w:t>약</w:t>
      </w:r>
      <w:r w:rsidRPr="00FD26D6">
        <w:rPr>
          <w:rFonts w:ascii="아리따-돋움4.0(OTF)-Medium" w:eastAsia="아리따-돋움4.0(OTF)-Medium" w:hAnsi="아리따-돋움4.0(OTF)-Medium"/>
        </w:rPr>
        <w:t xml:space="preserve"> 엔티티타입은 테이블로 사상하되 소유 테이블의 주키를 포함시킨다. 생성된 테이블의 주키는 소유 테이블의 주키와 약 엔티티타입의 부분키를 합쳐서 만든다.</w:t>
      </w:r>
    </w:p>
    <w:p w14:paraId="5004A009" w14:textId="77777777" w:rsidR="00FD26D6" w:rsidRPr="00FD26D6" w:rsidRDefault="00FD26D6" w:rsidP="00FD26D6">
      <w:pPr>
        <w:rPr>
          <w:rFonts w:ascii="아리따-돋움4.0(OTF)-Medium" w:eastAsia="아리따-돋움4.0(OTF)-Medium" w:hAnsi="아리따-돋움4.0(OTF)-Medium"/>
        </w:rPr>
      </w:pPr>
      <w:r w:rsidRPr="00FD26D6">
        <w:rPr>
          <w:rFonts w:ascii="아리따-돋움4.0(OTF)-Medium" w:eastAsia="아리따-돋움4.0(OTF)-Medium" w:hAnsi="아리따-돋움4.0(OTF)-Medium"/>
          <w:highlight w:val="yellow"/>
        </w:rPr>
        <w:t>N:M 관계타입 사상 방법</w:t>
      </w:r>
    </w:p>
    <w:p w14:paraId="4845BEF6" w14:textId="5C7C58A7" w:rsidR="00AB139E" w:rsidRPr="00AB139E" w:rsidRDefault="00FD26D6" w:rsidP="00FD26D6">
      <w:pPr>
        <w:rPr>
          <w:rFonts w:ascii="아리따-돋움4.0(OTF)-Medium" w:eastAsia="아리따-돋움4.0(OTF)-Medium" w:hAnsi="아리따-돋움4.0(OTF)-Medium"/>
        </w:rPr>
      </w:pPr>
      <w:r w:rsidRPr="00FD26D6">
        <w:rPr>
          <w:rFonts w:ascii="아리따-돋움4.0(OTF)-Medium" w:eastAsia="아리따-돋움4.0(OTF)-Medium" w:hAnsi="아리따-돋움4.0(OTF)-Medium" w:hint="eastAsia"/>
        </w:rPr>
        <w:t>별도의</w:t>
      </w:r>
      <w:r w:rsidRPr="00FD26D6">
        <w:rPr>
          <w:rFonts w:ascii="아리따-돋움4.0(OTF)-Medium" w:eastAsia="아리따-돋움4.0(OTF)-Medium" w:hAnsi="아리따-돋움4.0(OTF)-Medium"/>
        </w:rPr>
        <w:t xml:space="preserve"> 테이블을 생성하고 관계에 참여하는 두 테이블의 주키를 빌려와 외래키로 구성하고, 각 외래키가 해당 주키를 참조하도록 한다. 빌려온 두 개의 외래키가 새로 생성된 관계 테이블의 주키(복합키 형태)가 된다.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22D54E97" w14:textId="77777777" w:rsidR="00FD26D6" w:rsidRPr="00FD26D6" w:rsidRDefault="00FD26D6" w:rsidP="00FD26D6">
      <w:pPr>
        <w:rPr>
          <w:rFonts w:ascii="아리따-돋움4.0(OTF)-Medium" w:eastAsia="아리따-돋움4.0(OTF)-Medium" w:hAnsi="아리따-돋움4.0(OTF)-Medium"/>
        </w:rPr>
      </w:pPr>
      <w:r w:rsidRPr="00FD26D6">
        <w:rPr>
          <w:rFonts w:ascii="아리따-돋움4.0(OTF)-Medium" w:eastAsia="아리따-돋움4.0(OTF)-Medium" w:hAnsi="아리따-돋움4.0(OTF)-Medium"/>
        </w:rPr>
        <w:t>ER-관계 사상 방법</w:t>
      </w:r>
    </w:p>
    <w:p w14:paraId="4800D969" w14:textId="6C34C4A1" w:rsidR="00F768AE" w:rsidRDefault="00FD26D6" w:rsidP="00FD26D6">
      <w:pPr>
        <w:rPr>
          <w:rFonts w:ascii="아리따-돋움4.0(OTF)-Medium" w:eastAsia="아리따-돋움4.0(OTF)-Medium" w:hAnsi="아리따-돋움4.0(OTF)-Medium"/>
        </w:rPr>
      </w:pPr>
      <w:r w:rsidRPr="00FD26D6">
        <w:rPr>
          <w:rFonts w:ascii="아리따-돋움4.0(OTF)-Medium" w:eastAsia="아리따-돋움4.0(OTF)-Medium" w:hAnsi="아리따-돋움4.0(OTF)-Medium" w:hint="eastAsia"/>
        </w:rPr>
        <w:t>관계</w:t>
      </w:r>
      <w:r w:rsidRPr="00FD26D6">
        <w:rPr>
          <w:rFonts w:ascii="아리따-돋움4.0(OTF)-Medium" w:eastAsia="아리따-돋움4.0(OTF)-Medium" w:hAnsi="아리따-돋움4.0(OTF)-Medium"/>
        </w:rPr>
        <w:t xml:space="preserve"> 카디낼러티 1:1, </w:t>
      </w:r>
      <w:proofErr w:type="gramStart"/>
      <w:r w:rsidRPr="00FD26D6">
        <w:rPr>
          <w:rFonts w:ascii="아리따-돋움4.0(OTF)-Medium" w:eastAsia="아리따-돋움4.0(OTF)-Medium" w:hAnsi="아리따-돋움4.0(OTF)-Medium"/>
        </w:rPr>
        <w:t>1:N</w:t>
      </w:r>
      <w:proofErr w:type="gramEnd"/>
      <w:r w:rsidRPr="00FD26D6">
        <w:rPr>
          <w:rFonts w:ascii="아리따-돋움4.0(OTF)-Medium" w:eastAsia="아리따-돋움4.0(OTF)-Medium" w:hAnsi="아리따-돋움4.0(OTF)-Medium"/>
        </w:rPr>
        <w:t>, N:M에 의한 사상방법</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4EFF277C" w14:textId="77777777" w:rsidR="00FD26D6" w:rsidRPr="00FD26D6" w:rsidRDefault="00FD26D6" w:rsidP="00FD26D6">
      <w:pPr>
        <w:rPr>
          <w:rFonts w:ascii="아리따-돋움4.0(OTF)-Medium" w:eastAsia="아리따-돋움4.0(OTF)-Medium" w:hAnsi="아리따-돋움4.0(OTF)-Medium"/>
        </w:rPr>
      </w:pPr>
      <w:r w:rsidRPr="00FD26D6">
        <w:rPr>
          <w:rFonts w:ascii="아리따-돋움4.0(OTF)-Medium" w:eastAsia="아리따-돋움4.0(OTF)-Medium" w:hAnsi="아리따-돋움4.0(OTF)-Medium"/>
        </w:rPr>
        <w:t>ER-관계 사상 방법에 대해 설명할 수 있다.</w:t>
      </w:r>
    </w:p>
    <w:p w14:paraId="35BE62E9" w14:textId="2D9AABDF" w:rsidR="000E4AE9" w:rsidRDefault="00FD26D6" w:rsidP="00FD26D6">
      <w:pPr>
        <w:rPr>
          <w:rFonts w:ascii="아리따-돋움4.0(OTF)-Medium" w:eastAsia="아리따-돋움4.0(OTF)-Medium" w:hAnsi="아리따-돋움4.0(OTF)-Medium"/>
        </w:rPr>
      </w:pPr>
      <w:r w:rsidRPr="00FD26D6">
        <w:rPr>
          <w:rFonts w:ascii="아리따-돋움4.0(OTF)-Medium" w:eastAsia="아리따-돋움4.0(OTF)-Medium" w:hAnsi="아리따-돋움4.0(OTF)-Medium" w:hint="eastAsia"/>
        </w:rPr>
        <w:t>관계</w:t>
      </w:r>
      <w:r w:rsidRPr="00FD26D6">
        <w:rPr>
          <w:rFonts w:ascii="아리따-돋움4.0(OTF)-Medium" w:eastAsia="아리따-돋움4.0(OTF)-Medium" w:hAnsi="아리따-돋움4.0(OTF)-Medium"/>
        </w:rPr>
        <w:t xml:space="preserve"> 카디낼러티에 의한 사상 방법을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68A5FBA6"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FD26D6">
        <w:rPr>
          <w:rFonts w:ascii="아리따-돋움4.0(OTF)-Medium" w:eastAsia="아리따-돋움4.0(OTF)-Medium" w:hAnsi="아리따-돋움4.0(OTF)-Medium"/>
        </w:rPr>
        <w:t xml:space="preserve"> </w:t>
      </w:r>
      <w:r w:rsidR="00FD26D6" w:rsidRPr="00FD26D6">
        <w:rPr>
          <w:rFonts w:ascii="아리따-돋움4.0(OTF)-Medium" w:eastAsia="아리따-돋움4.0(OTF)-Medium" w:hAnsi="아리따-돋움4.0(OTF)-Medium"/>
        </w:rPr>
        <w:t>ER 모델에서 관계 모델로 사상하는 데 있어 중요한 역할을 하는 것은 무엇일까요?</w:t>
      </w:r>
    </w:p>
    <w:p w14:paraId="758E21CC" w14:textId="3DE8A83F"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FD26D6">
        <w:rPr>
          <w:rFonts w:ascii="아리따-돋움4.0(OTF)-Medium" w:eastAsia="아리따-돋움4.0(OTF)-Medium" w:hAnsi="아리따-돋움4.0(OTF)-Medium"/>
        </w:rPr>
        <w:t xml:space="preserve"> </w:t>
      </w:r>
      <w:r w:rsidR="00FD26D6" w:rsidRPr="00FD26D6">
        <w:rPr>
          <w:rFonts w:ascii="아리따-돋움4.0(OTF)-Medium" w:eastAsia="아리따-돋움4.0(OTF)-Medium" w:hAnsi="아리따-돋움4.0(OTF)-Medium"/>
        </w:rPr>
        <w:t>ERD의 관계 카디낼러티에 의해 이미 만들어진 릴레이션에 외래키를 사상할 것인지, 새로운 릴레이션을 만들어 사상할 것인지가 결정되며, ERD의 참여제약에 의해 외래키가 null 값을 가질 것인지 아닐 것인지가 결정됩니다. 또한 사상에 있어 주키와 외래키가 릴레이션 내 튜플의 식별과 릴레이션 간 참조를 표현하는데 있어 중요한 역할을 담당합니다.</w:t>
      </w:r>
    </w:p>
    <w:p w14:paraId="644CEB21" w14:textId="75E533D1" w:rsidR="00E63AC9" w:rsidRDefault="00E63AC9" w:rsidP="00BF361C">
      <w:pPr>
        <w:rPr>
          <w:rFonts w:ascii="아리따-돋움4.0(OTF)-Medium" w:eastAsia="아리따-돋움4.0(OTF)-Medium" w:hAnsi="아리따-돋움4.0(OTF)-Medium"/>
        </w:rPr>
      </w:pPr>
    </w:p>
    <w:p w14:paraId="7501C92A" w14:textId="78678172" w:rsidR="00E63AC9" w:rsidRPr="00311A12" w:rsidRDefault="00FD26D6"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35DDF829" wp14:editId="3398A798">
            <wp:extent cx="5121084" cy="4275190"/>
            <wp:effectExtent l="0" t="0" r="381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5121084" cy="4275190"/>
                    </a:xfrm>
                    <a:prstGeom prst="rect">
                      <a:avLst/>
                    </a:prstGeom>
                  </pic:spPr>
                </pic:pic>
              </a:graphicData>
            </a:graphic>
          </wp:inline>
        </w:drawing>
      </w: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4F803" w14:textId="77777777" w:rsidR="00021105" w:rsidRDefault="00021105" w:rsidP="00AB139E">
      <w:pPr>
        <w:spacing w:after="0" w:line="240" w:lineRule="auto"/>
      </w:pPr>
      <w:r>
        <w:separator/>
      </w:r>
    </w:p>
  </w:endnote>
  <w:endnote w:type="continuationSeparator" w:id="0">
    <w:p w14:paraId="545536FE" w14:textId="77777777" w:rsidR="00021105" w:rsidRDefault="00021105"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0C9E6" w14:textId="77777777" w:rsidR="00021105" w:rsidRDefault="00021105" w:rsidP="00AB139E">
      <w:pPr>
        <w:spacing w:after="0" w:line="240" w:lineRule="auto"/>
      </w:pPr>
      <w:r>
        <w:separator/>
      </w:r>
    </w:p>
  </w:footnote>
  <w:footnote w:type="continuationSeparator" w:id="0">
    <w:p w14:paraId="65D159BC" w14:textId="77777777" w:rsidR="00021105" w:rsidRDefault="00021105"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21105"/>
    <w:rsid w:val="00042FD7"/>
    <w:rsid w:val="000E4AE9"/>
    <w:rsid w:val="00210C16"/>
    <w:rsid w:val="00311A12"/>
    <w:rsid w:val="003160AD"/>
    <w:rsid w:val="003D7398"/>
    <w:rsid w:val="005612A1"/>
    <w:rsid w:val="005845B6"/>
    <w:rsid w:val="00614918"/>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768AE"/>
    <w:rsid w:val="00FD26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482025">
      <w:bodyDiv w:val="1"/>
      <w:marLeft w:val="0"/>
      <w:marRight w:val="0"/>
      <w:marTop w:val="0"/>
      <w:marBottom w:val="0"/>
      <w:divBdr>
        <w:top w:val="none" w:sz="0" w:space="0" w:color="auto"/>
        <w:left w:val="none" w:sz="0" w:space="0" w:color="auto"/>
        <w:bottom w:val="none" w:sz="0" w:space="0" w:color="auto"/>
        <w:right w:val="none" w:sz="0" w:space="0" w:color="auto"/>
      </w:divBdr>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344937936">
      <w:bodyDiv w:val="1"/>
      <w:marLeft w:val="0"/>
      <w:marRight w:val="0"/>
      <w:marTop w:val="0"/>
      <w:marBottom w:val="0"/>
      <w:divBdr>
        <w:top w:val="none" w:sz="0" w:space="0" w:color="auto"/>
        <w:left w:val="none" w:sz="0" w:space="0" w:color="auto"/>
        <w:bottom w:val="none" w:sz="0" w:space="0" w:color="auto"/>
        <w:right w:val="none" w:sz="0" w:space="0" w:color="auto"/>
      </w:divBdr>
      <w:divsChild>
        <w:div w:id="1098210184">
          <w:marLeft w:val="0"/>
          <w:marRight w:val="0"/>
          <w:marTop w:val="0"/>
          <w:marBottom w:val="0"/>
          <w:divBdr>
            <w:top w:val="none" w:sz="0" w:space="0" w:color="auto"/>
            <w:left w:val="none" w:sz="0" w:space="0" w:color="auto"/>
            <w:bottom w:val="none" w:sz="0" w:space="0" w:color="auto"/>
            <w:right w:val="none" w:sz="0" w:space="0" w:color="auto"/>
          </w:divBdr>
          <w:divsChild>
            <w:div w:id="666440687">
              <w:marLeft w:val="0"/>
              <w:marRight w:val="0"/>
              <w:marTop w:val="0"/>
              <w:marBottom w:val="0"/>
              <w:divBdr>
                <w:top w:val="none" w:sz="0" w:space="0" w:color="auto"/>
                <w:left w:val="none" w:sz="0" w:space="0" w:color="auto"/>
                <w:bottom w:val="none" w:sz="0" w:space="0" w:color="auto"/>
                <w:right w:val="none" w:sz="0" w:space="0" w:color="auto"/>
              </w:divBdr>
              <w:divsChild>
                <w:div w:id="1986229587">
                  <w:marLeft w:val="0"/>
                  <w:marRight w:val="0"/>
                  <w:marTop w:val="0"/>
                  <w:marBottom w:val="0"/>
                  <w:divBdr>
                    <w:top w:val="none" w:sz="0" w:space="0" w:color="auto"/>
                    <w:left w:val="none" w:sz="0" w:space="0" w:color="auto"/>
                    <w:bottom w:val="none" w:sz="0" w:space="0" w:color="auto"/>
                    <w:right w:val="none" w:sz="0" w:space="0" w:color="auto"/>
                  </w:divBdr>
                  <w:divsChild>
                    <w:div w:id="2307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32153229">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676247">
      <w:bodyDiv w:val="1"/>
      <w:marLeft w:val="0"/>
      <w:marRight w:val="0"/>
      <w:marTop w:val="0"/>
      <w:marBottom w:val="0"/>
      <w:divBdr>
        <w:top w:val="none" w:sz="0" w:space="0" w:color="auto"/>
        <w:left w:val="none" w:sz="0" w:space="0" w:color="auto"/>
        <w:bottom w:val="none" w:sz="0" w:space="0" w:color="auto"/>
        <w:right w:val="none" w:sz="0" w:space="0" w:color="auto"/>
      </w:divBdr>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493906816">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4157689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17938572">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102</Words>
  <Characters>588</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2021-08-16T03:10:00Z</dcterms:modified>
</cp:coreProperties>
</file>