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6901" w:rsidRDefault="00F36901" w:rsidP="008F5203">
      <w:pPr>
        <w:widowControl w:val="0"/>
        <w:tabs>
          <w:tab w:val="right" w:pos="9360"/>
        </w:tabs>
      </w:pPr>
      <w:r w:rsidRPr="00844D0A">
        <w:rPr>
          <w:highlight w:val="yellow"/>
        </w:rPr>
        <w:t xml:space="preserve">Yellow </w:t>
      </w:r>
      <w:proofErr w:type="spellStart"/>
      <w:r w:rsidRPr="00844D0A">
        <w:rPr>
          <w:highlight w:val="yellow"/>
        </w:rPr>
        <w:t>hilite</w:t>
      </w:r>
      <w:proofErr w:type="spellEnd"/>
      <w:r>
        <w:rPr>
          <w:highlight w:val="yellow"/>
        </w:rPr>
        <w:t>:</w:t>
      </w:r>
      <w:r w:rsidRPr="00844D0A">
        <w:rPr>
          <w:highlight w:val="yellow"/>
        </w:rPr>
        <w:t xml:space="preserve"> notes from </w:t>
      </w:r>
      <w:r>
        <w:rPr>
          <w:highlight w:val="yellow"/>
        </w:rPr>
        <w:t>Sachs</w:t>
      </w:r>
      <w:r w:rsidRPr="00844D0A">
        <w:rPr>
          <w:highlight w:val="yellow"/>
        </w:rPr>
        <w:t xml:space="preserve"> to</w:t>
      </w:r>
      <w:r w:rsidRPr="00AA574E">
        <w:rPr>
          <w:highlight w:val="yellow"/>
        </w:rPr>
        <w:t xml:space="preserve"> Sachs</w:t>
      </w:r>
    </w:p>
    <w:p w:rsidR="00F36901" w:rsidRDefault="00F36901" w:rsidP="008F5203">
      <w:pPr>
        <w:widowControl w:val="0"/>
        <w:tabs>
          <w:tab w:val="right" w:pos="9360"/>
        </w:tabs>
      </w:pPr>
      <w:r>
        <w:t xml:space="preserve">This is an outline, with cryptic notes that need verbal explanations when we meet, for learning to write a paper for radiobiologists – a </w:t>
      </w:r>
      <w:r w:rsidRPr="00CB6DD2">
        <w:rPr>
          <w:u w:val="single"/>
        </w:rPr>
        <w:t>strictly</w:t>
      </w:r>
      <w:r>
        <w:t xml:space="preserve"> optional, very time consuming if applied to a whole section like Methods or Results, very instructive for you guys (per se and as regards understanding our eventual paper), and very useful for me. For at least the next month This </w:t>
      </w:r>
      <w:proofErr w:type="gramStart"/>
      <w:r>
        <w:t>outline,</w:t>
      </w:r>
      <w:proofErr w:type="gramEnd"/>
      <w:r>
        <w:t xml:space="preserve"> and anything you guys write for the paper, will be subject to major changes, as I learn more about the paper by writing the paper. This outline starts with a table of contents and a fairly coherent fragment of the Introduction. The rest is merely a guess at subsecti</w:t>
      </w:r>
      <w:r w:rsidR="000C3231">
        <w:t xml:space="preserve">ons of the Methods sections </w:t>
      </w:r>
      <w:r>
        <w:t xml:space="preserve">some hasty notes, mainly to myself, </w:t>
      </w:r>
      <w:r w:rsidR="000C3231">
        <w:t xml:space="preserve">and the start of a bibliography </w:t>
      </w:r>
      <w:r>
        <w:t>that hopefully can be improved before we meet though I just got another “urgent” NASA assignment a couple of minutes ago.</w:t>
      </w:r>
    </w:p>
    <w:p w:rsidR="00F36901" w:rsidRDefault="00F36901" w:rsidP="00BC6E39">
      <w:pPr>
        <w:pStyle w:val="Heading2"/>
      </w:pPr>
      <w:r>
        <w:t>Table of Contents</w:t>
      </w:r>
    </w:p>
    <w:p w:rsidR="00F36901" w:rsidRDefault="00F36901" w:rsidP="00A7497D">
      <w:pPr>
        <w:pStyle w:val="TOC1"/>
        <w:spacing w:line="240" w:lineRule="auto"/>
        <w:rPr>
          <w:rFonts w:asciiTheme="minorHAnsi" w:eastAsiaTheme="minorEastAsia" w:hAnsiTheme="minorHAnsi" w:cstheme="minorBidi"/>
          <w:b w:val="0"/>
          <w:bCs w:val="0"/>
          <w:sz w:val="22"/>
          <w:szCs w:val="22"/>
        </w:rPr>
      </w:pPr>
      <w:r>
        <w:fldChar w:fldCharType="begin"/>
      </w:r>
      <w:r>
        <w:instrText xml:space="preserve"> TOC \o "1-4" \u </w:instrText>
      </w:r>
      <w:r>
        <w:fldChar w:fldCharType="separate"/>
      </w:r>
      <w:r>
        <w:t>Synergy analysis for mouse Harderian gland radiation tumorigenesis induced by mixed beams whose individual components are simulated galactic cosmic rays</w:t>
      </w:r>
      <w:r>
        <w:tab/>
      </w:r>
      <w:r>
        <w:fldChar w:fldCharType="begin"/>
      </w:r>
      <w:r>
        <w:instrText xml:space="preserve"> PAGEREF _Toc494807936 \h </w:instrText>
      </w:r>
      <w:r>
        <w:fldChar w:fldCharType="separate"/>
      </w:r>
      <w:r>
        <w:t>2</w:t>
      </w:r>
      <w:r>
        <w:fldChar w:fldCharType="end"/>
      </w:r>
    </w:p>
    <w:p w:rsidR="00F36901" w:rsidRDefault="00F36901" w:rsidP="00A7497D">
      <w:pPr>
        <w:pStyle w:val="TOC2"/>
        <w:spacing w:line="240" w:lineRule="auto"/>
        <w:rPr>
          <w:rFonts w:asciiTheme="minorHAnsi" w:eastAsiaTheme="minorEastAsia" w:hAnsiTheme="minorHAnsi" w:cstheme="minorBidi"/>
          <w:b w:val="0"/>
          <w:iCs w:val="0"/>
          <w:noProof/>
          <w:sz w:val="22"/>
          <w:szCs w:val="22"/>
        </w:rPr>
      </w:pPr>
      <w:r>
        <w:rPr>
          <w:noProof/>
        </w:rPr>
        <w:t>1. Introduction</w:t>
      </w:r>
      <w:r>
        <w:rPr>
          <w:noProof/>
        </w:rPr>
        <w:tab/>
      </w:r>
      <w:r>
        <w:rPr>
          <w:noProof/>
        </w:rPr>
        <w:fldChar w:fldCharType="begin"/>
      </w:r>
      <w:r>
        <w:rPr>
          <w:noProof/>
        </w:rPr>
        <w:instrText xml:space="preserve"> PAGEREF _Toc494807937 \h </w:instrText>
      </w:r>
      <w:r>
        <w:rPr>
          <w:noProof/>
        </w:rPr>
      </w:r>
      <w:r>
        <w:rPr>
          <w:noProof/>
        </w:rPr>
        <w:fldChar w:fldCharType="separate"/>
      </w:r>
      <w:r>
        <w:rPr>
          <w:noProof/>
        </w:rPr>
        <w:t>4</w:t>
      </w:r>
      <w:r>
        <w:rPr>
          <w:noProof/>
        </w:rPr>
        <w:fldChar w:fldCharType="end"/>
      </w:r>
    </w:p>
    <w:p w:rsidR="00F36901" w:rsidRDefault="00F36901" w:rsidP="00A7497D">
      <w:pPr>
        <w:pStyle w:val="TOC3"/>
        <w:spacing w:line="240" w:lineRule="auto"/>
        <w:rPr>
          <w:rFonts w:asciiTheme="minorHAnsi" w:eastAsiaTheme="minorEastAsia" w:hAnsiTheme="minorHAnsi" w:cstheme="minorBidi"/>
          <w:noProof/>
          <w:szCs w:val="22"/>
        </w:rPr>
      </w:pPr>
      <w:r>
        <w:rPr>
          <w:noProof/>
        </w:rPr>
        <w:t>1.1.</w:t>
      </w:r>
      <w:r w:rsidRPr="00DA47B6">
        <w:rPr>
          <w:rFonts w:asciiTheme="majorHAnsi" w:hAnsiTheme="majorHAnsi"/>
          <w:bCs/>
          <w:iCs/>
          <w:noProof/>
        </w:rPr>
        <w:t xml:space="preserve"> Terminology</w:t>
      </w:r>
      <w:r>
        <w:rPr>
          <w:noProof/>
        </w:rPr>
        <w:tab/>
      </w:r>
      <w:r>
        <w:rPr>
          <w:noProof/>
        </w:rPr>
        <w:fldChar w:fldCharType="begin"/>
      </w:r>
      <w:r>
        <w:rPr>
          <w:noProof/>
        </w:rPr>
        <w:instrText xml:space="preserve"> PAGEREF _Toc494807938 \h </w:instrText>
      </w:r>
      <w:r>
        <w:rPr>
          <w:noProof/>
        </w:rPr>
      </w:r>
      <w:r>
        <w:rPr>
          <w:noProof/>
        </w:rPr>
        <w:fldChar w:fldCharType="separate"/>
      </w:r>
      <w:r>
        <w:rPr>
          <w:noProof/>
        </w:rPr>
        <w:t>4</w:t>
      </w:r>
      <w:r>
        <w:rPr>
          <w:noProof/>
        </w:rPr>
        <w:fldChar w:fldCharType="end"/>
      </w:r>
    </w:p>
    <w:p w:rsidR="00F36901" w:rsidRDefault="00F36901" w:rsidP="00A7497D">
      <w:pPr>
        <w:pStyle w:val="TOC3"/>
        <w:spacing w:line="240" w:lineRule="auto"/>
        <w:rPr>
          <w:rFonts w:asciiTheme="minorHAnsi" w:eastAsiaTheme="minorEastAsia" w:hAnsiTheme="minorHAnsi" w:cstheme="minorBidi"/>
          <w:noProof/>
          <w:szCs w:val="22"/>
        </w:rPr>
      </w:pPr>
      <w:r>
        <w:rPr>
          <w:noProof/>
        </w:rPr>
        <w:t>1.2. Scope of Paper</w:t>
      </w:r>
      <w:r>
        <w:rPr>
          <w:noProof/>
        </w:rPr>
        <w:tab/>
      </w:r>
      <w:r>
        <w:rPr>
          <w:noProof/>
        </w:rPr>
        <w:fldChar w:fldCharType="begin"/>
      </w:r>
      <w:r>
        <w:rPr>
          <w:noProof/>
        </w:rPr>
        <w:instrText xml:space="preserve"> PAGEREF _Toc494807939 \h </w:instrText>
      </w:r>
      <w:r>
        <w:rPr>
          <w:noProof/>
        </w:rPr>
      </w:r>
      <w:r>
        <w:rPr>
          <w:noProof/>
        </w:rPr>
        <w:fldChar w:fldCharType="separate"/>
      </w:r>
      <w:r>
        <w:rPr>
          <w:noProof/>
        </w:rPr>
        <w:t>4</w:t>
      </w:r>
      <w:r>
        <w:rPr>
          <w:noProof/>
        </w:rPr>
        <w:fldChar w:fldCharType="end"/>
      </w:r>
    </w:p>
    <w:p w:rsidR="00F36901" w:rsidRDefault="00F36901" w:rsidP="00A7497D">
      <w:pPr>
        <w:pStyle w:val="TOC3"/>
        <w:spacing w:line="240" w:lineRule="auto"/>
        <w:rPr>
          <w:rFonts w:asciiTheme="minorHAnsi" w:eastAsiaTheme="minorEastAsia" w:hAnsiTheme="minorHAnsi" w:cstheme="minorBidi"/>
          <w:noProof/>
          <w:szCs w:val="22"/>
        </w:rPr>
      </w:pPr>
      <w:r>
        <w:rPr>
          <w:noProof/>
        </w:rPr>
        <w:t>1.3. Synergy Analysis</w:t>
      </w:r>
      <w:r>
        <w:rPr>
          <w:noProof/>
        </w:rPr>
        <w:tab/>
      </w:r>
      <w:r>
        <w:rPr>
          <w:noProof/>
        </w:rPr>
        <w:fldChar w:fldCharType="begin"/>
      </w:r>
      <w:r>
        <w:rPr>
          <w:noProof/>
        </w:rPr>
        <w:instrText xml:space="preserve"> PAGEREF _Toc494807940 \h </w:instrText>
      </w:r>
      <w:r>
        <w:rPr>
          <w:noProof/>
        </w:rPr>
      </w:r>
      <w:r>
        <w:rPr>
          <w:noProof/>
        </w:rPr>
        <w:fldChar w:fldCharType="separate"/>
      </w:r>
      <w:r>
        <w:rPr>
          <w:noProof/>
        </w:rPr>
        <w:t>5</w:t>
      </w:r>
      <w:r>
        <w:rPr>
          <w:noProof/>
        </w:rPr>
        <w:fldChar w:fldCharType="end"/>
      </w:r>
    </w:p>
    <w:p w:rsidR="00F36901" w:rsidRDefault="00F36901" w:rsidP="00A7497D">
      <w:pPr>
        <w:pStyle w:val="TOC4"/>
        <w:spacing w:line="240" w:lineRule="auto"/>
        <w:rPr>
          <w:rFonts w:asciiTheme="minorHAnsi" w:eastAsiaTheme="minorEastAsia" w:hAnsiTheme="minorHAnsi" w:cstheme="minorBidi"/>
          <w:noProof/>
          <w:sz w:val="22"/>
          <w:szCs w:val="22"/>
        </w:rPr>
      </w:pPr>
      <w:r>
        <w:rPr>
          <w:noProof/>
        </w:rPr>
        <w:t>1.3.1. A Brief History of Synergy Theory</w:t>
      </w:r>
      <w:r>
        <w:rPr>
          <w:noProof/>
        </w:rPr>
        <w:tab/>
      </w:r>
      <w:r>
        <w:rPr>
          <w:noProof/>
        </w:rPr>
        <w:fldChar w:fldCharType="begin"/>
      </w:r>
      <w:r>
        <w:rPr>
          <w:noProof/>
        </w:rPr>
        <w:instrText xml:space="preserve"> PAGEREF _Toc494807941 \h </w:instrText>
      </w:r>
      <w:r>
        <w:rPr>
          <w:noProof/>
        </w:rPr>
      </w:r>
      <w:r>
        <w:rPr>
          <w:noProof/>
        </w:rPr>
        <w:fldChar w:fldCharType="separate"/>
      </w:r>
      <w:r>
        <w:rPr>
          <w:noProof/>
        </w:rPr>
        <w:t>5</w:t>
      </w:r>
      <w:r>
        <w:rPr>
          <w:noProof/>
        </w:rPr>
        <w:fldChar w:fldCharType="end"/>
      </w:r>
    </w:p>
    <w:p w:rsidR="00F36901" w:rsidRDefault="00F36901" w:rsidP="00A7497D">
      <w:pPr>
        <w:pStyle w:val="TOC3"/>
        <w:spacing w:line="240" w:lineRule="auto"/>
        <w:rPr>
          <w:rFonts w:asciiTheme="minorHAnsi" w:eastAsiaTheme="minorEastAsia" w:hAnsiTheme="minorHAnsi" w:cstheme="minorBidi"/>
          <w:noProof/>
          <w:szCs w:val="22"/>
        </w:rPr>
      </w:pPr>
      <w:r>
        <w:rPr>
          <w:noProof/>
        </w:rPr>
        <w:t>Lots more stuff here</w:t>
      </w:r>
      <w:r>
        <w:rPr>
          <w:noProof/>
        </w:rPr>
        <w:tab/>
      </w:r>
      <w:r>
        <w:rPr>
          <w:noProof/>
        </w:rPr>
        <w:fldChar w:fldCharType="begin"/>
      </w:r>
      <w:r>
        <w:rPr>
          <w:noProof/>
        </w:rPr>
        <w:instrText xml:space="preserve"> PAGEREF _Toc494807942 \h </w:instrText>
      </w:r>
      <w:r>
        <w:rPr>
          <w:noProof/>
        </w:rPr>
      </w:r>
      <w:r>
        <w:rPr>
          <w:noProof/>
        </w:rPr>
        <w:fldChar w:fldCharType="separate"/>
      </w:r>
      <w:r>
        <w:rPr>
          <w:noProof/>
        </w:rPr>
        <w:t>5</w:t>
      </w:r>
      <w:r>
        <w:rPr>
          <w:noProof/>
        </w:rPr>
        <w:fldChar w:fldCharType="end"/>
      </w:r>
    </w:p>
    <w:p w:rsidR="00F36901" w:rsidRDefault="00F36901" w:rsidP="00A7497D">
      <w:pPr>
        <w:pStyle w:val="TOC2"/>
        <w:spacing w:line="240" w:lineRule="auto"/>
        <w:rPr>
          <w:rFonts w:asciiTheme="minorHAnsi" w:eastAsiaTheme="minorEastAsia" w:hAnsiTheme="minorHAnsi" w:cstheme="minorBidi"/>
          <w:b w:val="0"/>
          <w:iCs w:val="0"/>
          <w:noProof/>
          <w:sz w:val="22"/>
          <w:szCs w:val="22"/>
        </w:rPr>
      </w:pPr>
      <w:r>
        <w:rPr>
          <w:noProof/>
        </w:rPr>
        <w:t>2. Mathematical and Computational Methods</w:t>
      </w:r>
      <w:r>
        <w:rPr>
          <w:noProof/>
        </w:rPr>
        <w:tab/>
      </w:r>
      <w:r>
        <w:rPr>
          <w:noProof/>
        </w:rPr>
        <w:fldChar w:fldCharType="begin"/>
      </w:r>
      <w:r>
        <w:rPr>
          <w:noProof/>
        </w:rPr>
        <w:instrText xml:space="preserve"> PAGEREF _Toc494807943 \h </w:instrText>
      </w:r>
      <w:r>
        <w:rPr>
          <w:noProof/>
        </w:rPr>
      </w:r>
      <w:r>
        <w:rPr>
          <w:noProof/>
        </w:rPr>
        <w:fldChar w:fldCharType="separate"/>
      </w:r>
      <w:r>
        <w:rPr>
          <w:noProof/>
        </w:rPr>
        <w:t>5</w:t>
      </w:r>
      <w:r>
        <w:rPr>
          <w:noProof/>
        </w:rPr>
        <w:fldChar w:fldCharType="end"/>
      </w:r>
    </w:p>
    <w:p w:rsidR="00F36901" w:rsidRDefault="00F36901" w:rsidP="00A7497D">
      <w:pPr>
        <w:pStyle w:val="TOC3"/>
        <w:spacing w:line="240" w:lineRule="auto"/>
        <w:rPr>
          <w:rFonts w:asciiTheme="minorHAnsi" w:eastAsiaTheme="minorEastAsia" w:hAnsiTheme="minorHAnsi" w:cstheme="minorBidi"/>
          <w:noProof/>
          <w:szCs w:val="22"/>
        </w:rPr>
      </w:pPr>
      <w:r>
        <w:rPr>
          <w:noProof/>
        </w:rPr>
        <w:t>2.1. Open-Source, Freely Available Programs</w:t>
      </w:r>
      <w:r>
        <w:rPr>
          <w:noProof/>
        </w:rPr>
        <w:tab/>
      </w:r>
      <w:r>
        <w:rPr>
          <w:noProof/>
        </w:rPr>
        <w:fldChar w:fldCharType="begin"/>
      </w:r>
      <w:r>
        <w:rPr>
          <w:noProof/>
        </w:rPr>
        <w:instrText xml:space="preserve"> PAGEREF _Toc494807944 \h </w:instrText>
      </w:r>
      <w:r>
        <w:rPr>
          <w:noProof/>
        </w:rPr>
      </w:r>
      <w:r>
        <w:rPr>
          <w:noProof/>
        </w:rPr>
        <w:fldChar w:fldCharType="separate"/>
      </w:r>
      <w:r>
        <w:rPr>
          <w:noProof/>
        </w:rPr>
        <w:t>5</w:t>
      </w:r>
      <w:r>
        <w:rPr>
          <w:noProof/>
        </w:rPr>
        <w:fldChar w:fldCharType="end"/>
      </w:r>
    </w:p>
    <w:p w:rsidR="00F36901" w:rsidRDefault="00F36901" w:rsidP="00A7497D">
      <w:pPr>
        <w:pStyle w:val="TOC3"/>
        <w:spacing w:line="240" w:lineRule="auto"/>
        <w:rPr>
          <w:rFonts w:asciiTheme="minorHAnsi" w:eastAsiaTheme="minorEastAsia" w:hAnsiTheme="minorHAnsi" w:cstheme="minorBidi"/>
          <w:noProof/>
          <w:szCs w:val="22"/>
        </w:rPr>
      </w:pPr>
      <w:r>
        <w:rPr>
          <w:noProof/>
        </w:rPr>
        <w:t xml:space="preserve">2.2. IDERs: General Approach </w:t>
      </w:r>
      <w:r w:rsidRPr="00A7497D">
        <w:rPr>
          <w:noProof/>
          <w:sz w:val="16"/>
          <w:szCs w:val="16"/>
          <w:highlight w:val="yellow"/>
        </w:rPr>
        <w:t>[almost always use toy examples for 1</w:t>
      </w:r>
      <w:r w:rsidRPr="00A7497D">
        <w:rPr>
          <w:noProof/>
          <w:sz w:val="16"/>
          <w:szCs w:val="16"/>
          <w:highlight w:val="yellow"/>
          <w:vertAlign w:val="superscript"/>
        </w:rPr>
        <w:t>st</w:t>
      </w:r>
      <w:r w:rsidRPr="00A7497D">
        <w:rPr>
          <w:noProof/>
          <w:sz w:val="16"/>
          <w:szCs w:val="16"/>
          <w:highlight w:val="yellow"/>
        </w:rPr>
        <w:t xml:space="preserve"> year 1-variable calculus audience]</w:t>
      </w:r>
      <w:r>
        <w:rPr>
          <w:noProof/>
        </w:rPr>
        <w:tab/>
      </w:r>
      <w:r>
        <w:rPr>
          <w:noProof/>
        </w:rPr>
        <w:fldChar w:fldCharType="begin"/>
      </w:r>
      <w:r>
        <w:rPr>
          <w:noProof/>
        </w:rPr>
        <w:instrText xml:space="preserve"> PAGEREF _Toc494807945 \h </w:instrText>
      </w:r>
      <w:r>
        <w:rPr>
          <w:noProof/>
        </w:rPr>
      </w:r>
      <w:r>
        <w:rPr>
          <w:noProof/>
        </w:rPr>
        <w:fldChar w:fldCharType="separate"/>
      </w:r>
      <w:r>
        <w:rPr>
          <w:noProof/>
        </w:rPr>
        <w:t>5</w:t>
      </w:r>
      <w:r>
        <w:rPr>
          <w:noProof/>
        </w:rPr>
        <w:fldChar w:fldCharType="end"/>
      </w:r>
    </w:p>
    <w:p w:rsidR="00F36901" w:rsidRDefault="00F36901" w:rsidP="00A7497D">
      <w:pPr>
        <w:pStyle w:val="TOC4"/>
        <w:spacing w:line="240" w:lineRule="auto"/>
        <w:rPr>
          <w:rFonts w:asciiTheme="minorHAnsi" w:eastAsiaTheme="minorEastAsia" w:hAnsiTheme="minorHAnsi" w:cstheme="minorBidi"/>
          <w:noProof/>
          <w:sz w:val="22"/>
          <w:szCs w:val="22"/>
        </w:rPr>
      </w:pPr>
      <w:r>
        <w:rPr>
          <w:noProof/>
        </w:rPr>
        <w:t>2.2.1. General Requirements on IDERS</w:t>
      </w:r>
      <w:r>
        <w:rPr>
          <w:noProof/>
        </w:rPr>
        <w:tab/>
      </w:r>
      <w:r>
        <w:rPr>
          <w:noProof/>
        </w:rPr>
        <w:fldChar w:fldCharType="begin"/>
      </w:r>
      <w:r>
        <w:rPr>
          <w:noProof/>
        </w:rPr>
        <w:instrText xml:space="preserve"> PAGEREF _Toc494807946 \h </w:instrText>
      </w:r>
      <w:r>
        <w:rPr>
          <w:noProof/>
        </w:rPr>
      </w:r>
      <w:r>
        <w:rPr>
          <w:noProof/>
        </w:rPr>
        <w:fldChar w:fldCharType="separate"/>
      </w:r>
      <w:r>
        <w:rPr>
          <w:noProof/>
        </w:rPr>
        <w:t>5</w:t>
      </w:r>
      <w:r>
        <w:rPr>
          <w:noProof/>
        </w:rPr>
        <w:fldChar w:fldCharType="end"/>
      </w:r>
    </w:p>
    <w:p w:rsidR="00F36901" w:rsidRDefault="00F36901" w:rsidP="00A7497D">
      <w:pPr>
        <w:pStyle w:val="TOC4"/>
        <w:spacing w:line="240" w:lineRule="auto"/>
        <w:rPr>
          <w:rFonts w:asciiTheme="minorHAnsi" w:eastAsiaTheme="minorEastAsia" w:hAnsiTheme="minorHAnsi" w:cstheme="minorBidi"/>
          <w:noProof/>
          <w:sz w:val="22"/>
          <w:szCs w:val="22"/>
        </w:rPr>
      </w:pPr>
      <w:r>
        <w:rPr>
          <w:noProof/>
        </w:rPr>
        <w:t>2.2.2. Concave/Convex Terminology as Regards Second Derivatives</w:t>
      </w:r>
      <w:r>
        <w:rPr>
          <w:noProof/>
        </w:rPr>
        <w:tab/>
      </w:r>
      <w:r>
        <w:rPr>
          <w:noProof/>
        </w:rPr>
        <w:fldChar w:fldCharType="begin"/>
      </w:r>
      <w:r>
        <w:rPr>
          <w:noProof/>
        </w:rPr>
        <w:instrText xml:space="preserve"> PAGEREF _Toc494807947 \h </w:instrText>
      </w:r>
      <w:r>
        <w:rPr>
          <w:noProof/>
        </w:rPr>
      </w:r>
      <w:r>
        <w:rPr>
          <w:noProof/>
        </w:rPr>
        <w:fldChar w:fldCharType="separate"/>
      </w:r>
      <w:r>
        <w:rPr>
          <w:noProof/>
        </w:rPr>
        <w:t>5</w:t>
      </w:r>
      <w:r>
        <w:rPr>
          <w:noProof/>
        </w:rPr>
        <w:fldChar w:fldCharType="end"/>
      </w:r>
    </w:p>
    <w:p w:rsidR="00F36901" w:rsidRDefault="00F36901" w:rsidP="00A7497D">
      <w:pPr>
        <w:pStyle w:val="TOC4"/>
        <w:spacing w:line="240" w:lineRule="auto"/>
        <w:rPr>
          <w:rFonts w:asciiTheme="minorHAnsi" w:eastAsiaTheme="minorEastAsia" w:hAnsiTheme="minorHAnsi" w:cstheme="minorBidi"/>
          <w:noProof/>
          <w:sz w:val="22"/>
          <w:szCs w:val="22"/>
        </w:rPr>
      </w:pPr>
      <w:r>
        <w:rPr>
          <w:noProof/>
        </w:rPr>
        <w:t>2.2.3. The Hazard Function Equation</w:t>
      </w:r>
      <w:r>
        <w:rPr>
          <w:noProof/>
        </w:rPr>
        <w:tab/>
      </w:r>
      <w:r>
        <w:rPr>
          <w:noProof/>
        </w:rPr>
        <w:fldChar w:fldCharType="begin"/>
      </w:r>
      <w:r>
        <w:rPr>
          <w:noProof/>
        </w:rPr>
        <w:instrText xml:space="preserve"> PAGEREF _Toc494807948 \h </w:instrText>
      </w:r>
      <w:r>
        <w:rPr>
          <w:noProof/>
        </w:rPr>
      </w:r>
      <w:r>
        <w:rPr>
          <w:noProof/>
        </w:rPr>
        <w:fldChar w:fldCharType="separate"/>
      </w:r>
      <w:r>
        <w:rPr>
          <w:noProof/>
        </w:rPr>
        <w:t>5</w:t>
      </w:r>
      <w:r>
        <w:rPr>
          <w:noProof/>
        </w:rPr>
        <w:fldChar w:fldCharType="end"/>
      </w:r>
    </w:p>
    <w:p w:rsidR="00F36901" w:rsidRDefault="00F36901" w:rsidP="00A7497D">
      <w:pPr>
        <w:pStyle w:val="TOC4"/>
        <w:spacing w:line="240" w:lineRule="auto"/>
        <w:rPr>
          <w:rFonts w:asciiTheme="minorHAnsi" w:eastAsiaTheme="minorEastAsia" w:hAnsiTheme="minorHAnsi" w:cstheme="minorBidi"/>
          <w:noProof/>
          <w:sz w:val="22"/>
          <w:szCs w:val="22"/>
        </w:rPr>
      </w:pPr>
      <w:r>
        <w:rPr>
          <w:noProof/>
        </w:rPr>
        <w:t>2.2.4. Standard IDERs and IDERs Defined by an Autonomous Initial Value Problem (AIVP IDERs)</w:t>
      </w:r>
      <w:r>
        <w:rPr>
          <w:noProof/>
        </w:rPr>
        <w:tab/>
      </w:r>
      <w:r>
        <w:rPr>
          <w:noProof/>
        </w:rPr>
        <w:fldChar w:fldCharType="begin"/>
      </w:r>
      <w:r>
        <w:rPr>
          <w:noProof/>
        </w:rPr>
        <w:instrText xml:space="preserve"> PAGEREF _Toc494807949 \h </w:instrText>
      </w:r>
      <w:r>
        <w:rPr>
          <w:noProof/>
        </w:rPr>
      </w:r>
      <w:r>
        <w:rPr>
          <w:noProof/>
        </w:rPr>
        <w:fldChar w:fldCharType="separate"/>
      </w:r>
      <w:r>
        <w:rPr>
          <w:noProof/>
        </w:rPr>
        <w:t>5</w:t>
      </w:r>
      <w:r>
        <w:rPr>
          <w:noProof/>
        </w:rPr>
        <w:fldChar w:fldCharType="end"/>
      </w:r>
    </w:p>
    <w:p w:rsidR="00F36901" w:rsidRDefault="00F36901" w:rsidP="00A7497D">
      <w:pPr>
        <w:pStyle w:val="TOC3"/>
        <w:spacing w:line="240" w:lineRule="auto"/>
        <w:rPr>
          <w:rFonts w:asciiTheme="minorHAnsi" w:eastAsiaTheme="minorEastAsia" w:hAnsiTheme="minorHAnsi" w:cstheme="minorBidi"/>
          <w:noProof/>
          <w:szCs w:val="22"/>
        </w:rPr>
      </w:pPr>
      <w:r>
        <w:rPr>
          <w:noProof/>
        </w:rPr>
        <w:t>2.3. IDERs Used in This Paper (will be Long sub-section with various subdivisions)</w:t>
      </w:r>
      <w:r>
        <w:rPr>
          <w:noProof/>
        </w:rPr>
        <w:tab/>
      </w:r>
      <w:r>
        <w:rPr>
          <w:noProof/>
        </w:rPr>
        <w:fldChar w:fldCharType="begin"/>
      </w:r>
      <w:r>
        <w:rPr>
          <w:noProof/>
        </w:rPr>
        <w:instrText xml:space="preserve"> PAGEREF _Toc494807950 \h </w:instrText>
      </w:r>
      <w:r>
        <w:rPr>
          <w:noProof/>
        </w:rPr>
      </w:r>
      <w:r>
        <w:rPr>
          <w:noProof/>
        </w:rPr>
        <w:fldChar w:fldCharType="separate"/>
      </w:r>
      <w:r>
        <w:rPr>
          <w:noProof/>
        </w:rPr>
        <w:t>5</w:t>
      </w:r>
      <w:r>
        <w:rPr>
          <w:noProof/>
        </w:rPr>
        <w:fldChar w:fldCharType="end"/>
      </w:r>
    </w:p>
    <w:p w:rsidR="00F36901" w:rsidRDefault="00F36901" w:rsidP="00A7497D">
      <w:pPr>
        <w:pStyle w:val="TOC3"/>
        <w:spacing w:line="240" w:lineRule="auto"/>
        <w:rPr>
          <w:rFonts w:asciiTheme="minorHAnsi" w:eastAsiaTheme="minorEastAsia" w:hAnsiTheme="minorHAnsi" w:cstheme="minorBidi"/>
          <w:noProof/>
          <w:szCs w:val="22"/>
        </w:rPr>
      </w:pPr>
      <w:r>
        <w:rPr>
          <w:noProof/>
        </w:rPr>
        <w:t>2.4. Synergy Analysis (will be long sub-section with various subdivisions)</w:t>
      </w:r>
      <w:r>
        <w:rPr>
          <w:noProof/>
        </w:rPr>
        <w:tab/>
      </w:r>
      <w:r>
        <w:rPr>
          <w:noProof/>
        </w:rPr>
        <w:fldChar w:fldCharType="begin"/>
      </w:r>
      <w:r>
        <w:rPr>
          <w:noProof/>
        </w:rPr>
        <w:instrText xml:space="preserve"> PAGEREF _Toc494807951 \h </w:instrText>
      </w:r>
      <w:r>
        <w:rPr>
          <w:noProof/>
        </w:rPr>
      </w:r>
      <w:r>
        <w:rPr>
          <w:noProof/>
        </w:rPr>
        <w:fldChar w:fldCharType="separate"/>
      </w:r>
      <w:r>
        <w:rPr>
          <w:noProof/>
        </w:rPr>
        <w:t>5</w:t>
      </w:r>
      <w:r>
        <w:rPr>
          <w:noProof/>
        </w:rPr>
        <w:fldChar w:fldCharType="end"/>
      </w:r>
    </w:p>
    <w:p w:rsidR="00F36901" w:rsidRDefault="00F36901" w:rsidP="00A7497D">
      <w:pPr>
        <w:pStyle w:val="Heading1"/>
        <w:spacing w:line="240" w:lineRule="auto"/>
      </w:pPr>
      <w:r>
        <w:fldChar w:fldCharType="end"/>
      </w:r>
    </w:p>
    <w:p w:rsidR="000C3231" w:rsidRPr="000C3231" w:rsidRDefault="000C3231" w:rsidP="000C3231"/>
    <w:p w:rsidR="00F36901" w:rsidRPr="00370797" w:rsidRDefault="00F36901" w:rsidP="002B7E43">
      <w:pPr>
        <w:pStyle w:val="Heading1"/>
      </w:pPr>
      <w:bookmarkStart w:id="0" w:name="_Toc494807936"/>
      <w:r>
        <w:t xml:space="preserve">Synergy analysis for </w:t>
      </w:r>
      <w:r w:rsidRPr="00331A50">
        <w:t xml:space="preserve">mouse </w:t>
      </w:r>
      <w:r>
        <w:t>H</w:t>
      </w:r>
      <w:r w:rsidRPr="00331A50">
        <w:t>arderian gland radiation tumorigenesis</w:t>
      </w:r>
      <w:r>
        <w:t xml:space="preserve"> induced by mixed beams whose individual components </w:t>
      </w:r>
      <w:bookmarkEnd w:id="0"/>
      <w:r w:rsidR="00D448AA" w:rsidRPr="00D448AA">
        <w:t>are nuclei in the galactic cosmic ray spectrum</w:t>
      </w:r>
    </w:p>
    <w:p w:rsidR="00F36901" w:rsidRPr="00697BC0" w:rsidRDefault="00F36901" w:rsidP="00A73012">
      <w:pPr>
        <w:tabs>
          <w:tab w:val="right" w:pos="9360"/>
        </w:tabs>
        <w:rPr>
          <w:sz w:val="22"/>
          <w:szCs w:val="22"/>
          <w:vertAlign w:val="superscript"/>
        </w:rPr>
      </w:pPr>
      <w:r w:rsidRPr="0084187C">
        <w:rPr>
          <w:sz w:val="22"/>
          <w:szCs w:val="22"/>
          <w:highlight w:val="yellow"/>
        </w:rPr>
        <w:t>Yimin</w:t>
      </w:r>
      <w:r w:rsidRPr="0084187C">
        <w:rPr>
          <w:sz w:val="22"/>
          <w:szCs w:val="22"/>
          <w:highlight w:val="yellow"/>
          <w:vertAlign w:val="superscript"/>
        </w:rPr>
        <w:t>1</w:t>
      </w:r>
      <w:r w:rsidRPr="0084187C">
        <w:rPr>
          <w:sz w:val="22"/>
          <w:szCs w:val="22"/>
          <w:highlight w:val="yellow"/>
        </w:rPr>
        <w:t>, Edward</w:t>
      </w:r>
      <w:r w:rsidRPr="0084187C">
        <w:rPr>
          <w:sz w:val="22"/>
          <w:szCs w:val="22"/>
          <w:highlight w:val="yellow"/>
          <w:vertAlign w:val="superscript"/>
        </w:rPr>
        <w:t>1</w:t>
      </w:r>
      <w:r w:rsidRPr="0084187C">
        <w:rPr>
          <w:sz w:val="22"/>
          <w:szCs w:val="22"/>
          <w:highlight w:val="yellow"/>
        </w:rPr>
        <w:t>,</w:t>
      </w:r>
      <w:r>
        <w:rPr>
          <w:sz w:val="22"/>
          <w:szCs w:val="22"/>
        </w:rPr>
        <w:t xml:space="preserve"> Mark Ebert</w:t>
      </w:r>
      <w:r>
        <w:rPr>
          <w:sz w:val="22"/>
          <w:szCs w:val="22"/>
          <w:vertAlign w:val="superscript"/>
        </w:rPr>
        <w:t>1</w:t>
      </w:r>
      <w:r>
        <w:rPr>
          <w:sz w:val="22"/>
          <w:szCs w:val="22"/>
        </w:rPr>
        <w:t xml:space="preserve">, </w:t>
      </w:r>
      <w:r w:rsidRPr="00697BC0">
        <w:rPr>
          <w:sz w:val="22"/>
          <w:szCs w:val="22"/>
        </w:rPr>
        <w:t>Dae Woong Ham</w:t>
      </w:r>
      <w:r w:rsidRPr="00697BC0">
        <w:rPr>
          <w:sz w:val="22"/>
          <w:szCs w:val="22"/>
          <w:vertAlign w:val="superscript"/>
        </w:rPr>
        <w:t>1</w:t>
      </w:r>
      <w:r w:rsidRPr="00697BC0">
        <w:rPr>
          <w:sz w:val="22"/>
          <w:szCs w:val="22"/>
        </w:rPr>
        <w:t xml:space="preserve">, </w:t>
      </w:r>
      <w:proofErr w:type="spellStart"/>
      <w:r w:rsidRPr="0084187C">
        <w:rPr>
          <w:strike/>
          <w:sz w:val="22"/>
          <w:szCs w:val="22"/>
        </w:rPr>
        <w:t>Binglin</w:t>
      </w:r>
      <w:proofErr w:type="spellEnd"/>
      <w:r w:rsidRPr="0084187C">
        <w:rPr>
          <w:strike/>
          <w:sz w:val="22"/>
          <w:szCs w:val="22"/>
        </w:rPr>
        <w:t xml:space="preserve"> Song</w:t>
      </w:r>
      <w:r w:rsidRPr="0084187C">
        <w:rPr>
          <w:strike/>
          <w:sz w:val="22"/>
          <w:szCs w:val="22"/>
          <w:vertAlign w:val="superscript"/>
        </w:rPr>
        <w:t>1</w:t>
      </w:r>
      <w:proofErr w:type="gramStart"/>
      <w:r>
        <w:rPr>
          <w:sz w:val="22"/>
          <w:szCs w:val="22"/>
        </w:rPr>
        <w:t xml:space="preserve">, </w:t>
      </w:r>
      <w:r w:rsidRPr="00697BC0">
        <w:rPr>
          <w:sz w:val="22"/>
          <w:szCs w:val="22"/>
          <w:vertAlign w:val="subscript"/>
        </w:rPr>
        <w:t xml:space="preserve"> </w:t>
      </w:r>
      <w:r w:rsidRPr="00697BC0">
        <w:rPr>
          <w:sz w:val="22"/>
          <w:szCs w:val="22"/>
        </w:rPr>
        <w:t>and</w:t>
      </w:r>
      <w:proofErr w:type="gramEnd"/>
      <w:r w:rsidRPr="00697BC0">
        <w:rPr>
          <w:sz w:val="22"/>
          <w:szCs w:val="22"/>
        </w:rPr>
        <w:t xml:space="preserve"> Rainer K. Sachs</w:t>
      </w:r>
      <w:r w:rsidRPr="00697BC0">
        <w:rPr>
          <w:sz w:val="22"/>
          <w:szCs w:val="22"/>
          <w:vertAlign w:val="superscript"/>
        </w:rPr>
        <w:t>1,2</w:t>
      </w:r>
    </w:p>
    <w:p w:rsidR="00F36901" w:rsidRPr="00697BC0" w:rsidRDefault="00F36901" w:rsidP="00A73012">
      <w:pPr>
        <w:tabs>
          <w:tab w:val="right" w:pos="9360"/>
        </w:tabs>
        <w:rPr>
          <w:sz w:val="22"/>
          <w:szCs w:val="22"/>
        </w:rPr>
      </w:pPr>
      <w:r w:rsidRPr="00697BC0">
        <w:rPr>
          <w:sz w:val="22"/>
          <w:szCs w:val="22"/>
          <w:vertAlign w:val="superscript"/>
        </w:rPr>
        <w:t>1</w:t>
      </w:r>
      <w:r w:rsidRPr="00697BC0">
        <w:rPr>
          <w:sz w:val="22"/>
          <w:szCs w:val="22"/>
        </w:rPr>
        <w:t xml:space="preserve"> Department of Mathematics, University of California at Berkeley</w:t>
      </w:r>
    </w:p>
    <w:p w:rsidR="00F36901" w:rsidRDefault="00F36901" w:rsidP="00A73012">
      <w:pPr>
        <w:tabs>
          <w:tab w:val="right" w:pos="9360"/>
        </w:tabs>
        <w:rPr>
          <w:sz w:val="22"/>
          <w:szCs w:val="22"/>
        </w:rPr>
      </w:pPr>
      <w:proofErr w:type="gramStart"/>
      <w:r w:rsidRPr="00697BC0">
        <w:rPr>
          <w:sz w:val="22"/>
          <w:szCs w:val="22"/>
          <w:vertAlign w:val="superscript"/>
        </w:rPr>
        <w:t>2</w:t>
      </w:r>
      <w:r w:rsidRPr="00697BC0">
        <w:rPr>
          <w:sz w:val="22"/>
          <w:szCs w:val="22"/>
        </w:rPr>
        <w:t xml:space="preserve"> Corresponding Author.</w:t>
      </w:r>
      <w:proofErr w:type="gramEnd"/>
      <w:r w:rsidRPr="00697BC0">
        <w:rPr>
          <w:sz w:val="22"/>
          <w:szCs w:val="22"/>
        </w:rPr>
        <w:t xml:space="preserve"> Rainer K. Sachs, </w:t>
      </w:r>
      <w:hyperlink r:id="rId6" w:history="1">
        <w:r w:rsidRPr="00697BC0">
          <w:rPr>
            <w:rStyle w:val="Hyperlink"/>
            <w:sz w:val="22"/>
            <w:szCs w:val="22"/>
          </w:rPr>
          <w:t>sachs@math.berkeley.edu</w:t>
        </w:r>
      </w:hyperlink>
      <w:r w:rsidRPr="00697BC0">
        <w:rPr>
          <w:sz w:val="22"/>
          <w:szCs w:val="22"/>
        </w:rPr>
        <w:t>, 510-658-5790</w:t>
      </w:r>
    </w:p>
    <w:p w:rsidR="00F36901" w:rsidRPr="00697BC0" w:rsidRDefault="00F36901" w:rsidP="00A73012">
      <w:pPr>
        <w:pageBreakBefore/>
        <w:tabs>
          <w:tab w:val="right" w:pos="9360"/>
        </w:tabs>
        <w:rPr>
          <w:sz w:val="22"/>
          <w:szCs w:val="22"/>
        </w:rPr>
      </w:pPr>
    </w:p>
    <w:p w:rsidR="00F36901" w:rsidRPr="0062686E" w:rsidRDefault="00F36901" w:rsidP="00B334D9">
      <w:pPr>
        <w:rPr>
          <w:rFonts w:ascii="Times New Roman" w:hAnsi="Times New Roman"/>
        </w:rPr>
      </w:pPr>
      <w:bookmarkStart w:id="1" w:name="_Toc468095807"/>
      <w:bookmarkStart w:id="2" w:name="_Toc470586674"/>
      <w:bookmarkStart w:id="3" w:name="_Toc471239775"/>
      <w:bookmarkStart w:id="4" w:name="_Toc476416733"/>
      <w:r w:rsidRPr="00B334D9">
        <w:rPr>
          <w:b/>
          <w:u w:val="single"/>
        </w:rPr>
        <w:t>Abstract</w:t>
      </w:r>
      <w:bookmarkEnd w:id="1"/>
      <w:bookmarkEnd w:id="2"/>
      <w:bookmarkEnd w:id="3"/>
      <w:bookmarkEnd w:id="4"/>
      <w:r w:rsidRPr="00B334D9">
        <w:rPr>
          <w:b/>
          <w:u w:val="single"/>
        </w:rPr>
        <w:t xml:space="preserve"> </w:t>
      </w:r>
      <w:r w:rsidRPr="00A9503F">
        <w:rPr>
          <w:highlight w:val="yellow"/>
        </w:rPr>
        <w:t>[</w:t>
      </w:r>
      <w:r>
        <w:rPr>
          <w:highlight w:val="yellow"/>
        </w:rPr>
        <w:t xml:space="preserve">at present 250 </w:t>
      </w:r>
      <w:r w:rsidRPr="00A9503F">
        <w:rPr>
          <w:highlight w:val="yellow"/>
        </w:rPr>
        <w:t>words]</w:t>
      </w:r>
      <w:r w:rsidRPr="0062686E">
        <w:rPr>
          <w:rFonts w:ascii="Times New Roman" w:hAnsi="Times New Roman"/>
        </w:rPr>
        <w:t>:</w:t>
      </w:r>
    </w:p>
    <w:p w:rsidR="00F36901" w:rsidRDefault="00F36901" w:rsidP="00916ACC">
      <w:bookmarkStart w:id="5" w:name="_Toc468095808"/>
      <w:r w:rsidRPr="00A9503F">
        <w:t xml:space="preserve">Synergy analysis compares the dose-effect relationship </w:t>
      </w:r>
      <w:r w:rsidRPr="00527261">
        <w:t xml:space="preserve">of </w:t>
      </w:r>
      <w:r>
        <w:t xml:space="preserve">an agent mixture, such as a mixed radiation field, </w:t>
      </w:r>
      <w:r w:rsidRPr="00A9503F">
        <w:t>to the individual dose-effect relationships (IDER</w:t>
      </w:r>
      <w:r>
        <w:t>s</w:t>
      </w:r>
      <w:r w:rsidRPr="00A9503F">
        <w:t xml:space="preserve">) of the mixture components. </w:t>
      </w:r>
      <w:r>
        <w:t>W</w:t>
      </w:r>
      <w:r w:rsidRPr="00A9503F">
        <w:t>hen components of a mixture have highly curvilinear IDER</w:t>
      </w:r>
      <w:r>
        <w:t>s</w:t>
      </w:r>
      <w:r w:rsidRPr="00A9503F">
        <w:t xml:space="preserve"> it is </w:t>
      </w:r>
      <w:r>
        <w:t xml:space="preserve">not </w:t>
      </w:r>
      <w:r w:rsidRPr="00A9503F">
        <w:t>appropriate to define synergy as</w:t>
      </w:r>
      <w:r>
        <w:t xml:space="preserve"> a deviation</w:t>
      </w:r>
      <w:r w:rsidRPr="00A9503F">
        <w:t xml:space="preserve"> of an observed mixture dose effect relationship</w:t>
      </w:r>
      <w:r>
        <w:t xml:space="preserve"> (MIXDER)</w:t>
      </w:r>
      <w:r w:rsidRPr="00A9503F">
        <w:t xml:space="preserve"> from the </w:t>
      </w:r>
      <w:r w:rsidR="00D448AA">
        <w:t xml:space="preserve">linear-combination </w:t>
      </w:r>
      <w:r w:rsidRPr="00A9503F">
        <w:t xml:space="preserve">baseline </w:t>
      </w:r>
      <w:r>
        <w:t>no synergy/antagonism MIXDER</w:t>
      </w:r>
      <w:r w:rsidRPr="00A9503F">
        <w:t xml:space="preserve"> obtained by simply adding IDER values. </w:t>
      </w:r>
      <w:bookmarkEnd w:id="5"/>
      <w:r w:rsidRPr="00A9503F">
        <w:t xml:space="preserve">If high charge and energy ions induce non-targeted </w:t>
      </w:r>
      <w:r>
        <w:t xml:space="preserve">tumorigenesis </w:t>
      </w:r>
      <w:r w:rsidRPr="00A9503F">
        <w:t xml:space="preserve">effects, corresponding IDER are highly curvilinear </w:t>
      </w:r>
      <w:r>
        <w:t xml:space="preserve">at low doses, </w:t>
      </w:r>
      <w:r w:rsidRPr="00A9503F">
        <w:t>simple effect additivity</w:t>
      </w:r>
      <w:r>
        <w:t xml:space="preserve"> MIXDERs are</w:t>
      </w:r>
      <w:r w:rsidRPr="00A9503F">
        <w:t xml:space="preserve"> inappropriate</w:t>
      </w:r>
      <w:r>
        <w:t xml:space="preserve"> </w:t>
      </w:r>
      <w:proofErr w:type="gramStart"/>
      <w:r w:rsidRPr="00A9503F">
        <w:t>baseline</w:t>
      </w:r>
      <w:r>
        <w:t>s,</w:t>
      </w:r>
      <w:proofErr w:type="gramEnd"/>
      <w:r>
        <w:t xml:space="preserve"> and a </w:t>
      </w:r>
      <w:r w:rsidRPr="00A9503F">
        <w:t>replacement is needed for planning and interpreting mixture experiments</w:t>
      </w:r>
      <w:r>
        <w:t>. The i</w:t>
      </w:r>
      <w:r w:rsidRPr="00A9503F">
        <w:t>ncremental effect additivity</w:t>
      </w:r>
      <w:r>
        <w:t xml:space="preserve"> </w:t>
      </w:r>
      <w:r w:rsidR="00D448AA">
        <w:t>baseline</w:t>
      </w:r>
      <w:r w:rsidRPr="00A9503F">
        <w:t xml:space="preserve">, </w:t>
      </w:r>
      <w:r>
        <w:t xml:space="preserve">recently introduced to </w:t>
      </w:r>
      <w:r w:rsidRPr="00A9503F">
        <w:t>replac</w:t>
      </w:r>
      <w:r>
        <w:t>e the</w:t>
      </w:r>
      <w:r w:rsidRPr="00A9503F">
        <w:t xml:space="preserve"> simple effect additivity</w:t>
      </w:r>
      <w:r>
        <w:t xml:space="preserve"> </w:t>
      </w:r>
      <w:r w:rsidR="00D448AA">
        <w:t>baseline</w:t>
      </w:r>
      <w:r w:rsidRPr="00A9503F">
        <w:t>, is suitable for mathematical synergy analysis even if some mixture components have highly curvilinear IDER.</w:t>
      </w:r>
    </w:p>
    <w:p w:rsidR="00F36901" w:rsidRDefault="00F36901" w:rsidP="00916ACC">
      <w:r>
        <w:t xml:space="preserve">     This paper uses previously published experimental information on </w:t>
      </w:r>
      <w:r w:rsidRPr="00907CA5">
        <w:t>m</w:t>
      </w:r>
      <w:r>
        <w:t>urine</w:t>
      </w:r>
      <w:r w:rsidRPr="00907CA5">
        <w:t xml:space="preserve"> Harderian </w:t>
      </w:r>
      <w:r>
        <w:t>g</w:t>
      </w:r>
      <w:r w:rsidRPr="00907CA5">
        <w:t>land</w:t>
      </w:r>
      <w:r>
        <w:t xml:space="preserve"> </w:t>
      </w:r>
      <w:r w:rsidRPr="00907CA5">
        <w:t>tumorigenesis</w:t>
      </w:r>
      <w:r>
        <w:t xml:space="preserve"> following exposure to 1-ion beams simulating components of the galactic cosmic radiation field. The paper studies, </w:t>
      </w:r>
      <w:r>
        <w:rPr>
          <w:i/>
        </w:rPr>
        <w:t>in silico</w:t>
      </w:r>
      <w:r>
        <w:t>,</w:t>
      </w:r>
      <w:r w:rsidR="00D448AA">
        <w:t xml:space="preserve"> the following: (a)</w:t>
      </w:r>
      <w:r>
        <w:rPr>
          <w:i/>
        </w:rPr>
        <w:t xml:space="preserve"> </w:t>
      </w:r>
      <w:r>
        <w:t>new IDERs that use a recently published hazard function equation</w:t>
      </w:r>
      <w:r w:rsidR="00D448AA">
        <w:t>; (b)</w:t>
      </w:r>
      <w:r>
        <w:t xml:space="preserve"> </w:t>
      </w:r>
      <w:r w:rsidR="00D448AA">
        <w:t xml:space="preserve">corresponding </w:t>
      </w:r>
      <w:r>
        <w:t>incremental effect additivity baseline MIXDERs</w:t>
      </w:r>
      <w:r w:rsidR="00D448AA">
        <w:t>; and (c),</w:t>
      </w:r>
      <w:r>
        <w:t xml:space="preserve"> 95% confidence intervals </w:t>
      </w:r>
      <w:r w:rsidR="00D448AA">
        <w:t xml:space="preserve">for the new baseline MIXDERs </w:t>
      </w:r>
      <w:r>
        <w:t xml:space="preserve">that take parameter correlations into account. We </w:t>
      </w:r>
      <w:r w:rsidR="00D448AA">
        <w:t>give evidence</w:t>
      </w:r>
      <w:r>
        <w:t xml:space="preserve"> that the approach improves on previous theoretical studies of the same data. </w:t>
      </w:r>
    </w:p>
    <w:p w:rsidR="00F36901" w:rsidRDefault="00F36901" w:rsidP="00916ACC">
      <w:r>
        <w:t xml:space="preserve">     We also argue that experiments using ion mixtures intentionally simplified to facilitate biophysical insights, e.g. synergy analyses, are important. They should, in our opinion, be continued in parallel with experiments that use mixtures intentionally made complicated </w:t>
      </w:r>
      <w:bookmarkStart w:id="6" w:name="_Toc468095809"/>
      <w:bookmarkStart w:id="7" w:name="_Toc470586675"/>
      <w:bookmarkStart w:id="8" w:name="_Toc471239776"/>
      <w:bookmarkStart w:id="9" w:name="_Toc476416734"/>
      <w:r>
        <w:t>and designated as “representative” of conditions encountered by astronauts above low earth orbit.</w:t>
      </w:r>
    </w:p>
    <w:p w:rsidR="00F36901" w:rsidRDefault="00F36901" w:rsidP="00E46EEE">
      <w:pPr>
        <w:spacing w:line="360" w:lineRule="auto"/>
        <w:rPr>
          <w:sz w:val="14"/>
          <w:szCs w:val="14"/>
        </w:rPr>
      </w:pPr>
      <w:r w:rsidRPr="00003DDA">
        <w:rPr>
          <w:highlight w:val="yellow"/>
        </w:rPr>
        <w:t>288 words</w:t>
      </w:r>
      <w:r>
        <w:t xml:space="preserve"> </w:t>
      </w:r>
      <w:r w:rsidRPr="00003DDA">
        <w:rPr>
          <w:highlight w:val="yellow"/>
        </w:rPr>
        <w:t xml:space="preserve">in a Cuc paper </w:t>
      </w:r>
      <w:r>
        <w:rPr>
          <w:highlight w:val="yellow"/>
        </w:rPr>
        <w:t xml:space="preserve">abstract. </w:t>
      </w:r>
      <w:r w:rsidRPr="00003DDA">
        <w:rPr>
          <w:sz w:val="14"/>
          <w:szCs w:val="14"/>
          <w:highlight w:val="yellow"/>
        </w:rPr>
        <w:t>In this paper</w:t>
      </w:r>
      <w:r>
        <w:rPr>
          <w:sz w:val="14"/>
          <w:szCs w:val="14"/>
        </w:rPr>
        <w:t xml:space="preserve"> we describe revisions to the NASA Space Cancer Risk (NSCR) model focusing on updates to probability distribution functions (PDF) representing the uncertainties in the radiation quality factor (QF) model parameters and the dose and dose-rate reduction effectiveness factor (DDREF). We integrate recent heavy ion data on liver, colorectal, intestinal, lung, and Harderian gland tumors with other data from fission neutron experiments into the model analysis. In an earlier work we introduced distinct QFs for leukemia and solid cancer risk predictions, and here we consider liver cancer risks separately because of the higher RBE’s reported in mouse experiments compared to other tumors types, and distinct risk </w:t>
      </w:r>
      <w:proofErr w:type="spellStart"/>
      <w:r>
        <w:rPr>
          <w:sz w:val="14"/>
          <w:szCs w:val="14"/>
        </w:rPr>
        <w:t>fac</w:t>
      </w:r>
      <w:proofErr w:type="spellEnd"/>
      <w:r>
        <w:rPr>
          <w:sz w:val="14"/>
          <w:szCs w:val="14"/>
        </w:rPr>
        <w:t xml:space="preserve">- tors for liver cancer for astronauts compared to the U.S. population. The revised model is used to make predictions of fatal cancer and circulatory disease risks for 1-year deep space and International Space </w:t>
      </w:r>
      <w:proofErr w:type="spellStart"/>
      <w:r>
        <w:rPr>
          <w:sz w:val="14"/>
          <w:szCs w:val="14"/>
        </w:rPr>
        <w:t>Sta</w:t>
      </w:r>
      <w:proofErr w:type="spellEnd"/>
      <w:r>
        <w:rPr>
          <w:sz w:val="14"/>
          <w:szCs w:val="14"/>
        </w:rPr>
        <w:t xml:space="preserve">- </w:t>
      </w:r>
      <w:proofErr w:type="spellStart"/>
      <w:r>
        <w:rPr>
          <w:sz w:val="14"/>
          <w:szCs w:val="14"/>
        </w:rPr>
        <w:t>tion</w:t>
      </w:r>
      <w:proofErr w:type="spellEnd"/>
      <w:r>
        <w:rPr>
          <w:sz w:val="14"/>
          <w:szCs w:val="14"/>
        </w:rPr>
        <w:t xml:space="preserve"> (ISS) missions, and a 940 day Mars mission. We analyzed the contribution of the various model pa- </w:t>
      </w:r>
      <w:proofErr w:type="spellStart"/>
      <w:r>
        <w:rPr>
          <w:sz w:val="14"/>
          <w:szCs w:val="14"/>
        </w:rPr>
        <w:t>rameter</w:t>
      </w:r>
      <w:proofErr w:type="spellEnd"/>
      <w:r>
        <w:rPr>
          <w:sz w:val="14"/>
          <w:szCs w:val="14"/>
        </w:rPr>
        <w:t xml:space="preserve"> uncertainties to the overall uncertainty, which shows that the uncertainties in relative biological effectiveness (RBE) factors at high LET due to statistical uncertainties and differences across tissue types and mouse strains are the dominant uncertainty. NASA’s exposure limits are approached or exceeded for each mission scenario considered. Two main conclusions are made: 1) Reducing the current estimate of about a 3-fold uncertainty to a 2-fold or lower uncertainty will require much more expansive animal carcinogenesis studies in order to reduce statistical uncertainties and understand tissue, sex and genetic variations. 2) Alternative model assumptions such as non-targeted effects, increased tumor lethality and decreased latency at high LET, and non-cancer mortality risks from circulatory diseases could significantly increase risk estimates to several times higher than the NASA limits. </w:t>
      </w:r>
    </w:p>
    <w:p w:rsidR="00F36901" w:rsidRDefault="00F36901" w:rsidP="00AB4DF8">
      <w:pPr>
        <w:pageBreakBefore/>
        <w:spacing w:line="360" w:lineRule="auto"/>
      </w:pPr>
    </w:p>
    <w:p w:rsidR="00F36901" w:rsidRDefault="00F36901" w:rsidP="00981E8F">
      <w:pPr>
        <w:pStyle w:val="Heading2"/>
      </w:pPr>
      <w:bookmarkStart w:id="10" w:name="_Toc494807937"/>
      <w:r>
        <w:t>1</w:t>
      </w:r>
      <w:r w:rsidRPr="00F86776">
        <w:t>. Introduction</w:t>
      </w:r>
      <w:bookmarkEnd w:id="6"/>
      <w:bookmarkEnd w:id="7"/>
      <w:bookmarkEnd w:id="8"/>
      <w:bookmarkEnd w:id="9"/>
      <w:bookmarkEnd w:id="10"/>
    </w:p>
    <w:p w:rsidR="00F36901" w:rsidRPr="00AB4DF8" w:rsidRDefault="00F36901" w:rsidP="00AB4DF8">
      <w:pPr>
        <w:pStyle w:val="Heading3"/>
        <w:tabs>
          <w:tab w:val="left" w:pos="7290"/>
        </w:tabs>
        <w:rPr>
          <w:rFonts w:asciiTheme="majorHAnsi" w:hAnsiTheme="majorHAnsi"/>
          <w:bCs/>
          <w:iCs/>
        </w:rPr>
      </w:pPr>
      <w:bookmarkStart w:id="11" w:name="_Toc494807938"/>
      <w:r>
        <w:t>1.1.</w:t>
      </w:r>
      <w:r w:rsidRPr="00AB4DF8">
        <w:rPr>
          <w:rFonts w:asciiTheme="majorHAnsi" w:hAnsiTheme="majorHAnsi"/>
          <w:bCs/>
          <w:iCs/>
        </w:rPr>
        <w:t xml:space="preserve"> </w:t>
      </w:r>
      <w:r>
        <w:rPr>
          <w:rFonts w:asciiTheme="majorHAnsi" w:hAnsiTheme="majorHAnsi"/>
          <w:bCs/>
          <w:iCs/>
        </w:rPr>
        <w:t>Terminology</w:t>
      </w:r>
      <w:bookmarkEnd w:id="11"/>
    </w:p>
    <w:p w:rsidR="00F36901" w:rsidRPr="00AB4DF8" w:rsidRDefault="00F36901" w:rsidP="00AB4DF8">
      <w:pPr>
        <w:suppressLineNumbers/>
      </w:pPr>
      <w:r w:rsidRPr="00AB4DF8">
        <w:t xml:space="preserve">    There will be a number of acronyms in this paper. The main </w:t>
      </w:r>
      <w:r>
        <w:t>ones</w:t>
      </w:r>
      <w:r w:rsidRPr="00AB4DF8">
        <w:t xml:space="preserve"> are the following, with less familiar but here often used ones, such as IDER and MIXDER, in bold-face and underlined.</w:t>
      </w:r>
    </w:p>
    <w:p w:rsidR="00F36901" w:rsidRDefault="00F36901" w:rsidP="00AB4DF8">
      <w:pPr>
        <w:numPr>
          <w:ilvl w:val="0"/>
          <w:numId w:val="1"/>
        </w:numPr>
        <w:suppressLineNumbers/>
        <w:spacing w:line="360" w:lineRule="auto"/>
        <w:contextualSpacing/>
        <w:rPr>
          <w:sz w:val="22"/>
          <w:szCs w:val="22"/>
        </w:rPr>
      </w:pPr>
      <w:r>
        <w:rPr>
          <w:sz w:val="22"/>
          <w:szCs w:val="22"/>
        </w:rPr>
        <w:t>GCR</w:t>
      </w:r>
      <w:r>
        <w:rPr>
          <w:sz w:val="22"/>
          <w:szCs w:val="22"/>
        </w:rPr>
        <w:tab/>
      </w:r>
      <w:r>
        <w:rPr>
          <w:sz w:val="22"/>
          <w:szCs w:val="22"/>
        </w:rPr>
        <w:tab/>
        <w:t>Galactic Cosmic Rays (or Galactic Cosmic Radiation).  Occurs above low earth orbit.</w:t>
      </w:r>
    </w:p>
    <w:p w:rsidR="00F36901" w:rsidRPr="00AB4DF8" w:rsidRDefault="00F36901" w:rsidP="00AB4DF8">
      <w:pPr>
        <w:numPr>
          <w:ilvl w:val="0"/>
          <w:numId w:val="1"/>
        </w:numPr>
        <w:suppressLineNumbers/>
        <w:spacing w:line="360" w:lineRule="auto"/>
        <w:contextualSpacing/>
        <w:rPr>
          <w:sz w:val="22"/>
          <w:szCs w:val="22"/>
        </w:rPr>
      </w:pPr>
      <w:r w:rsidRPr="00AB4DF8">
        <w:rPr>
          <w:sz w:val="22"/>
          <w:szCs w:val="22"/>
        </w:rPr>
        <w:t>HG</w:t>
      </w:r>
      <w:r w:rsidRPr="00AB4DF8">
        <w:rPr>
          <w:sz w:val="22"/>
          <w:szCs w:val="22"/>
        </w:rPr>
        <w:tab/>
      </w:r>
      <w:r w:rsidRPr="00AB4DF8">
        <w:rPr>
          <w:sz w:val="22"/>
          <w:szCs w:val="22"/>
        </w:rPr>
        <w:tab/>
      </w:r>
      <w:r w:rsidRPr="00AB4DF8">
        <w:rPr>
          <w:sz w:val="22"/>
          <w:szCs w:val="22"/>
        </w:rPr>
        <w:tab/>
        <w:t>Harderian Gland. An organ found in many rodents</w:t>
      </w:r>
    </w:p>
    <w:p w:rsidR="00F36901" w:rsidRPr="00AB4DF8" w:rsidRDefault="00F36901" w:rsidP="00AB4DF8">
      <w:pPr>
        <w:numPr>
          <w:ilvl w:val="0"/>
          <w:numId w:val="1"/>
        </w:numPr>
        <w:suppressLineNumbers/>
        <w:spacing w:line="360" w:lineRule="auto"/>
        <w:contextualSpacing/>
        <w:rPr>
          <w:sz w:val="22"/>
          <w:szCs w:val="22"/>
        </w:rPr>
      </w:pPr>
      <w:r w:rsidRPr="00AB4DF8">
        <w:rPr>
          <w:sz w:val="22"/>
          <w:szCs w:val="22"/>
        </w:rPr>
        <w:t>HZE</w:t>
      </w:r>
      <w:r>
        <w:rPr>
          <w:sz w:val="22"/>
          <w:szCs w:val="22"/>
        </w:rPr>
        <w:t xml:space="preserve"> ion</w:t>
      </w:r>
      <w:r w:rsidRPr="00AB4DF8">
        <w:rPr>
          <w:sz w:val="22"/>
          <w:szCs w:val="22"/>
        </w:rPr>
        <w:tab/>
      </w:r>
      <w:r w:rsidRPr="00AB4DF8">
        <w:rPr>
          <w:sz w:val="22"/>
          <w:szCs w:val="22"/>
        </w:rPr>
        <w:tab/>
        <w:t>High Z and E (charge and energy)</w:t>
      </w:r>
      <w:r>
        <w:rPr>
          <w:sz w:val="22"/>
          <w:szCs w:val="22"/>
        </w:rPr>
        <w:t xml:space="preserve"> </w:t>
      </w:r>
      <w:r w:rsidRPr="00AB4DF8">
        <w:rPr>
          <w:sz w:val="22"/>
          <w:szCs w:val="22"/>
        </w:rPr>
        <w:t>atomic nuclei, almost fully ionized</w:t>
      </w:r>
    </w:p>
    <w:p w:rsidR="00F36901" w:rsidRPr="00AB4DF8" w:rsidRDefault="00F36901" w:rsidP="00AB4DF8">
      <w:pPr>
        <w:numPr>
          <w:ilvl w:val="0"/>
          <w:numId w:val="1"/>
        </w:numPr>
        <w:suppressLineNumbers/>
        <w:spacing w:line="360" w:lineRule="auto"/>
        <w:contextualSpacing/>
        <w:rPr>
          <w:sz w:val="22"/>
          <w:szCs w:val="22"/>
        </w:rPr>
      </w:pPr>
      <w:r w:rsidRPr="00AB4DF8">
        <w:rPr>
          <w:b/>
          <w:sz w:val="22"/>
          <w:szCs w:val="22"/>
          <w:u w:val="single"/>
        </w:rPr>
        <w:t>IDER</w:t>
      </w:r>
      <w:r w:rsidRPr="00AB4DF8">
        <w:rPr>
          <w:color w:val="FF0000"/>
          <w:sz w:val="22"/>
          <w:szCs w:val="22"/>
        </w:rPr>
        <w:tab/>
      </w:r>
      <w:r w:rsidRPr="00AB4DF8">
        <w:rPr>
          <w:color w:val="FF0000"/>
          <w:sz w:val="22"/>
          <w:szCs w:val="22"/>
        </w:rPr>
        <w:tab/>
      </w:r>
      <w:r w:rsidRPr="00AB4DF8">
        <w:rPr>
          <w:sz w:val="22"/>
          <w:szCs w:val="22"/>
        </w:rPr>
        <w:t>Individual Dose-Effect Relation, for a single agent or single mixture component</w:t>
      </w:r>
    </w:p>
    <w:p w:rsidR="00F36901" w:rsidRPr="00AB4DF8" w:rsidRDefault="00F36901" w:rsidP="00AB4DF8">
      <w:pPr>
        <w:numPr>
          <w:ilvl w:val="0"/>
          <w:numId w:val="1"/>
        </w:numPr>
        <w:suppressLineNumbers/>
        <w:spacing w:line="360" w:lineRule="auto"/>
        <w:contextualSpacing/>
        <w:rPr>
          <w:sz w:val="22"/>
          <w:szCs w:val="22"/>
        </w:rPr>
      </w:pPr>
      <w:r w:rsidRPr="00AB4DF8">
        <w:rPr>
          <w:b/>
          <w:sz w:val="22"/>
          <w:szCs w:val="22"/>
          <w:u w:val="single"/>
        </w:rPr>
        <w:t>MIXDER</w:t>
      </w:r>
      <w:r w:rsidRPr="00AB4DF8">
        <w:rPr>
          <w:sz w:val="22"/>
          <w:szCs w:val="22"/>
        </w:rPr>
        <w:tab/>
      </w:r>
      <w:r w:rsidRPr="00AB4DF8">
        <w:rPr>
          <w:sz w:val="22"/>
          <w:szCs w:val="22"/>
        </w:rPr>
        <w:tab/>
        <w:t>Mixture Dose-Effect Relation</w:t>
      </w:r>
    </w:p>
    <w:p w:rsidR="00F36901" w:rsidRPr="00AB4DF8" w:rsidRDefault="00F36901" w:rsidP="00AB4DF8">
      <w:pPr>
        <w:numPr>
          <w:ilvl w:val="0"/>
          <w:numId w:val="1"/>
        </w:numPr>
        <w:suppressLineNumbers/>
        <w:spacing w:line="360" w:lineRule="auto"/>
        <w:contextualSpacing/>
        <w:rPr>
          <w:sz w:val="22"/>
          <w:szCs w:val="22"/>
        </w:rPr>
      </w:pPr>
      <w:r w:rsidRPr="00AB4DF8">
        <w:rPr>
          <w:i/>
          <w:sz w:val="22"/>
          <w:szCs w:val="22"/>
        </w:rPr>
        <w:t>L</w:t>
      </w:r>
      <w:r w:rsidRPr="00AB4DF8">
        <w:rPr>
          <w:sz w:val="22"/>
          <w:szCs w:val="22"/>
        </w:rPr>
        <w:t>=LET</w:t>
      </w:r>
      <w:r w:rsidRPr="00AB4DF8">
        <w:rPr>
          <w:sz w:val="22"/>
          <w:szCs w:val="22"/>
        </w:rPr>
        <w:tab/>
      </w:r>
      <w:r w:rsidRPr="00AB4DF8">
        <w:rPr>
          <w:sz w:val="22"/>
          <w:szCs w:val="22"/>
        </w:rPr>
        <w:tab/>
        <w:t>Linear Energy Transfer, stopping power, LET</w:t>
      </w:r>
      <w:r w:rsidRPr="00AB4DF8">
        <w:rPr>
          <w:sz w:val="22"/>
          <w:szCs w:val="22"/>
          <w:vertAlign w:val="subscript"/>
        </w:rPr>
        <w:t>∞</w:t>
      </w:r>
    </w:p>
    <w:p w:rsidR="00F36901" w:rsidRPr="00AB4DF8" w:rsidRDefault="00F36901" w:rsidP="00AB4DF8">
      <w:pPr>
        <w:numPr>
          <w:ilvl w:val="0"/>
          <w:numId w:val="1"/>
        </w:numPr>
        <w:suppressLineNumbers/>
        <w:spacing w:line="360" w:lineRule="auto"/>
        <w:contextualSpacing/>
        <w:rPr>
          <w:sz w:val="22"/>
          <w:szCs w:val="22"/>
        </w:rPr>
      </w:pPr>
      <w:r w:rsidRPr="00AB4DF8">
        <w:rPr>
          <w:sz w:val="22"/>
          <w:szCs w:val="22"/>
        </w:rPr>
        <w:t>LNT</w:t>
      </w:r>
      <w:r w:rsidRPr="00AB4DF8">
        <w:rPr>
          <w:sz w:val="22"/>
          <w:szCs w:val="22"/>
        </w:rPr>
        <w:tab/>
      </w:r>
      <w:r w:rsidRPr="00AB4DF8">
        <w:rPr>
          <w:sz w:val="22"/>
          <w:szCs w:val="22"/>
        </w:rPr>
        <w:tab/>
        <w:t>Linear-No-Threshold.  A straight line through the origin (dose=0, effect=0)</w:t>
      </w:r>
    </w:p>
    <w:p w:rsidR="00F36901" w:rsidRPr="00AB4DF8" w:rsidRDefault="00F36901" w:rsidP="00AB4DF8">
      <w:pPr>
        <w:numPr>
          <w:ilvl w:val="0"/>
          <w:numId w:val="1"/>
        </w:numPr>
        <w:suppressLineNumbers/>
        <w:spacing w:line="360" w:lineRule="auto"/>
        <w:contextualSpacing/>
        <w:rPr>
          <w:sz w:val="22"/>
          <w:szCs w:val="22"/>
        </w:rPr>
      </w:pPr>
      <w:r w:rsidRPr="00AB4DF8">
        <w:rPr>
          <w:b/>
          <w:sz w:val="22"/>
          <w:szCs w:val="22"/>
          <w:u w:val="single"/>
        </w:rPr>
        <w:t>NTE</w:t>
      </w:r>
      <w:r w:rsidRPr="00AB4DF8">
        <w:rPr>
          <w:sz w:val="22"/>
          <w:szCs w:val="22"/>
        </w:rPr>
        <w:tab/>
      </w:r>
      <w:r w:rsidRPr="00AB4DF8">
        <w:rPr>
          <w:sz w:val="22"/>
          <w:szCs w:val="22"/>
        </w:rPr>
        <w:tab/>
        <w:t>Non-Targeted Effect(s) due to inter-cellular interactions. ‘Bystander’ effect(s)</w:t>
      </w:r>
    </w:p>
    <w:p w:rsidR="00F36901" w:rsidRPr="00AB4DF8" w:rsidRDefault="00F36901" w:rsidP="00AB4DF8">
      <w:pPr>
        <w:numPr>
          <w:ilvl w:val="0"/>
          <w:numId w:val="1"/>
        </w:numPr>
        <w:suppressLineNumbers/>
        <w:spacing w:line="360" w:lineRule="auto"/>
        <w:contextualSpacing/>
        <w:rPr>
          <w:sz w:val="22"/>
          <w:szCs w:val="22"/>
        </w:rPr>
      </w:pPr>
      <w:r w:rsidRPr="00AB4DF8">
        <w:rPr>
          <w:sz w:val="22"/>
          <w:szCs w:val="22"/>
        </w:rPr>
        <w:t>ODE</w:t>
      </w:r>
      <w:r w:rsidRPr="00AB4DF8">
        <w:rPr>
          <w:sz w:val="22"/>
          <w:szCs w:val="22"/>
        </w:rPr>
        <w:tab/>
      </w:r>
      <w:r w:rsidRPr="00AB4DF8">
        <w:rPr>
          <w:sz w:val="22"/>
          <w:szCs w:val="22"/>
        </w:rPr>
        <w:tab/>
        <w:t>Ordinary Differential Equation</w:t>
      </w:r>
    </w:p>
    <w:p w:rsidR="00F36901" w:rsidRPr="004926E7" w:rsidRDefault="00F36901" w:rsidP="00AB4DF8">
      <w:pPr>
        <w:numPr>
          <w:ilvl w:val="0"/>
          <w:numId w:val="1"/>
        </w:numPr>
        <w:suppressLineNumbers/>
        <w:spacing w:line="360" w:lineRule="auto"/>
        <w:contextualSpacing/>
      </w:pPr>
      <w:r w:rsidRPr="00AB4DF8">
        <w:rPr>
          <w:b/>
          <w:sz w:val="22"/>
          <w:szCs w:val="22"/>
          <w:u w:val="single"/>
        </w:rPr>
        <w:t>TE</w:t>
      </w:r>
      <w:r w:rsidRPr="00AB4DF8">
        <w:rPr>
          <w:sz w:val="22"/>
          <w:szCs w:val="22"/>
        </w:rPr>
        <w:tab/>
      </w:r>
      <w:r w:rsidRPr="00AB4DF8">
        <w:rPr>
          <w:sz w:val="22"/>
          <w:szCs w:val="22"/>
        </w:rPr>
        <w:tab/>
      </w:r>
      <w:r w:rsidRPr="00AB4DF8">
        <w:rPr>
          <w:sz w:val="22"/>
          <w:szCs w:val="22"/>
        </w:rPr>
        <w:tab/>
        <w:t>Targeted Effect(s). Standard radiobiology action due to a direct hit or near miss</w:t>
      </w:r>
    </w:p>
    <w:p w:rsidR="00F36901" w:rsidRPr="00AB4DF8" w:rsidRDefault="00F36901" w:rsidP="004926E7">
      <w:pPr>
        <w:suppressLineNumbers/>
        <w:contextualSpacing/>
      </w:pPr>
      <w:r>
        <w:t xml:space="preserve">In the paper: “concave” and “ convex” are used, as illustrated in Fig. </w:t>
      </w:r>
      <w:proofErr w:type="spellStart"/>
      <w:r>
        <w:t>fff</w:t>
      </w:r>
      <w:proofErr w:type="spellEnd"/>
      <w:r>
        <w:t xml:space="preserve"> below, to refer to second derivatives when analyzing IDER graphs; </w:t>
      </w:r>
      <w:r w:rsidRPr="00F86776">
        <w:t>“low dose” usually refers to doses between 0 and 2 cGy</w:t>
      </w:r>
      <w:r>
        <w:t xml:space="preserve">;  </w:t>
      </w:r>
      <w:r w:rsidRPr="00F86776">
        <w:t>“very low dose” refers to doses between 0 and 5 mGy</w:t>
      </w:r>
      <w:r>
        <w:t>; and “</w:t>
      </w:r>
      <w:proofErr w:type="spellStart"/>
      <w:r>
        <w:t>ultra low</w:t>
      </w:r>
      <w:proofErr w:type="spellEnd"/>
      <w:r>
        <w:t xml:space="preserve"> dose” refers to doses &lt;1 mGy. More details on terminology and a summary of the mathematical symbols used are in sub-section A1 of the supplementary materials.</w:t>
      </w:r>
    </w:p>
    <w:p w:rsidR="00F36901" w:rsidRDefault="00F36901" w:rsidP="008A44E4">
      <w:pPr>
        <w:pStyle w:val="Heading3"/>
      </w:pPr>
      <w:bookmarkStart w:id="12" w:name="_Toc494807939"/>
      <w:r>
        <w:t>1.2. Scope of Paper</w:t>
      </w:r>
      <w:bookmarkEnd w:id="12"/>
      <w:r>
        <w:t xml:space="preserve"> </w:t>
      </w:r>
    </w:p>
    <w:p w:rsidR="00F36901" w:rsidRDefault="00F36901" w:rsidP="004926E7">
      <w:r w:rsidRPr="00F86776">
        <w:t xml:space="preserve">NASA has been concerned about possible synergy when mixed radiation fields produce biological damage (reviewed, e.g., in </w:t>
      </w:r>
      <w:r>
        <w:rPr>
          <w:noProof/>
        </w:rPr>
        <w:t>[Norbury et al. 2016]</w:t>
      </w:r>
      <w:proofErr w:type="gramStart"/>
      <w:r w:rsidRPr="00F86776">
        <w:t>,</w:t>
      </w:r>
      <w:r>
        <w:rPr>
          <w:noProof/>
        </w:rPr>
        <w:t>[</w:t>
      </w:r>
      <w:proofErr w:type="gramEnd"/>
      <w:r>
        <w:rPr>
          <w:noProof/>
        </w:rPr>
        <w:t>Siranart et al. 2016]</w:t>
      </w:r>
      <w:r>
        <w:t>, [Ham et al. 2017rrr]</w:t>
      </w:r>
      <w:r w:rsidRPr="00F86776">
        <w:t>)</w:t>
      </w:r>
      <w:r>
        <w:t>. T</w:t>
      </w:r>
      <w:r w:rsidRPr="00F86776">
        <w:t>here is evidence that synerg</w:t>
      </w:r>
      <w:r>
        <w:t xml:space="preserve">y </w:t>
      </w:r>
      <w:r w:rsidRPr="00F86776">
        <w:t xml:space="preserve">sometimes occurs (e.g. </w:t>
      </w:r>
      <w:r>
        <w:rPr>
          <w:noProof/>
        </w:rPr>
        <w:t>[Bennett et al. 2007]</w:t>
      </w:r>
      <w:r w:rsidRPr="00F86776">
        <w:t xml:space="preserve">). We will here </w:t>
      </w:r>
      <w:r>
        <w:t>use mathematical synergy analyses</w:t>
      </w:r>
      <w:r w:rsidRPr="00F86776">
        <w:t xml:space="preserve"> </w:t>
      </w:r>
      <w:r>
        <w:t>of earlier and proposed experiments on mouse Harderian Gland (HG) radiogenic tumorigenesis after exposure to</w:t>
      </w:r>
      <w:r w:rsidRPr="00F86776">
        <w:t xml:space="preserve"> mix</w:t>
      </w:r>
      <w:r>
        <w:t>tures</w:t>
      </w:r>
      <w:r w:rsidRPr="00F86776">
        <w:t xml:space="preserve"> </w:t>
      </w:r>
      <w:r>
        <w:t>whose components simulate GCR.</w:t>
      </w:r>
    </w:p>
    <w:p w:rsidR="00F36901" w:rsidRDefault="00F36901" w:rsidP="00981E8F">
      <w:r>
        <w:t xml:space="preserve">    There is evidence that HZE</w:t>
      </w:r>
      <w:r w:rsidRPr="00F86776">
        <w:t xml:space="preserve"> </w:t>
      </w:r>
      <w:r>
        <w:t xml:space="preserve">ions probably </w:t>
      </w:r>
      <w:r w:rsidRPr="00F86776">
        <w:t>induce NTE due to inter-cellular interactions</w:t>
      </w:r>
      <w:r>
        <w:t xml:space="preserve"> </w:t>
      </w:r>
      <w:r>
        <w:rPr>
          <w:noProof/>
        </w:rPr>
        <w:t>[Cucinotta and Chappell 2010; Chang et al. 2016]</w:t>
      </w:r>
      <w:r>
        <w:t xml:space="preserve">, </w:t>
      </w:r>
      <w:r w:rsidRPr="00A7497D">
        <w:rPr>
          <w:highlight w:val="yellow"/>
        </w:rPr>
        <w:t xml:space="preserve">so we will use </w:t>
      </w:r>
      <w:proofErr w:type="gramStart"/>
      <w:r w:rsidRPr="00A7497D">
        <w:rPr>
          <w:highlight w:val="yellow"/>
        </w:rPr>
        <w:t>I(</w:t>
      </w:r>
      <w:proofErr w:type="gramEnd"/>
      <w:r w:rsidRPr="00A7497D">
        <w:rPr>
          <w:highlight w:val="yellow"/>
        </w:rPr>
        <w:t>d)</w:t>
      </w:r>
    </w:p>
    <w:p w:rsidR="00F36901" w:rsidRDefault="00F36901" w:rsidP="00F2792B">
      <w:pPr>
        <w:pStyle w:val="Heading3"/>
      </w:pPr>
      <w:bookmarkStart w:id="13" w:name="_Toc494807940"/>
      <w:r>
        <w:lastRenderedPageBreak/>
        <w:t>1.3. Synergy Analysis</w:t>
      </w:r>
      <w:bookmarkEnd w:id="13"/>
    </w:p>
    <w:p w:rsidR="00F36901" w:rsidRDefault="00F36901" w:rsidP="008A365F">
      <w:pPr>
        <w:pStyle w:val="Heading4"/>
      </w:pPr>
      <w:bookmarkStart w:id="14" w:name="_Toc494807941"/>
      <w:r w:rsidRPr="000874F7">
        <w:t>1.3.1. A Brief History of Synergy Theory</w:t>
      </w:r>
      <w:bookmarkEnd w:id="14"/>
    </w:p>
    <w:p w:rsidR="00F36901" w:rsidRPr="00495B56" w:rsidRDefault="00F36901" w:rsidP="00495B56">
      <w:pPr>
        <w:pStyle w:val="Heading3"/>
      </w:pPr>
      <w:bookmarkStart w:id="15" w:name="_Toc494807942"/>
      <w:r>
        <w:t>Lots more stuff here</w:t>
      </w:r>
      <w:bookmarkEnd w:id="15"/>
    </w:p>
    <w:p w:rsidR="00F36901" w:rsidRDefault="00F36901" w:rsidP="009522BB">
      <w:pPr>
        <w:pStyle w:val="Heading2"/>
      </w:pPr>
      <w:bookmarkStart w:id="16" w:name="_Toc494807943"/>
      <w:r>
        <w:t>2. Mathematical and Computational Methods</w:t>
      </w:r>
      <w:bookmarkEnd w:id="16"/>
    </w:p>
    <w:p w:rsidR="00F36901" w:rsidRDefault="00F36901" w:rsidP="009522BB">
      <w:pPr>
        <w:pStyle w:val="Heading3"/>
      </w:pPr>
      <w:bookmarkStart w:id="17" w:name="_Toc494807944"/>
      <w:r>
        <w:t>2.1. Open-Source, Freely Available Programs</w:t>
      </w:r>
      <w:bookmarkEnd w:id="17"/>
      <w:r w:rsidR="00773DC0">
        <w:t xml:space="preserve">; </w:t>
      </w:r>
      <w:r w:rsidR="00773DC0" w:rsidRPr="00773DC0">
        <w:rPr>
          <w:highlight w:val="yellow"/>
        </w:rPr>
        <w:t>fill in Edward’s paragraph</w:t>
      </w:r>
    </w:p>
    <w:p w:rsidR="00F36901" w:rsidRDefault="00F36901" w:rsidP="009522BB">
      <w:pPr>
        <w:pStyle w:val="Heading3"/>
      </w:pPr>
      <w:bookmarkStart w:id="18" w:name="_Toc494807945"/>
      <w:r>
        <w:t>2.2. IDERs: General Approach</w:t>
      </w:r>
      <w:r w:rsidRPr="00B334D9">
        <w:rPr>
          <w:sz w:val="18"/>
          <w:szCs w:val="18"/>
        </w:rPr>
        <w:t xml:space="preserve"> </w:t>
      </w:r>
      <w:r w:rsidRPr="00773DC0">
        <w:rPr>
          <w:sz w:val="18"/>
          <w:szCs w:val="18"/>
          <w:highlight w:val="yellow"/>
        </w:rPr>
        <w:t>[almost always use toy examples for 1</w:t>
      </w:r>
      <w:r w:rsidRPr="00773DC0">
        <w:rPr>
          <w:sz w:val="18"/>
          <w:szCs w:val="18"/>
          <w:highlight w:val="yellow"/>
          <w:vertAlign w:val="superscript"/>
        </w:rPr>
        <w:t>st</w:t>
      </w:r>
      <w:r w:rsidRPr="00773DC0">
        <w:rPr>
          <w:sz w:val="18"/>
          <w:szCs w:val="18"/>
          <w:highlight w:val="yellow"/>
        </w:rPr>
        <w:t xml:space="preserve"> year 1-variable calculus audience]</w:t>
      </w:r>
      <w:bookmarkEnd w:id="18"/>
    </w:p>
    <w:p w:rsidR="00F36901" w:rsidRDefault="00F36901" w:rsidP="008A365F">
      <w:pPr>
        <w:pStyle w:val="Heading4"/>
      </w:pPr>
      <w:bookmarkStart w:id="19" w:name="_Toc494807946"/>
      <w:r>
        <w:t>2.2.1. General Requirements on IDER</w:t>
      </w:r>
      <w:bookmarkEnd w:id="19"/>
      <w:r w:rsidR="00BC433A">
        <w:t>s</w:t>
      </w:r>
    </w:p>
    <w:p w:rsidR="00F36901" w:rsidRDefault="00F36901" w:rsidP="009522BB">
      <w:proofErr w:type="gramStart"/>
      <w:r>
        <w:t>Notation.</w:t>
      </w:r>
      <w:proofErr w:type="gramEnd"/>
      <w:r>
        <w:t xml:space="preserve"> </w:t>
      </w:r>
      <w:proofErr w:type="gramStart"/>
      <w:r>
        <w:t>dose.</w:t>
      </w:r>
      <w:proofErr w:type="gramEnd"/>
      <w:r>
        <w:t xml:space="preserve"> </w:t>
      </w:r>
      <w:proofErr w:type="gramStart"/>
      <w:r>
        <w:t>labeled by index or by biophysical parameters.</w:t>
      </w:r>
      <w:proofErr w:type="gramEnd"/>
      <w:r>
        <w:t xml:space="preserve"> contain adjustable parameters</w:t>
      </w:r>
    </w:p>
    <w:p w:rsidR="00F36901" w:rsidRDefault="00F36901" w:rsidP="009522BB">
      <w:r>
        <w:t>IDERs defined and C</w:t>
      </w:r>
      <w:r>
        <w:rPr>
          <w:vertAlign w:val="superscript"/>
        </w:rPr>
        <w:t xml:space="preserve">2 </w:t>
      </w:r>
      <w:r>
        <w:t>on half open interval [0</w:t>
      </w:r>
      <w:proofErr w:type="gramStart"/>
      <w:r>
        <w:t>,infinity</w:t>
      </w:r>
      <w:proofErr w:type="gramEnd"/>
      <w:r>
        <w:t xml:space="preserve">) of dose axis. </w:t>
      </w:r>
      <w:proofErr w:type="gramStart"/>
      <w:r>
        <w:t>0 at dose 0.</w:t>
      </w:r>
      <w:proofErr w:type="gramEnd"/>
      <w:r>
        <w:t xml:space="preserve"> </w:t>
      </w:r>
      <w:proofErr w:type="gramStart"/>
      <w:r>
        <w:t>E &lt;1 for all doses.</w:t>
      </w:r>
      <w:proofErr w:type="gramEnd"/>
    </w:p>
    <w:p w:rsidR="00F36901" w:rsidRDefault="00F36901" w:rsidP="00A7497D">
      <w:pPr>
        <w:pStyle w:val="Heading4"/>
      </w:pPr>
      <w:bookmarkStart w:id="20" w:name="_Toc494807947"/>
      <w:r>
        <w:t>2.2.2. Concave/Convex Terminology as Regards Second Derivatives</w:t>
      </w:r>
      <w:bookmarkEnd w:id="20"/>
    </w:p>
    <w:p w:rsidR="00F36901" w:rsidRPr="001347D3" w:rsidRDefault="00F36901" w:rsidP="009522BB">
      <w:r>
        <w:t xml:space="preserve">Use a 3-panel Figure with concave, convex, and inflection point IDERs to illustrate the following items. </w:t>
      </w:r>
      <w:proofErr w:type="gramStart"/>
      <w:r>
        <w:t>Suppose d</w:t>
      </w:r>
      <w:r>
        <w:rPr>
          <w:vertAlign w:val="superscript"/>
        </w:rPr>
        <w:t>2</w:t>
      </w:r>
      <w:r>
        <w:t>E/dd</w:t>
      </w:r>
      <w:r>
        <w:rPr>
          <w:vertAlign w:val="superscript"/>
        </w:rPr>
        <w:t>2</w:t>
      </w:r>
      <w:r>
        <w:t xml:space="preserve"> &lt; 0 for all doses in an open interval, then E is (strictly) “concave” for all such doses; &gt; 0 (strictly) convex.</w:t>
      </w:r>
      <w:proofErr w:type="gramEnd"/>
      <w:r>
        <w:t xml:space="preserve"> </w:t>
      </w:r>
      <w:proofErr w:type="gramStart"/>
      <w:r>
        <w:t>Inflection point.</w:t>
      </w:r>
      <w:proofErr w:type="gramEnd"/>
      <w:r>
        <w:t xml:space="preserve"> Aside: convex graphs have a much more general definition in mathematics [give reference] but here we will only need the above.</w:t>
      </w:r>
    </w:p>
    <w:p w:rsidR="00F36901" w:rsidRPr="00D448AA" w:rsidRDefault="00F36901" w:rsidP="008A365F">
      <w:pPr>
        <w:pStyle w:val="Heading4"/>
      </w:pPr>
      <w:bookmarkStart w:id="21" w:name="_Toc494807948"/>
      <w:r w:rsidRPr="00D448AA">
        <w:t>2.2.3. The Hazard Function Equation</w:t>
      </w:r>
      <w:bookmarkEnd w:id="21"/>
    </w:p>
    <w:p w:rsidR="00B66347" w:rsidRDefault="00B66347" w:rsidP="008A365F">
      <w:r>
        <w:t xml:space="preserve">(2.2.3.1)     </w:t>
      </w:r>
      <w:r w:rsidR="00F36901" w:rsidRPr="00D448AA">
        <w:rPr>
          <w:i/>
        </w:rPr>
        <w:t>E</w:t>
      </w:r>
      <w:r w:rsidR="00F36901" w:rsidRPr="00D448AA">
        <w:t>=1-</w:t>
      </w:r>
      <w:proofErr w:type="gramStart"/>
      <w:r w:rsidR="00F36901" w:rsidRPr="00D448AA">
        <w:t>exp(</w:t>
      </w:r>
      <w:proofErr w:type="gramEnd"/>
      <w:r w:rsidR="00F36901" w:rsidRPr="00D448AA">
        <w:t>-</w:t>
      </w:r>
      <w:r w:rsidR="00F36901" w:rsidRPr="00D448AA">
        <w:rPr>
          <w:i/>
        </w:rPr>
        <w:t>H</w:t>
      </w:r>
      <w:r w:rsidR="00F36901" w:rsidRPr="00D448AA">
        <w:t xml:space="preserve">). </w:t>
      </w:r>
    </w:p>
    <w:p w:rsidR="00F36901" w:rsidRPr="00D448AA" w:rsidRDefault="00F36901" w:rsidP="008A365F">
      <w:r w:rsidRPr="00D448AA">
        <w:t>Motivate</w:t>
      </w:r>
      <w:r w:rsidR="00BC433A">
        <w:t>: Automatically incorporates upper limit 1 without needing to add extra parameters</w:t>
      </w:r>
    </w:p>
    <w:p w:rsidR="00F36901" w:rsidRDefault="00F36901" w:rsidP="008A365F">
      <w:r w:rsidRPr="00D448AA">
        <w:rPr>
          <w:i/>
        </w:rPr>
        <w:t>E</w:t>
      </w:r>
      <w:r w:rsidRPr="00D448AA">
        <w:t xml:space="preserve"> is IDER (section 2.2.1) </w:t>
      </w:r>
      <w:proofErr w:type="spellStart"/>
      <w:r w:rsidRPr="00D448AA">
        <w:t>iff</w:t>
      </w:r>
      <w:proofErr w:type="spellEnd"/>
      <w:r w:rsidRPr="00D448AA">
        <w:t xml:space="preserve"> </w:t>
      </w:r>
      <w:r w:rsidRPr="00D448AA">
        <w:rPr>
          <w:i/>
        </w:rPr>
        <w:t>H</w:t>
      </w:r>
      <w:r w:rsidRPr="00D448AA">
        <w:t xml:space="preserve"> is IDER.</w:t>
      </w:r>
    </w:p>
    <w:p w:rsidR="00BC433A" w:rsidRDefault="00BC433A" w:rsidP="008A365F">
      <w:r>
        <w:t xml:space="preserve">If </w:t>
      </w:r>
      <w:r w:rsidRPr="00773DC0">
        <w:rPr>
          <w:i/>
        </w:rPr>
        <w:t>H</w:t>
      </w:r>
      <w:r>
        <w:t xml:space="preserve"> LNT then slope of </w:t>
      </w:r>
      <w:r w:rsidRPr="00773DC0">
        <w:rPr>
          <w:i/>
        </w:rPr>
        <w:t>E</w:t>
      </w:r>
      <w:r>
        <w:t xml:space="preserve"> at d=0 is the constant H slope.</w:t>
      </w:r>
    </w:p>
    <w:p w:rsidR="00F36901" w:rsidRDefault="00F36901" w:rsidP="00AB4F0C">
      <w:pPr>
        <w:pStyle w:val="Heading3"/>
      </w:pPr>
      <w:bookmarkStart w:id="22" w:name="_Toc494807950"/>
      <w:r>
        <w:t>2.3. IDERs Used in This Paper</w:t>
      </w:r>
      <w:bookmarkEnd w:id="22"/>
    </w:p>
    <w:p w:rsidR="007F5BB4" w:rsidRDefault="007F5BB4" w:rsidP="007F5BB4">
      <w:pPr>
        <w:pStyle w:val="Heading4"/>
      </w:pPr>
      <w:r>
        <w:t>2.3.1. Motivations</w:t>
      </w:r>
    </w:p>
    <w:p w:rsidR="007F5BB4" w:rsidRDefault="007F5BB4" w:rsidP="007F5BB4">
      <w:r>
        <w:t>Cuc/Cacao 17 didn’t fully exploit the advantages of their clever hazard function formula.</w:t>
      </w:r>
    </w:p>
    <w:p w:rsidR="00534B97" w:rsidRDefault="00534B97" w:rsidP="00534B97">
      <w:pPr>
        <w:pStyle w:val="Heading4"/>
      </w:pPr>
      <w:r>
        <w:t>2.3.2. IDERs: Functional Forms</w:t>
      </w:r>
    </w:p>
    <w:p w:rsidR="00B22DFC" w:rsidRDefault="00BA5C1B" w:rsidP="00534B97">
      <w:r>
        <w:t xml:space="preserve">For HZE_TE: </w:t>
      </w:r>
    </w:p>
    <w:p w:rsidR="00534B97" w:rsidRDefault="00B66347" w:rsidP="00534B97">
      <w:r>
        <w:t xml:space="preserve">(2.3.2.1)     </w:t>
      </w:r>
      <w:r w:rsidR="00BA5C1B" w:rsidRPr="00AB7259">
        <w:rPr>
          <w:i/>
        </w:rPr>
        <w:t>H</w:t>
      </w:r>
      <w:r w:rsidR="00BA5C1B">
        <w:t>=-.01[</w:t>
      </w:r>
      <w:r w:rsidR="00BA5C1B" w:rsidRPr="00AB7259">
        <w:rPr>
          <w:i/>
        </w:rPr>
        <w:t>aate1</w:t>
      </w:r>
      <w:r w:rsidR="00636BF6">
        <w:t xml:space="preserve"> </w:t>
      </w:r>
      <w:r w:rsidR="00636BF6" w:rsidRPr="00636BF6">
        <w:rPr>
          <w:rFonts w:asciiTheme="minorHAnsi" w:hAnsiTheme="minorHAnsi" w:cstheme="minorHAnsi"/>
          <w:sz w:val="20"/>
          <w:szCs w:val="20"/>
        </w:rPr>
        <w:t>x</w:t>
      </w:r>
      <w:r w:rsidR="00636BF6">
        <w:rPr>
          <w:rFonts w:asciiTheme="minorHAnsi" w:hAnsiTheme="minorHAnsi" w:cstheme="minorHAnsi"/>
        </w:rPr>
        <w:t xml:space="preserve"> </w:t>
      </w:r>
      <w:r w:rsidR="00BA5C1B" w:rsidRPr="00AB7259">
        <w:rPr>
          <w:i/>
        </w:rPr>
        <w:t>L</w:t>
      </w:r>
      <w:r w:rsidR="00636BF6">
        <w:t xml:space="preserve"> </w:t>
      </w:r>
      <w:r w:rsidR="00636BF6">
        <w:rPr>
          <w:rFonts w:asciiTheme="minorHAnsi" w:hAnsiTheme="minorHAnsi" w:cstheme="minorHAnsi"/>
          <w:sz w:val="20"/>
          <w:szCs w:val="20"/>
        </w:rPr>
        <w:t>x</w:t>
      </w:r>
      <w:r w:rsidR="00636BF6">
        <w:rPr>
          <w:rFonts w:asciiTheme="minorHAnsi" w:hAnsiTheme="minorHAnsi" w:cstheme="minorHAnsi"/>
        </w:rPr>
        <w:t xml:space="preserve"> </w:t>
      </w:r>
      <w:r w:rsidR="00BA5C1B" w:rsidRPr="00AB7259">
        <w:rPr>
          <w:i/>
        </w:rPr>
        <w:t>d</w:t>
      </w:r>
      <w:r w:rsidR="00636BF6">
        <w:t xml:space="preserve"> </w:t>
      </w:r>
      <w:r w:rsidR="00636BF6">
        <w:rPr>
          <w:rFonts w:asciiTheme="minorHAnsi" w:hAnsiTheme="minorHAnsi" w:cstheme="minorHAnsi"/>
          <w:sz w:val="20"/>
          <w:szCs w:val="20"/>
        </w:rPr>
        <w:t>x</w:t>
      </w:r>
      <w:r w:rsidR="00636BF6">
        <w:rPr>
          <w:rFonts w:asciiTheme="minorHAnsi" w:hAnsiTheme="minorHAnsi" w:cstheme="minorHAnsi"/>
        </w:rPr>
        <w:t xml:space="preserve"> </w:t>
      </w:r>
      <w:proofErr w:type="gramStart"/>
      <w:r w:rsidR="00BA5C1B">
        <w:t>exp(</w:t>
      </w:r>
      <w:proofErr w:type="gramEnd"/>
      <w:r w:rsidR="00BA5C1B">
        <w:t>-</w:t>
      </w:r>
      <w:r w:rsidR="00BA5C1B" w:rsidRPr="00AB7259">
        <w:rPr>
          <w:i/>
        </w:rPr>
        <w:t>aate2</w:t>
      </w:r>
      <w:r w:rsidR="00636BF6">
        <w:t xml:space="preserve"> </w:t>
      </w:r>
      <w:r w:rsidR="00636BF6">
        <w:rPr>
          <w:rFonts w:asciiTheme="minorHAnsi" w:hAnsiTheme="minorHAnsi" w:cstheme="minorHAnsi"/>
          <w:sz w:val="20"/>
          <w:szCs w:val="20"/>
        </w:rPr>
        <w:t>x</w:t>
      </w:r>
      <w:r w:rsidR="00636BF6">
        <w:rPr>
          <w:rFonts w:asciiTheme="minorHAnsi" w:hAnsiTheme="minorHAnsi" w:cstheme="minorHAnsi"/>
        </w:rPr>
        <w:t xml:space="preserve"> </w:t>
      </w:r>
      <w:r w:rsidR="00BA5C1B" w:rsidRPr="00AB7259">
        <w:rPr>
          <w:i/>
        </w:rPr>
        <w:t>L</w:t>
      </w:r>
      <w:r w:rsidR="00BA5C1B">
        <w:t>)</w:t>
      </w:r>
      <w:r w:rsidR="00636BF6">
        <w:t>]</w:t>
      </w:r>
    </w:p>
    <w:p w:rsidR="00AB7259" w:rsidRPr="00B22DFC" w:rsidRDefault="00AB7259" w:rsidP="00534B97">
      <w:r>
        <w:t>Here</w:t>
      </w:r>
      <w:r w:rsidR="00B22DFC">
        <w:t xml:space="preserve">: </w:t>
      </w:r>
      <w:r w:rsidR="00B22DFC">
        <w:rPr>
          <w:i/>
        </w:rPr>
        <w:t>H</w:t>
      </w:r>
      <w:r w:rsidR="00B22DFC">
        <w:t xml:space="preserve"> is the hazard function; aate1 is an adjustable parameter with dimensions </w:t>
      </w:r>
      <w:r w:rsidR="00B22DFC">
        <w:rPr>
          <w:rFonts w:cs="Times"/>
        </w:rPr>
        <w:t>μ</w:t>
      </w:r>
      <w:r w:rsidR="00B22DFC">
        <w:t>m Gy</w:t>
      </w:r>
      <w:r w:rsidR="00B22DFC">
        <w:rPr>
          <w:vertAlign w:val="superscript"/>
        </w:rPr>
        <w:t>-1</w:t>
      </w:r>
      <w:r w:rsidR="00B22DFC">
        <w:t xml:space="preserve"> keV</w:t>
      </w:r>
      <w:r w:rsidR="00B22DFC">
        <w:rPr>
          <w:vertAlign w:val="superscript"/>
        </w:rPr>
        <w:t>-1</w:t>
      </w:r>
      <w:r w:rsidR="00B22DFC">
        <w:t xml:space="preserve"> </w:t>
      </w:r>
      <w:r w:rsidR="00B22DFC" w:rsidRPr="00B66347">
        <w:rPr>
          <w:highlight w:val="yellow"/>
        </w:rPr>
        <w:t>(Edward:</w:t>
      </w:r>
      <w:r w:rsidR="00B66347">
        <w:t xml:space="preserve"> </w:t>
      </w:r>
      <w:r w:rsidR="00B66347" w:rsidRPr="00B66347">
        <w:rPr>
          <w:highlight w:val="yellow"/>
        </w:rPr>
        <w:t>explain Eq. (2.3.2.1)</w:t>
      </w:r>
      <w:r w:rsidR="00B22DFC">
        <w:t xml:space="preserve"> </w:t>
      </w:r>
    </w:p>
    <w:p w:rsidR="00F36901" w:rsidRDefault="00F36901" w:rsidP="00AB4F0C">
      <w:pPr>
        <w:pStyle w:val="Heading3"/>
      </w:pPr>
      <w:bookmarkStart w:id="23" w:name="_Toc494807951"/>
      <w:r>
        <w:lastRenderedPageBreak/>
        <w:t xml:space="preserve">2.4. Synergy Analysis </w:t>
      </w:r>
      <w:bookmarkStart w:id="24" w:name="_GoBack"/>
      <w:bookmarkEnd w:id="23"/>
      <w:bookmarkEnd w:id="24"/>
    </w:p>
    <w:p w:rsidR="00F36901" w:rsidRDefault="00F36901" w:rsidP="008A365F"/>
    <w:p w:rsidR="00F36901" w:rsidRDefault="000C3231" w:rsidP="000C3231">
      <w:pPr>
        <w:pStyle w:val="Heading2"/>
      </w:pPr>
      <w:r>
        <w:t>Bibliography</w:t>
      </w:r>
    </w:p>
    <w:p w:rsidR="00F36901" w:rsidRPr="00BC6E39" w:rsidRDefault="00F36901" w:rsidP="00BC6E39">
      <w:pPr>
        <w:pStyle w:val="EndNoteBibliography"/>
      </w:pPr>
      <w:bookmarkStart w:id="25" w:name="_ENREF_1"/>
      <w:r w:rsidRPr="00BC6E39">
        <w:t>1.</w:t>
      </w:r>
      <w:r w:rsidRPr="00BC6E39">
        <w:tab/>
        <w:t xml:space="preserve">Bennett PV, NC Cutter and BM Sutherland. "Split-dose exposures versus dual ion exposure in human cell neoplastic transformation." </w:t>
      </w:r>
      <w:r w:rsidRPr="00BC6E39">
        <w:rPr>
          <w:u w:val="single"/>
        </w:rPr>
        <w:t>Radiat Environ Biophys</w:t>
      </w:r>
      <w:r w:rsidRPr="00BC6E39">
        <w:t xml:space="preserve"> </w:t>
      </w:r>
      <w:r w:rsidRPr="00BC6E39">
        <w:rPr>
          <w:b/>
        </w:rPr>
        <w:t>46</w:t>
      </w:r>
      <w:r w:rsidRPr="00BC6E39">
        <w:t xml:space="preserve">(2): 119-123. (2007).  </w:t>
      </w:r>
    </w:p>
    <w:bookmarkEnd w:id="25"/>
    <w:p w:rsidR="00F36901" w:rsidRPr="00BC6E39" w:rsidRDefault="00F36901" w:rsidP="00BC6E39">
      <w:pPr>
        <w:pStyle w:val="EndNoteBibliography"/>
      </w:pPr>
    </w:p>
    <w:p w:rsidR="00F36901" w:rsidRPr="00BC6E39" w:rsidRDefault="00F36901" w:rsidP="00BC6E39">
      <w:pPr>
        <w:pStyle w:val="EndNoteBibliography"/>
      </w:pPr>
      <w:bookmarkStart w:id="26" w:name="_ENREF_2"/>
      <w:r w:rsidRPr="00BC6E39">
        <w:t>2.</w:t>
      </w:r>
      <w:r w:rsidRPr="00BC6E39">
        <w:tab/>
        <w:t xml:space="preserve">Chang PY, FA Cucinotta, KA Bjornstad, J Bakke, CJ Rosen, N Du, . . . EA Blakely. "Harderian Gland Tumorigenesis: Low-Dose and LET Response." </w:t>
      </w:r>
      <w:r w:rsidRPr="00BC6E39">
        <w:rPr>
          <w:u w:val="single"/>
        </w:rPr>
        <w:t>Radiat Res</w:t>
      </w:r>
      <w:r w:rsidRPr="00BC6E39">
        <w:t xml:space="preserve"> </w:t>
      </w:r>
      <w:r w:rsidRPr="00BC6E39">
        <w:rPr>
          <w:b/>
        </w:rPr>
        <w:t>185</w:t>
      </w:r>
      <w:r w:rsidRPr="00BC6E39">
        <w:t xml:space="preserve">(5): 449-460. (2016).  </w:t>
      </w:r>
    </w:p>
    <w:bookmarkEnd w:id="26"/>
    <w:p w:rsidR="00F36901" w:rsidRPr="00BC6E39" w:rsidRDefault="00F36901" w:rsidP="00BC6E39">
      <w:pPr>
        <w:pStyle w:val="EndNoteBibliography"/>
      </w:pPr>
    </w:p>
    <w:p w:rsidR="00F36901" w:rsidRPr="00BC6E39" w:rsidRDefault="00F36901" w:rsidP="00BC6E39">
      <w:pPr>
        <w:pStyle w:val="EndNoteBibliography"/>
      </w:pPr>
      <w:bookmarkStart w:id="27" w:name="_ENREF_3"/>
      <w:r w:rsidRPr="00BC6E39">
        <w:t>3.</w:t>
      </w:r>
      <w:r w:rsidRPr="00BC6E39">
        <w:tab/>
        <w:t xml:space="preserve">Cucinotta FA and LJ Chappell. "Non-targeted effects and the dose response for heavy ion tumor induction." </w:t>
      </w:r>
      <w:r w:rsidRPr="00BC6E39">
        <w:rPr>
          <w:u w:val="single"/>
        </w:rPr>
        <w:t>Mutat Res</w:t>
      </w:r>
      <w:r w:rsidRPr="00BC6E39">
        <w:t xml:space="preserve"> </w:t>
      </w:r>
      <w:r w:rsidRPr="00BC6E39">
        <w:rPr>
          <w:b/>
        </w:rPr>
        <w:t>687</w:t>
      </w:r>
      <w:r w:rsidRPr="00BC6E39">
        <w:t xml:space="preserve">(1-2): 49-53. (2010).  </w:t>
      </w:r>
    </w:p>
    <w:bookmarkEnd w:id="27"/>
    <w:p w:rsidR="00F36901" w:rsidRPr="00BC6E39" w:rsidRDefault="00F36901" w:rsidP="00BC6E39">
      <w:pPr>
        <w:pStyle w:val="EndNoteBibliography"/>
      </w:pPr>
    </w:p>
    <w:p w:rsidR="00F36901" w:rsidRPr="00BC6E39" w:rsidRDefault="00F36901" w:rsidP="00BC6E39">
      <w:pPr>
        <w:pStyle w:val="EndNoteBibliography"/>
      </w:pPr>
      <w:bookmarkStart w:id="28" w:name="_ENREF_4"/>
      <w:r w:rsidRPr="00BC6E39">
        <w:t>4.</w:t>
      </w:r>
      <w:r w:rsidRPr="00BC6E39">
        <w:tab/>
        <w:t xml:space="preserve">Norbury JW, W Schimmerling, TC Slaba, EI Azzam, FF Badavi, G Baiocco, . . . CJ Zeitlin. "Galactic cosmic ray simulation at the NASA Space Radiation Laboratory." </w:t>
      </w:r>
      <w:r w:rsidRPr="00BC6E39">
        <w:rPr>
          <w:u w:val="single"/>
        </w:rPr>
        <w:t>Life Sci Space Res (Amst)</w:t>
      </w:r>
      <w:r w:rsidRPr="00BC6E39">
        <w:t xml:space="preserve"> </w:t>
      </w:r>
      <w:r w:rsidRPr="00BC6E39">
        <w:rPr>
          <w:b/>
        </w:rPr>
        <w:t>8</w:t>
      </w:r>
      <w:r w:rsidRPr="00BC6E39">
        <w:t xml:space="preserve">: 38-51. (2016).  </w:t>
      </w:r>
    </w:p>
    <w:bookmarkEnd w:id="28"/>
    <w:p w:rsidR="00F36901" w:rsidRPr="00BC6E39" w:rsidRDefault="00F36901" w:rsidP="00BC6E39">
      <w:pPr>
        <w:pStyle w:val="EndNoteBibliography"/>
      </w:pPr>
    </w:p>
    <w:p w:rsidR="00F36901" w:rsidRPr="00BC6E39" w:rsidRDefault="00F36901" w:rsidP="00BC6E39">
      <w:pPr>
        <w:pStyle w:val="EndNoteBibliography"/>
      </w:pPr>
      <w:bookmarkStart w:id="29" w:name="_ENREF_5"/>
      <w:r w:rsidRPr="00BC6E39">
        <w:t>5.</w:t>
      </w:r>
      <w:r w:rsidRPr="00BC6E39">
        <w:tab/>
        <w:t xml:space="preserve">Siranart N, EA Blakely, A Cheng, N Handa and RK Sachs. "Mixed Beam Murine Harderian Gland Tumorigenesis: Predicted Dose-Effect Relationships if neither Synergism nor Antagonism Occurs." </w:t>
      </w:r>
      <w:r w:rsidRPr="00BC6E39">
        <w:rPr>
          <w:u w:val="single"/>
        </w:rPr>
        <w:t>Radiat Res</w:t>
      </w:r>
      <w:r w:rsidRPr="00BC6E39">
        <w:t xml:space="preserve"> </w:t>
      </w:r>
      <w:r w:rsidRPr="00BC6E39">
        <w:rPr>
          <w:b/>
        </w:rPr>
        <w:t>186</w:t>
      </w:r>
      <w:r w:rsidRPr="00BC6E39">
        <w:t xml:space="preserve">(6): 577-591. (2016).  </w:t>
      </w:r>
    </w:p>
    <w:bookmarkEnd w:id="29"/>
    <w:p w:rsidR="00F36901" w:rsidRPr="00BC6E39" w:rsidRDefault="00F36901" w:rsidP="00BC6E39">
      <w:pPr>
        <w:pStyle w:val="EndNoteBibliography"/>
      </w:pPr>
    </w:p>
    <w:p w:rsidR="00F36901" w:rsidRPr="008A365F" w:rsidRDefault="00F36901" w:rsidP="008A365F"/>
    <w:p w:rsidR="003835E9" w:rsidRDefault="003835E9"/>
    <w:sectPr w:rsidR="003835E9" w:rsidSect="007F5772">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NND K+ Gulliver">
    <w:altName w:val="Gulliver"/>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54264B"/>
    <w:multiLevelType w:val="hybridMultilevel"/>
    <w:tmpl w:val="9430737A"/>
    <w:lvl w:ilvl="0" w:tplc="B41E7B6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1&lt;/Suspended&gt;&lt;/ENInstantFormat&gt;"/>
  </w:docVars>
  <w:rsids>
    <w:rsidRoot w:val="00F36901"/>
    <w:rsid w:val="00084737"/>
    <w:rsid w:val="00084B99"/>
    <w:rsid w:val="00086A8C"/>
    <w:rsid w:val="000C3231"/>
    <w:rsid w:val="001E5D92"/>
    <w:rsid w:val="00206D85"/>
    <w:rsid w:val="003469BE"/>
    <w:rsid w:val="003835E9"/>
    <w:rsid w:val="00462937"/>
    <w:rsid w:val="004B1C2E"/>
    <w:rsid w:val="004D3378"/>
    <w:rsid w:val="00534B97"/>
    <w:rsid w:val="00636BF6"/>
    <w:rsid w:val="00735B5B"/>
    <w:rsid w:val="007372C8"/>
    <w:rsid w:val="007473EB"/>
    <w:rsid w:val="00773DC0"/>
    <w:rsid w:val="007B3980"/>
    <w:rsid w:val="007F1981"/>
    <w:rsid w:val="007F5772"/>
    <w:rsid w:val="007F5BB4"/>
    <w:rsid w:val="00950EC2"/>
    <w:rsid w:val="00AB7259"/>
    <w:rsid w:val="00B22DFC"/>
    <w:rsid w:val="00B66347"/>
    <w:rsid w:val="00BA5C1B"/>
    <w:rsid w:val="00BC433A"/>
    <w:rsid w:val="00C24580"/>
    <w:rsid w:val="00D448AA"/>
    <w:rsid w:val="00D74366"/>
    <w:rsid w:val="00E110AE"/>
    <w:rsid w:val="00F369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lsdException w:name="heading 6" w:uiPriority="9"/>
    <w:lsdException w:name="heading 7" w:uiPriority="9"/>
    <w:lsdException w:name="heading 8" w:uiPriority="9"/>
    <w:lsdException w:name="heading 9" w:uiPriority="9"/>
    <w:lsdException w:name="toc 1" w:uiPriority="39" w:qFormat="1"/>
    <w:lsdException w:name="toc 2" w:uiPriority="39" w:qFormat="1"/>
    <w:lsdException w:name="toc 3" w:uiPriority="39" w:qFormat="1"/>
    <w:lsdException w:name="toc 4" w:uiPriority="39" w:qFormat="1"/>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6901"/>
    <w:pPr>
      <w:spacing w:line="480" w:lineRule="auto"/>
    </w:pPr>
    <w:rPr>
      <w:rFonts w:ascii="Times" w:hAnsi="Times"/>
      <w:sz w:val="24"/>
      <w:szCs w:val="24"/>
    </w:rPr>
  </w:style>
  <w:style w:type="paragraph" w:styleId="Heading1">
    <w:name w:val="heading 1"/>
    <w:basedOn w:val="Normal"/>
    <w:next w:val="Normal"/>
    <w:link w:val="Heading1Char"/>
    <w:qFormat/>
    <w:rsid w:val="00F36901"/>
    <w:pPr>
      <w:keepNext/>
      <w:jc w:val="center"/>
      <w:outlineLvl w:val="0"/>
    </w:pPr>
    <w:rPr>
      <w:rFonts w:ascii="Times New Roman" w:hAnsi="Times New Roman" w:cs="Arial"/>
      <w:b/>
      <w:bCs/>
      <w:sz w:val="28"/>
      <w:szCs w:val="28"/>
    </w:rPr>
  </w:style>
  <w:style w:type="paragraph" w:styleId="Heading2">
    <w:name w:val="heading 2"/>
    <w:basedOn w:val="Normal"/>
    <w:next w:val="Normal"/>
    <w:link w:val="Heading2Char"/>
    <w:qFormat/>
    <w:rsid w:val="00F36901"/>
    <w:pPr>
      <w:outlineLvl w:val="1"/>
    </w:pPr>
    <w:rPr>
      <w:b/>
      <w:u w:val="single"/>
    </w:rPr>
  </w:style>
  <w:style w:type="paragraph" w:styleId="Heading3">
    <w:name w:val="heading 3"/>
    <w:basedOn w:val="Normal"/>
    <w:next w:val="Normal"/>
    <w:link w:val="Heading3Char"/>
    <w:qFormat/>
    <w:rsid w:val="00F36901"/>
    <w:pPr>
      <w:keepNext/>
      <w:outlineLvl w:val="2"/>
    </w:pPr>
    <w:rPr>
      <w:rFonts w:ascii="Arial" w:hAnsi="Arial" w:cs="Arial"/>
      <w:sz w:val="22"/>
    </w:rPr>
  </w:style>
  <w:style w:type="paragraph" w:styleId="Heading4">
    <w:name w:val="heading 4"/>
    <w:basedOn w:val="Normal"/>
    <w:next w:val="Normal"/>
    <w:link w:val="Heading4Char"/>
    <w:qFormat/>
    <w:rsid w:val="00F36901"/>
    <w:pPr>
      <w:keepNext/>
      <w:outlineLvl w:val="3"/>
    </w:pPr>
    <w:rPr>
      <w:rFonts w:ascii="Times New Roman" w:hAnsi="Times New Roman" w:cs="Arial"/>
      <w:bCs/>
      <w:i/>
      <w:szCs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1">
    <w:name w:val="Style1"/>
    <w:uiPriority w:val="1"/>
    <w:qFormat/>
    <w:rsid w:val="00F36901"/>
    <w:rPr>
      <w:rFonts w:ascii="Times New Roman" w:hAnsi="Times New Roman"/>
      <w:sz w:val="24"/>
    </w:rPr>
  </w:style>
  <w:style w:type="character" w:customStyle="1" w:styleId="Heading1Char">
    <w:name w:val="Heading 1 Char"/>
    <w:basedOn w:val="DefaultParagraphFont"/>
    <w:link w:val="Heading1"/>
    <w:rsid w:val="00F36901"/>
    <w:rPr>
      <w:rFonts w:cs="Arial"/>
      <w:b/>
      <w:bCs/>
      <w:sz w:val="28"/>
      <w:szCs w:val="28"/>
    </w:rPr>
  </w:style>
  <w:style w:type="character" w:customStyle="1" w:styleId="Heading2Char">
    <w:name w:val="Heading 2 Char"/>
    <w:basedOn w:val="DefaultParagraphFont"/>
    <w:link w:val="Heading2"/>
    <w:rsid w:val="00F36901"/>
    <w:rPr>
      <w:rFonts w:ascii="Times" w:hAnsi="Times"/>
      <w:b/>
      <w:sz w:val="24"/>
      <w:szCs w:val="24"/>
      <w:u w:val="single"/>
    </w:rPr>
  </w:style>
  <w:style w:type="character" w:customStyle="1" w:styleId="Heading3Char">
    <w:name w:val="Heading 3 Char"/>
    <w:basedOn w:val="DefaultParagraphFont"/>
    <w:link w:val="Heading3"/>
    <w:rsid w:val="00F36901"/>
    <w:rPr>
      <w:rFonts w:ascii="Arial" w:hAnsi="Arial" w:cs="Arial"/>
      <w:sz w:val="22"/>
      <w:szCs w:val="24"/>
    </w:rPr>
  </w:style>
  <w:style w:type="character" w:customStyle="1" w:styleId="Heading4Char">
    <w:name w:val="Heading 4 Char"/>
    <w:basedOn w:val="DefaultParagraphFont"/>
    <w:link w:val="Heading4"/>
    <w:rsid w:val="00F36901"/>
    <w:rPr>
      <w:rFonts w:cs="Arial"/>
      <w:bCs/>
      <w:i/>
      <w:sz w:val="24"/>
      <w:szCs w:val="22"/>
      <w:u w:val="single"/>
    </w:rPr>
  </w:style>
  <w:style w:type="paragraph" w:styleId="TOC1">
    <w:name w:val="toc 1"/>
    <w:basedOn w:val="Normal"/>
    <w:next w:val="Normal"/>
    <w:uiPriority w:val="39"/>
    <w:qFormat/>
    <w:rsid w:val="00F36901"/>
    <w:pPr>
      <w:tabs>
        <w:tab w:val="right" w:pos="9360"/>
      </w:tabs>
      <w:spacing w:after="40"/>
    </w:pPr>
    <w:rPr>
      <w:rFonts w:ascii="Times New Roman" w:hAnsi="Times New Roman"/>
      <w:b/>
      <w:bCs/>
      <w:noProof/>
    </w:rPr>
  </w:style>
  <w:style w:type="paragraph" w:styleId="TOC2">
    <w:name w:val="toc 2"/>
    <w:basedOn w:val="Normal"/>
    <w:next w:val="Normal"/>
    <w:uiPriority w:val="39"/>
    <w:qFormat/>
    <w:rsid w:val="00F36901"/>
    <w:pPr>
      <w:tabs>
        <w:tab w:val="right" w:leader="dot" w:pos="9360"/>
      </w:tabs>
      <w:spacing w:after="20"/>
      <w:ind w:left="245"/>
    </w:pPr>
    <w:rPr>
      <w:rFonts w:ascii="Times New Roman" w:hAnsi="Times New Roman" w:cstheme="minorHAnsi"/>
      <w:b/>
      <w:iCs/>
      <w:szCs w:val="20"/>
    </w:rPr>
  </w:style>
  <w:style w:type="paragraph" w:styleId="TOC3">
    <w:name w:val="toc 3"/>
    <w:basedOn w:val="Normal"/>
    <w:next w:val="Normal"/>
    <w:uiPriority w:val="39"/>
    <w:qFormat/>
    <w:rsid w:val="00F36901"/>
    <w:pPr>
      <w:tabs>
        <w:tab w:val="right" w:leader="dot" w:pos="9360"/>
      </w:tabs>
      <w:ind w:left="475" w:right="576"/>
    </w:pPr>
    <w:rPr>
      <w:rFonts w:ascii="Times New Roman" w:hAnsi="Times New Roman" w:cstheme="minorHAnsi"/>
      <w:sz w:val="22"/>
      <w:szCs w:val="20"/>
    </w:rPr>
  </w:style>
  <w:style w:type="paragraph" w:styleId="TOC4">
    <w:name w:val="toc 4"/>
    <w:basedOn w:val="Normal"/>
    <w:next w:val="Normal"/>
    <w:uiPriority w:val="39"/>
    <w:qFormat/>
    <w:rsid w:val="00F36901"/>
    <w:pPr>
      <w:tabs>
        <w:tab w:val="right" w:leader="dot" w:pos="9360"/>
      </w:tabs>
      <w:ind w:left="720"/>
    </w:pPr>
    <w:rPr>
      <w:rFonts w:ascii="Times New Roman" w:hAnsi="Times New Roman" w:cstheme="minorHAnsi"/>
      <w:sz w:val="20"/>
      <w:szCs w:val="20"/>
    </w:rPr>
  </w:style>
  <w:style w:type="paragraph" w:styleId="Title">
    <w:name w:val="Title"/>
    <w:aliases w:val="normal"/>
    <w:basedOn w:val="Normal"/>
    <w:next w:val="Normal"/>
    <w:link w:val="TitleChar"/>
    <w:uiPriority w:val="10"/>
    <w:qFormat/>
    <w:rsid w:val="00F36901"/>
    <w:pPr>
      <w:spacing w:after="60"/>
      <w:outlineLvl w:val="0"/>
    </w:pPr>
    <w:rPr>
      <w:rFonts w:ascii="Times New Roman" w:eastAsiaTheme="majorEastAsia" w:hAnsi="Times New Roman" w:cstheme="majorBidi"/>
      <w:bCs/>
      <w:color w:val="000000"/>
      <w:kern w:val="28"/>
      <w:szCs w:val="32"/>
    </w:rPr>
  </w:style>
  <w:style w:type="character" w:customStyle="1" w:styleId="TitleChar">
    <w:name w:val="Title Char"/>
    <w:aliases w:val="normal Char"/>
    <w:basedOn w:val="DefaultParagraphFont"/>
    <w:link w:val="Title"/>
    <w:uiPriority w:val="10"/>
    <w:rsid w:val="00F36901"/>
    <w:rPr>
      <w:rFonts w:eastAsiaTheme="majorEastAsia" w:cstheme="majorBidi"/>
      <w:bCs/>
      <w:color w:val="000000"/>
      <w:kern w:val="28"/>
      <w:sz w:val="24"/>
      <w:szCs w:val="32"/>
    </w:rPr>
  </w:style>
  <w:style w:type="paragraph" w:styleId="Subtitle">
    <w:name w:val="Subtitle"/>
    <w:basedOn w:val="Normal"/>
    <w:link w:val="SubtitleChar"/>
    <w:qFormat/>
    <w:rsid w:val="00F36901"/>
    <w:pPr>
      <w:spacing w:after="60"/>
      <w:jc w:val="center"/>
      <w:outlineLvl w:val="1"/>
    </w:pPr>
    <w:rPr>
      <w:rFonts w:ascii="Arial" w:hAnsi="Arial" w:cs="Arial"/>
    </w:rPr>
  </w:style>
  <w:style w:type="character" w:customStyle="1" w:styleId="SubtitleChar">
    <w:name w:val="Subtitle Char"/>
    <w:basedOn w:val="DefaultParagraphFont"/>
    <w:link w:val="Subtitle"/>
    <w:rsid w:val="00F36901"/>
    <w:rPr>
      <w:rFonts w:ascii="Arial" w:hAnsi="Arial" w:cs="Arial"/>
      <w:sz w:val="24"/>
      <w:szCs w:val="24"/>
    </w:rPr>
  </w:style>
  <w:style w:type="character" w:styleId="Strong">
    <w:name w:val="Strong"/>
    <w:basedOn w:val="DefaultParagraphFont"/>
    <w:uiPriority w:val="22"/>
    <w:qFormat/>
    <w:rsid w:val="00F36901"/>
    <w:rPr>
      <w:b/>
      <w:bCs/>
    </w:rPr>
  </w:style>
  <w:style w:type="paragraph" w:styleId="ListParagraph">
    <w:name w:val="List Paragraph"/>
    <w:basedOn w:val="Normal"/>
    <w:uiPriority w:val="34"/>
    <w:qFormat/>
    <w:rsid w:val="00F36901"/>
    <w:pPr>
      <w:ind w:left="720"/>
      <w:contextualSpacing/>
    </w:pPr>
  </w:style>
  <w:style w:type="paragraph" w:styleId="TOCHeading">
    <w:name w:val="TOC Heading"/>
    <w:basedOn w:val="Heading1"/>
    <w:next w:val="Normal"/>
    <w:uiPriority w:val="39"/>
    <w:semiHidden/>
    <w:unhideWhenUsed/>
    <w:qFormat/>
    <w:rsid w:val="00F36901"/>
    <w:pPr>
      <w:keepLines/>
      <w:spacing w:before="480"/>
      <w:jc w:val="left"/>
      <w:outlineLvl w:val="9"/>
    </w:pPr>
    <w:rPr>
      <w:rFonts w:ascii="Cambria" w:eastAsia="MS Gothic" w:hAnsi="Cambria" w:cs="Times New Roman"/>
      <w:color w:val="365F91"/>
      <w:lang w:eastAsia="ja-JP"/>
    </w:rPr>
  </w:style>
  <w:style w:type="paragraph" w:styleId="NoSpacing">
    <w:name w:val="No Spacing"/>
    <w:aliases w:val="heading2"/>
    <w:basedOn w:val="Heading2"/>
    <w:next w:val="Normal"/>
    <w:uiPriority w:val="1"/>
    <w:qFormat/>
    <w:rsid w:val="00F36901"/>
    <w:pPr>
      <w:keepLines/>
      <w:spacing w:before="200"/>
    </w:pPr>
    <w:rPr>
      <w:rFonts w:eastAsiaTheme="majorEastAsia" w:cstheme="majorBidi"/>
      <w:iCs/>
      <w:sz w:val="26"/>
      <w:szCs w:val="26"/>
      <w:u w:val="none"/>
    </w:rPr>
  </w:style>
  <w:style w:type="paragraph" w:customStyle="1" w:styleId="MTDisplayEquation">
    <w:name w:val="MTDisplayEquation"/>
    <w:basedOn w:val="Normal"/>
    <w:next w:val="Normal"/>
    <w:link w:val="MTDisplayEquationChar"/>
    <w:rsid w:val="00F36901"/>
    <w:pPr>
      <w:tabs>
        <w:tab w:val="center" w:pos="5400"/>
        <w:tab w:val="right" w:pos="10800"/>
      </w:tabs>
    </w:pPr>
  </w:style>
  <w:style w:type="character" w:customStyle="1" w:styleId="MTDisplayEquationChar">
    <w:name w:val="MTDisplayEquation Char"/>
    <w:basedOn w:val="DefaultParagraphFont"/>
    <w:link w:val="MTDisplayEquation"/>
    <w:rsid w:val="00F36901"/>
    <w:rPr>
      <w:rFonts w:ascii="Times" w:hAnsi="Times"/>
      <w:sz w:val="24"/>
      <w:szCs w:val="24"/>
    </w:rPr>
  </w:style>
  <w:style w:type="character" w:styleId="Hyperlink">
    <w:name w:val="Hyperlink"/>
    <w:basedOn w:val="DefaultParagraphFont"/>
    <w:uiPriority w:val="99"/>
    <w:unhideWhenUsed/>
    <w:rsid w:val="00F36901"/>
    <w:rPr>
      <w:color w:val="0000FF" w:themeColor="hyperlink"/>
      <w:u w:val="single"/>
    </w:rPr>
  </w:style>
  <w:style w:type="table" w:styleId="TableGrid">
    <w:name w:val="Table Grid"/>
    <w:basedOn w:val="TableNormal"/>
    <w:uiPriority w:val="59"/>
    <w:rsid w:val="00F369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F36901"/>
    <w:pPr>
      <w:jc w:val="center"/>
    </w:pPr>
    <w:rPr>
      <w:rFonts w:cs="Times"/>
      <w:noProof/>
    </w:rPr>
  </w:style>
  <w:style w:type="character" w:customStyle="1" w:styleId="EndNoteBibliographyTitleChar">
    <w:name w:val="EndNote Bibliography Title Char"/>
    <w:basedOn w:val="DefaultParagraphFont"/>
    <w:link w:val="EndNoteBibliographyTitle"/>
    <w:rsid w:val="00F36901"/>
    <w:rPr>
      <w:rFonts w:ascii="Times" w:hAnsi="Times" w:cs="Times"/>
      <w:noProof/>
      <w:sz w:val="24"/>
      <w:szCs w:val="24"/>
    </w:rPr>
  </w:style>
  <w:style w:type="paragraph" w:customStyle="1" w:styleId="EndNoteBibliography">
    <w:name w:val="EndNote Bibliography"/>
    <w:basedOn w:val="Normal"/>
    <w:link w:val="EndNoteBibliographyChar"/>
    <w:rsid w:val="00F36901"/>
    <w:pPr>
      <w:spacing w:line="240" w:lineRule="auto"/>
    </w:pPr>
    <w:rPr>
      <w:rFonts w:cs="Times"/>
      <w:noProof/>
    </w:rPr>
  </w:style>
  <w:style w:type="character" w:customStyle="1" w:styleId="EndNoteBibliographyChar">
    <w:name w:val="EndNote Bibliography Char"/>
    <w:basedOn w:val="DefaultParagraphFont"/>
    <w:link w:val="EndNoteBibliography"/>
    <w:rsid w:val="00F36901"/>
    <w:rPr>
      <w:rFonts w:ascii="Times" w:hAnsi="Times" w:cs="Times"/>
      <w:noProof/>
      <w:sz w:val="24"/>
      <w:szCs w:val="24"/>
    </w:rPr>
  </w:style>
  <w:style w:type="paragraph" w:customStyle="1" w:styleId="Default">
    <w:name w:val="Default"/>
    <w:rsid w:val="00F36901"/>
    <w:pPr>
      <w:autoSpaceDE w:val="0"/>
      <w:autoSpaceDN w:val="0"/>
      <w:adjustRightInd w:val="0"/>
    </w:pPr>
    <w:rPr>
      <w:rFonts w:ascii="CANND K+ Gulliver" w:hAnsi="CANND K+ Gulliver" w:cs="CANND K+ Gulliver"/>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lsdException w:name="heading 6" w:uiPriority="9"/>
    <w:lsdException w:name="heading 7" w:uiPriority="9"/>
    <w:lsdException w:name="heading 8" w:uiPriority="9"/>
    <w:lsdException w:name="heading 9" w:uiPriority="9"/>
    <w:lsdException w:name="toc 1" w:uiPriority="39" w:qFormat="1"/>
    <w:lsdException w:name="toc 2" w:uiPriority="39" w:qFormat="1"/>
    <w:lsdException w:name="toc 3" w:uiPriority="39" w:qFormat="1"/>
    <w:lsdException w:name="toc 4" w:uiPriority="39" w:qFormat="1"/>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6901"/>
    <w:pPr>
      <w:spacing w:line="480" w:lineRule="auto"/>
    </w:pPr>
    <w:rPr>
      <w:rFonts w:ascii="Times" w:hAnsi="Times"/>
      <w:sz w:val="24"/>
      <w:szCs w:val="24"/>
    </w:rPr>
  </w:style>
  <w:style w:type="paragraph" w:styleId="Heading1">
    <w:name w:val="heading 1"/>
    <w:basedOn w:val="Normal"/>
    <w:next w:val="Normal"/>
    <w:link w:val="Heading1Char"/>
    <w:qFormat/>
    <w:rsid w:val="00F36901"/>
    <w:pPr>
      <w:keepNext/>
      <w:jc w:val="center"/>
      <w:outlineLvl w:val="0"/>
    </w:pPr>
    <w:rPr>
      <w:rFonts w:ascii="Times New Roman" w:hAnsi="Times New Roman" w:cs="Arial"/>
      <w:b/>
      <w:bCs/>
      <w:sz w:val="28"/>
      <w:szCs w:val="28"/>
    </w:rPr>
  </w:style>
  <w:style w:type="paragraph" w:styleId="Heading2">
    <w:name w:val="heading 2"/>
    <w:basedOn w:val="Normal"/>
    <w:next w:val="Normal"/>
    <w:link w:val="Heading2Char"/>
    <w:qFormat/>
    <w:rsid w:val="00F36901"/>
    <w:pPr>
      <w:outlineLvl w:val="1"/>
    </w:pPr>
    <w:rPr>
      <w:b/>
      <w:u w:val="single"/>
    </w:rPr>
  </w:style>
  <w:style w:type="paragraph" w:styleId="Heading3">
    <w:name w:val="heading 3"/>
    <w:basedOn w:val="Normal"/>
    <w:next w:val="Normal"/>
    <w:link w:val="Heading3Char"/>
    <w:qFormat/>
    <w:rsid w:val="00F36901"/>
    <w:pPr>
      <w:keepNext/>
      <w:outlineLvl w:val="2"/>
    </w:pPr>
    <w:rPr>
      <w:rFonts w:ascii="Arial" w:hAnsi="Arial" w:cs="Arial"/>
      <w:sz w:val="22"/>
    </w:rPr>
  </w:style>
  <w:style w:type="paragraph" w:styleId="Heading4">
    <w:name w:val="heading 4"/>
    <w:basedOn w:val="Normal"/>
    <w:next w:val="Normal"/>
    <w:link w:val="Heading4Char"/>
    <w:qFormat/>
    <w:rsid w:val="00F36901"/>
    <w:pPr>
      <w:keepNext/>
      <w:outlineLvl w:val="3"/>
    </w:pPr>
    <w:rPr>
      <w:rFonts w:ascii="Times New Roman" w:hAnsi="Times New Roman" w:cs="Arial"/>
      <w:bCs/>
      <w:i/>
      <w:szCs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1">
    <w:name w:val="Style1"/>
    <w:uiPriority w:val="1"/>
    <w:qFormat/>
    <w:rsid w:val="00F36901"/>
    <w:rPr>
      <w:rFonts w:ascii="Times New Roman" w:hAnsi="Times New Roman"/>
      <w:sz w:val="24"/>
    </w:rPr>
  </w:style>
  <w:style w:type="character" w:customStyle="1" w:styleId="Heading1Char">
    <w:name w:val="Heading 1 Char"/>
    <w:basedOn w:val="DefaultParagraphFont"/>
    <w:link w:val="Heading1"/>
    <w:rsid w:val="00F36901"/>
    <w:rPr>
      <w:rFonts w:cs="Arial"/>
      <w:b/>
      <w:bCs/>
      <w:sz w:val="28"/>
      <w:szCs w:val="28"/>
    </w:rPr>
  </w:style>
  <w:style w:type="character" w:customStyle="1" w:styleId="Heading2Char">
    <w:name w:val="Heading 2 Char"/>
    <w:basedOn w:val="DefaultParagraphFont"/>
    <w:link w:val="Heading2"/>
    <w:rsid w:val="00F36901"/>
    <w:rPr>
      <w:rFonts w:ascii="Times" w:hAnsi="Times"/>
      <w:b/>
      <w:sz w:val="24"/>
      <w:szCs w:val="24"/>
      <w:u w:val="single"/>
    </w:rPr>
  </w:style>
  <w:style w:type="character" w:customStyle="1" w:styleId="Heading3Char">
    <w:name w:val="Heading 3 Char"/>
    <w:basedOn w:val="DefaultParagraphFont"/>
    <w:link w:val="Heading3"/>
    <w:rsid w:val="00F36901"/>
    <w:rPr>
      <w:rFonts w:ascii="Arial" w:hAnsi="Arial" w:cs="Arial"/>
      <w:sz w:val="22"/>
      <w:szCs w:val="24"/>
    </w:rPr>
  </w:style>
  <w:style w:type="character" w:customStyle="1" w:styleId="Heading4Char">
    <w:name w:val="Heading 4 Char"/>
    <w:basedOn w:val="DefaultParagraphFont"/>
    <w:link w:val="Heading4"/>
    <w:rsid w:val="00F36901"/>
    <w:rPr>
      <w:rFonts w:cs="Arial"/>
      <w:bCs/>
      <w:i/>
      <w:sz w:val="24"/>
      <w:szCs w:val="22"/>
      <w:u w:val="single"/>
    </w:rPr>
  </w:style>
  <w:style w:type="paragraph" w:styleId="TOC1">
    <w:name w:val="toc 1"/>
    <w:basedOn w:val="Normal"/>
    <w:next w:val="Normal"/>
    <w:uiPriority w:val="39"/>
    <w:qFormat/>
    <w:rsid w:val="00F36901"/>
    <w:pPr>
      <w:tabs>
        <w:tab w:val="right" w:pos="9360"/>
      </w:tabs>
      <w:spacing w:after="40"/>
    </w:pPr>
    <w:rPr>
      <w:rFonts w:ascii="Times New Roman" w:hAnsi="Times New Roman"/>
      <w:b/>
      <w:bCs/>
      <w:noProof/>
    </w:rPr>
  </w:style>
  <w:style w:type="paragraph" w:styleId="TOC2">
    <w:name w:val="toc 2"/>
    <w:basedOn w:val="Normal"/>
    <w:next w:val="Normal"/>
    <w:uiPriority w:val="39"/>
    <w:qFormat/>
    <w:rsid w:val="00F36901"/>
    <w:pPr>
      <w:tabs>
        <w:tab w:val="right" w:leader="dot" w:pos="9360"/>
      </w:tabs>
      <w:spacing w:after="20"/>
      <w:ind w:left="245"/>
    </w:pPr>
    <w:rPr>
      <w:rFonts w:ascii="Times New Roman" w:hAnsi="Times New Roman" w:cstheme="minorHAnsi"/>
      <w:b/>
      <w:iCs/>
      <w:szCs w:val="20"/>
    </w:rPr>
  </w:style>
  <w:style w:type="paragraph" w:styleId="TOC3">
    <w:name w:val="toc 3"/>
    <w:basedOn w:val="Normal"/>
    <w:next w:val="Normal"/>
    <w:uiPriority w:val="39"/>
    <w:qFormat/>
    <w:rsid w:val="00F36901"/>
    <w:pPr>
      <w:tabs>
        <w:tab w:val="right" w:leader="dot" w:pos="9360"/>
      </w:tabs>
      <w:ind w:left="475" w:right="576"/>
    </w:pPr>
    <w:rPr>
      <w:rFonts w:ascii="Times New Roman" w:hAnsi="Times New Roman" w:cstheme="minorHAnsi"/>
      <w:sz w:val="22"/>
      <w:szCs w:val="20"/>
    </w:rPr>
  </w:style>
  <w:style w:type="paragraph" w:styleId="TOC4">
    <w:name w:val="toc 4"/>
    <w:basedOn w:val="Normal"/>
    <w:next w:val="Normal"/>
    <w:uiPriority w:val="39"/>
    <w:qFormat/>
    <w:rsid w:val="00F36901"/>
    <w:pPr>
      <w:tabs>
        <w:tab w:val="right" w:leader="dot" w:pos="9360"/>
      </w:tabs>
      <w:ind w:left="720"/>
    </w:pPr>
    <w:rPr>
      <w:rFonts w:ascii="Times New Roman" w:hAnsi="Times New Roman" w:cstheme="minorHAnsi"/>
      <w:sz w:val="20"/>
      <w:szCs w:val="20"/>
    </w:rPr>
  </w:style>
  <w:style w:type="paragraph" w:styleId="Title">
    <w:name w:val="Title"/>
    <w:aliases w:val="normal"/>
    <w:basedOn w:val="Normal"/>
    <w:next w:val="Normal"/>
    <w:link w:val="TitleChar"/>
    <w:uiPriority w:val="10"/>
    <w:qFormat/>
    <w:rsid w:val="00F36901"/>
    <w:pPr>
      <w:spacing w:after="60"/>
      <w:outlineLvl w:val="0"/>
    </w:pPr>
    <w:rPr>
      <w:rFonts w:ascii="Times New Roman" w:eastAsiaTheme="majorEastAsia" w:hAnsi="Times New Roman" w:cstheme="majorBidi"/>
      <w:bCs/>
      <w:color w:val="000000"/>
      <w:kern w:val="28"/>
      <w:szCs w:val="32"/>
    </w:rPr>
  </w:style>
  <w:style w:type="character" w:customStyle="1" w:styleId="TitleChar">
    <w:name w:val="Title Char"/>
    <w:aliases w:val="normal Char"/>
    <w:basedOn w:val="DefaultParagraphFont"/>
    <w:link w:val="Title"/>
    <w:uiPriority w:val="10"/>
    <w:rsid w:val="00F36901"/>
    <w:rPr>
      <w:rFonts w:eastAsiaTheme="majorEastAsia" w:cstheme="majorBidi"/>
      <w:bCs/>
      <w:color w:val="000000"/>
      <w:kern w:val="28"/>
      <w:sz w:val="24"/>
      <w:szCs w:val="32"/>
    </w:rPr>
  </w:style>
  <w:style w:type="paragraph" w:styleId="Subtitle">
    <w:name w:val="Subtitle"/>
    <w:basedOn w:val="Normal"/>
    <w:link w:val="SubtitleChar"/>
    <w:qFormat/>
    <w:rsid w:val="00F36901"/>
    <w:pPr>
      <w:spacing w:after="60"/>
      <w:jc w:val="center"/>
      <w:outlineLvl w:val="1"/>
    </w:pPr>
    <w:rPr>
      <w:rFonts w:ascii="Arial" w:hAnsi="Arial" w:cs="Arial"/>
    </w:rPr>
  </w:style>
  <w:style w:type="character" w:customStyle="1" w:styleId="SubtitleChar">
    <w:name w:val="Subtitle Char"/>
    <w:basedOn w:val="DefaultParagraphFont"/>
    <w:link w:val="Subtitle"/>
    <w:rsid w:val="00F36901"/>
    <w:rPr>
      <w:rFonts w:ascii="Arial" w:hAnsi="Arial" w:cs="Arial"/>
      <w:sz w:val="24"/>
      <w:szCs w:val="24"/>
    </w:rPr>
  </w:style>
  <w:style w:type="character" w:styleId="Strong">
    <w:name w:val="Strong"/>
    <w:basedOn w:val="DefaultParagraphFont"/>
    <w:uiPriority w:val="22"/>
    <w:qFormat/>
    <w:rsid w:val="00F36901"/>
    <w:rPr>
      <w:b/>
      <w:bCs/>
    </w:rPr>
  </w:style>
  <w:style w:type="paragraph" w:styleId="ListParagraph">
    <w:name w:val="List Paragraph"/>
    <w:basedOn w:val="Normal"/>
    <w:uiPriority w:val="34"/>
    <w:qFormat/>
    <w:rsid w:val="00F36901"/>
    <w:pPr>
      <w:ind w:left="720"/>
      <w:contextualSpacing/>
    </w:pPr>
  </w:style>
  <w:style w:type="paragraph" w:styleId="TOCHeading">
    <w:name w:val="TOC Heading"/>
    <w:basedOn w:val="Heading1"/>
    <w:next w:val="Normal"/>
    <w:uiPriority w:val="39"/>
    <w:semiHidden/>
    <w:unhideWhenUsed/>
    <w:qFormat/>
    <w:rsid w:val="00F36901"/>
    <w:pPr>
      <w:keepLines/>
      <w:spacing w:before="480"/>
      <w:jc w:val="left"/>
      <w:outlineLvl w:val="9"/>
    </w:pPr>
    <w:rPr>
      <w:rFonts w:ascii="Cambria" w:eastAsia="MS Gothic" w:hAnsi="Cambria" w:cs="Times New Roman"/>
      <w:color w:val="365F91"/>
      <w:lang w:eastAsia="ja-JP"/>
    </w:rPr>
  </w:style>
  <w:style w:type="paragraph" w:styleId="NoSpacing">
    <w:name w:val="No Spacing"/>
    <w:aliases w:val="heading2"/>
    <w:basedOn w:val="Heading2"/>
    <w:next w:val="Normal"/>
    <w:uiPriority w:val="1"/>
    <w:qFormat/>
    <w:rsid w:val="00F36901"/>
    <w:pPr>
      <w:keepLines/>
      <w:spacing w:before="200"/>
    </w:pPr>
    <w:rPr>
      <w:rFonts w:eastAsiaTheme="majorEastAsia" w:cstheme="majorBidi"/>
      <w:iCs/>
      <w:sz w:val="26"/>
      <w:szCs w:val="26"/>
      <w:u w:val="none"/>
    </w:rPr>
  </w:style>
  <w:style w:type="paragraph" w:customStyle="1" w:styleId="MTDisplayEquation">
    <w:name w:val="MTDisplayEquation"/>
    <w:basedOn w:val="Normal"/>
    <w:next w:val="Normal"/>
    <w:link w:val="MTDisplayEquationChar"/>
    <w:rsid w:val="00F36901"/>
    <w:pPr>
      <w:tabs>
        <w:tab w:val="center" w:pos="5400"/>
        <w:tab w:val="right" w:pos="10800"/>
      </w:tabs>
    </w:pPr>
  </w:style>
  <w:style w:type="character" w:customStyle="1" w:styleId="MTDisplayEquationChar">
    <w:name w:val="MTDisplayEquation Char"/>
    <w:basedOn w:val="DefaultParagraphFont"/>
    <w:link w:val="MTDisplayEquation"/>
    <w:rsid w:val="00F36901"/>
    <w:rPr>
      <w:rFonts w:ascii="Times" w:hAnsi="Times"/>
      <w:sz w:val="24"/>
      <w:szCs w:val="24"/>
    </w:rPr>
  </w:style>
  <w:style w:type="character" w:styleId="Hyperlink">
    <w:name w:val="Hyperlink"/>
    <w:basedOn w:val="DefaultParagraphFont"/>
    <w:uiPriority w:val="99"/>
    <w:unhideWhenUsed/>
    <w:rsid w:val="00F36901"/>
    <w:rPr>
      <w:color w:val="0000FF" w:themeColor="hyperlink"/>
      <w:u w:val="single"/>
    </w:rPr>
  </w:style>
  <w:style w:type="table" w:styleId="TableGrid">
    <w:name w:val="Table Grid"/>
    <w:basedOn w:val="TableNormal"/>
    <w:uiPriority w:val="59"/>
    <w:rsid w:val="00F369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F36901"/>
    <w:pPr>
      <w:jc w:val="center"/>
    </w:pPr>
    <w:rPr>
      <w:rFonts w:cs="Times"/>
      <w:noProof/>
    </w:rPr>
  </w:style>
  <w:style w:type="character" w:customStyle="1" w:styleId="EndNoteBibliographyTitleChar">
    <w:name w:val="EndNote Bibliography Title Char"/>
    <w:basedOn w:val="DefaultParagraphFont"/>
    <w:link w:val="EndNoteBibliographyTitle"/>
    <w:rsid w:val="00F36901"/>
    <w:rPr>
      <w:rFonts w:ascii="Times" w:hAnsi="Times" w:cs="Times"/>
      <w:noProof/>
      <w:sz w:val="24"/>
      <w:szCs w:val="24"/>
    </w:rPr>
  </w:style>
  <w:style w:type="paragraph" w:customStyle="1" w:styleId="EndNoteBibliography">
    <w:name w:val="EndNote Bibliography"/>
    <w:basedOn w:val="Normal"/>
    <w:link w:val="EndNoteBibliographyChar"/>
    <w:rsid w:val="00F36901"/>
    <w:pPr>
      <w:spacing w:line="240" w:lineRule="auto"/>
    </w:pPr>
    <w:rPr>
      <w:rFonts w:cs="Times"/>
      <w:noProof/>
    </w:rPr>
  </w:style>
  <w:style w:type="character" w:customStyle="1" w:styleId="EndNoteBibliographyChar">
    <w:name w:val="EndNote Bibliography Char"/>
    <w:basedOn w:val="DefaultParagraphFont"/>
    <w:link w:val="EndNoteBibliography"/>
    <w:rsid w:val="00F36901"/>
    <w:rPr>
      <w:rFonts w:ascii="Times" w:hAnsi="Times" w:cs="Times"/>
      <w:noProof/>
      <w:sz w:val="24"/>
      <w:szCs w:val="24"/>
    </w:rPr>
  </w:style>
  <w:style w:type="paragraph" w:customStyle="1" w:styleId="Default">
    <w:name w:val="Default"/>
    <w:rsid w:val="00F36901"/>
    <w:pPr>
      <w:autoSpaceDE w:val="0"/>
      <w:autoSpaceDN w:val="0"/>
      <w:adjustRightInd w:val="0"/>
    </w:pPr>
    <w:rPr>
      <w:rFonts w:ascii="CANND K+ Gulliver" w:hAnsi="CANND K+ Gulliver" w:cs="CANND K+ Gullive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achs@math.berkeley.ed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257</TotalTime>
  <Pages>5</Pages>
  <Words>1682</Words>
  <Characters>9594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dc:creator>
  <cp:lastModifiedBy>ray</cp:lastModifiedBy>
  <cp:revision>5</cp:revision>
  <dcterms:created xsi:type="dcterms:W3CDTF">2017-10-03T22:37:00Z</dcterms:created>
  <dcterms:modified xsi:type="dcterms:W3CDTF">2017-10-08T20:59:00Z</dcterms:modified>
</cp:coreProperties>
</file>