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1B365D"/>
          <w:sz w:val="30"/>
        </w:rPr>
        <w:t>UNIVERSIDAD NACIONAL DEL ALTIPLANO</w:t>
      </w:r>
    </w:p>
    <w:p>
      <w:pPr>
        <w:spacing w:after="40"/>
        <w:jc w:val="center"/>
      </w:pPr>
      <w:r>
        <w:rPr>
          <w:b/>
          <w:color w:val="2C3E50"/>
          <w:sz w:val="24"/>
        </w:rPr>
        <w:t>FACULTAD DE INGENIERÍA MECÁNICA ELÉCTRICA, ELECTRÓNICA Y SISTEMAS</w:t>
      </w:r>
    </w:p>
    <w:p>
      <w:pPr>
        <w:spacing w:after="360"/>
        <w:jc w:val="center"/>
      </w:pPr>
      <w:r>
        <w:rPr>
          <w:b/>
          <w:color w:val="2C3E50"/>
          <w:sz w:val="24"/>
        </w:rPr>
        <w:t>ESCUELA PROFESIONAL DE INGENIERÍA DE SISTEMAS</w:t>
      </w:r>
    </w:p>
    <w:p>
      <w:pPr>
        <w:spacing w:after="440"/>
        <w:jc w:val="center"/>
      </w:pPr>
      <w:r>
        <w:drawing>
          <wp:inline xmlns:a="http://schemas.openxmlformats.org/drawingml/2006/main" xmlns:pic="http://schemas.openxmlformats.org/drawingml/2006/picture">
            <wp:extent cx="2194560" cy="2374582"/>
            <wp:docPr id="1" name="Picture 1"/>
            <wp:cNvGraphicFramePr>
              <a:graphicFrameLocks noChangeAspect="1"/>
            </wp:cNvGraphicFramePr>
            <a:graphic>
              <a:graphicData uri="http://schemas.openxmlformats.org/drawingml/2006/picture">
                <pic:pic>
                  <pic:nvPicPr>
                    <pic:cNvPr id="0" name="Logo_UNAP.png"/>
                    <pic:cNvPicPr/>
                  </pic:nvPicPr>
                  <pic:blipFill>
                    <a:blip r:embed="rId9"/>
                    <a:stretch>
                      <a:fillRect/>
                    </a:stretch>
                  </pic:blipFill>
                  <pic:spPr>
                    <a:xfrm>
                      <a:off x="0" y="0"/>
                      <a:ext cx="2194560" cy="2374582"/>
                    </a:xfrm>
                    <a:prstGeom prst="rect"/>
                  </pic:spPr>
                </pic:pic>
              </a:graphicData>
            </a:graphic>
          </wp:inline>
        </w:drawing>
      </w:r>
    </w:p>
    <w:p>
      <w:pPr>
        <w:spacing w:after="120"/>
        <w:jc w:val="center"/>
      </w:pPr>
      <w:r>
        <w:rPr>
          <w:b/>
          <w:color w:val="1B365D"/>
          <w:sz w:val="28"/>
        </w:rPr>
        <w:t>INFORME DE LABORATORIO: TAREA DE EJECUCIÓN 03</w:t>
        <w:br/>
      </w:r>
      <w:r>
        <w:rPr>
          <w:b/>
          <w:color w:val="2C3E50"/>
          <w:sz w:val="25"/>
        </w:rPr>
        <w:t>APLICACIÓN DE MODELOS CART Y ENSAMBLADOS EN APRENDIZAJE AUTOMÁTICO</w:t>
      </w:r>
    </w:p>
    <w:p>
      <w:pPr>
        <w:spacing w:before="520" w:after="40"/>
        <w:jc w:val="center"/>
      </w:pPr>
      <w:r>
        <w:rPr>
          <w:b/>
          <w:sz w:val="21"/>
        </w:rPr>
        <w:t>CURSO: APRENDIZAJE MAQUINA (SEMESTRE IX - 2026-II)</w:t>
      </w:r>
    </w:p>
    <w:p>
      <w:pPr>
        <w:spacing w:after="40"/>
        <w:jc w:val="center"/>
      </w:pPr>
      <w:r>
        <w:rPr>
          <w:sz w:val="20"/>
        </w:rPr>
        <w:t>PRESENTADO POR:</w:t>
      </w:r>
    </w:p>
    <w:p>
      <w:pPr>
        <w:spacing w:after="720"/>
        <w:jc w:val="center"/>
      </w:pPr>
      <w:r>
        <w:rPr>
          <w:b/>
          <w:color w:val="1B365D"/>
          <w:sz w:val="24"/>
        </w:rPr>
        <w:t>MAMANI ZAPANA EDWARD</w:t>
      </w:r>
    </w:p>
    <w:p>
      <w:pPr>
        <w:spacing w:after="0"/>
        <w:jc w:val="center"/>
      </w:pPr>
      <w:r>
        <w:rPr>
          <w:b/>
          <w:sz w:val="21"/>
        </w:rPr>
        <w:t>PUNO – PERÚ</w:t>
        <w:br/>
        <w:t>2026</w:t>
      </w:r>
    </w:p>
    <w:p>
      <w:r>
        <w:br w:type="page"/>
      </w:r>
    </w:p>
    <w:sdt>
      <w:sdtPr>
        <w:docPartObj>
          <w:docPartGallery w:val="Table of Contents"/>
          <w:docPartUnique/>
        </w:docPartObj>
      </w:sdtPr>
      <w:sdtContent>
        <w:p>
          <w:pPr>
            <w:pStyle w:val="TOCHeading"/>
          </w:pPr>
          <w:r>
            <w:t>ÍNDICE DE CONTENIDO</w:t>
          </w:r>
        </w:p>
        <w:p>
          <w:r>
            <w:fldChar w:fldCharType="begin" w:dirty="true"/>
            <w:instrText xml:space="preserve">TOC \o "1-3" \h \z \u</w:instrText>
            <w:fldChar w:fldCharType="separate"/>
            <w:fldChar w:fldCharType="end"/>
          </w:r>
        </w:p>
      </w:sdtContent>
    </w:sdt>
    <w:p>
      <w:r>
        <w:br w:type="page"/>
      </w:r>
    </w:p>
    <w:p>
      <w:pPr>
        <w:pStyle w:val="Heading1"/>
      </w:pPr>
      <w:r>
        <w:t>1. Introducción, Objetivos y Presentación del Repositorio GitHub</w:t>
      </w:r>
    </w:p>
    <w:p>
      <w:r>
        <w:t>El presente informe documenta de manera exhaustiva el desarrollo, evaluación empírica y análisis teórico de la Tarea de Ejecución 03 del curso de Aprendizaje de Máquina (Semestre IX - 2026-II) de la Escuela Profesional de Ingeniería de Sistemas de la Universidad Nacional del Altiplano. La práctica aborda el estudio de los modelos basados en árboles de decisión (Classification and Regression Trees - CART) y las principales familias de aprendizaje por ensambles: clasificadores por votación (Voting), agregación bootstrap (Bagging) con evaluación fuera de la bolsa (Out-Of-Bag - OOB), Bosques Aleatorios (Random Forests) y Potenciación del Gradiente Extremo (XGBoost).</w:t>
      </w:r>
    </w:p>
    <w:p>
      <w:r>
        <w:t>El objetivo general es contrastar de manera sistemática la capacidad predictiva, el equilibrio sesgo-varianza, la estabilidad estocástica y la eficiencia computacional de estimadores individuales frente a metamodelos ensamblados, utilizando conjuntos de datos estándar y desafiantes de Scikit-Learn y repositorios abiertos.</w:t>
      </w:r>
    </w:p>
    <w:p>
      <w:pPr>
        <w:pStyle w:val="Heading2"/>
      </w:pPr>
      <w:r>
        <w:t>1.1. Presentación del Repositorio Oficial en GitHub</w:t>
      </w:r>
    </w:p>
    <w:p>
      <w:r>
        <w:t>Todo el código fuente, conjuntos de datos, scripts de automatización, artefactos JSON con métricas completas, figuras de alta resolución y los cinco cuadernos interactivos (.ipynb) se encuentran alojados y publicados de manera abierta en el siguiente repositorio de GitHub:</w:t>
      </w:r>
    </w:p>
    <w:tbl>
      <w:tblPr>
        <w:tblW w:type="auto" w:w="0"/>
        <w:jc w:val="center"/>
        <w:tblLook w:firstColumn="1" w:firstRow="1" w:lastColumn="0" w:lastRow="0" w:noHBand="0" w:noVBand="1" w:val="04A0"/>
      </w:tblPr>
      <w:tblGrid>
        <w:gridCol w:w="9504"/>
      </w:tblGrid>
      <w:tr>
        <w:tc>
          <w:tcPr>
            <w:tcW w:type="dxa" w:w="9504"/>
            <w:shd w:fill="EBF3FB"/>
            <w:tcMar>
              <w:top w:w="140" w:type="dxa"/>
              <w:bottom w:w="140" w:type="dxa"/>
              <w:left w:w="200" w:type="dxa"/>
              <w:right w:w="200" w:type="dxa"/>
            </w:tcMar>
            <w:tcBorders>
              <w:left w:val="single" w:sz="24" w:space="0" w:color="1B365D"/>
              <w:top w:val="none"/>
              <w:right w:val="none"/>
              <w:bottom w:val="none"/>
            </w:tcBorders>
          </w:tcPr>
          <w:p>
            <w:pPr>
              <w:spacing w:before="40" w:after="40"/>
            </w:pPr>
            <w:r>
              <w:rPr>
                <w:b/>
                <w:color w:val="1B365D"/>
                <w:sz w:val="19"/>
              </w:rPr>
              <w:t>📌 Repositorio Oficial del Proyecto</w:t>
              <w:br/>
            </w:r>
            <w:r>
              <w:rPr>
                <w:color w:val="222222"/>
                <w:sz w:val="18"/>
              </w:rPr>
              <w:t>URL Pública: https://github.com/Edwardmamani/ML-UNAP-Tarea-Ejecucion-03</w:t>
              <w:br/>
              <w:t>Autor / Usuario: Edwardmamani</w:t>
              <w:br/>
              <w:t>Rama principal: main | Licencia: MIT</w:t>
              <w:br/>
              <w:t>Cuadernos interactivos documentados y reproducibles en formato Jupyter (.ipynb).</w:t>
            </w:r>
          </w:p>
        </w:tc>
      </w:tr>
    </w:tbl>
    <w:p>
      <w:pPr>
        <w:spacing w:after="80"/>
      </w:pPr>
    </w:p>
    <w:p>
      <w:r>
        <w:t>A continuación se presenta la tabla de acceso a cada uno de los cuadernos desarrollados para cada ítem en el repositorio:</w:t>
      </w:r>
    </w:p>
    <w:tbl>
      <w:tblPr>
        <w:tblW w:type="auto" w:w="0"/>
        <w:jc w:val="center"/>
        <w:tblLook w:firstColumn="1" w:firstRow="1" w:lastColumn="0" w:lastRow="0" w:noHBand="0" w:noVBand="1" w:val="04A0"/>
      </w:tblPr>
      <w:tblGrid>
        <w:gridCol w:w="3168"/>
        <w:gridCol w:w="3168"/>
        <w:gridCol w:w="3168"/>
      </w:tblGrid>
      <w:tr>
        <w:trPr>
          <w:cantSplit/>
          <w:tblHeader/>
        </w:trPr>
        <w:tc>
          <w:tcPr>
            <w:tcW w:type="dxa" w:w="1296"/>
            <w:vAlign w:val="center"/>
            <w:tcMar>
              <w:top w:w="100" w:type="dxa"/>
              <w:bottom w:w="100" w:type="dxa"/>
              <w:left w:w="130" w:type="dxa"/>
              <w:right w:w="130" w:type="dxa"/>
            </w:tcMar>
            <w:shd w:fill="1B365D"/>
          </w:tcPr>
          <w:p>
            <w:pPr>
              <w:jc w:val="center"/>
            </w:pPr>
            <w:r>
              <w:rPr>
                <w:b/>
                <w:color w:val="FFFFFF"/>
                <w:sz w:val="17"/>
              </w:rPr>
              <w:t>Ítem</w:t>
            </w:r>
          </w:p>
        </w:tc>
        <w:tc>
          <w:tcPr>
            <w:tcW w:type="dxa" w:w="3744"/>
            <w:vAlign w:val="center"/>
            <w:tcMar>
              <w:top w:w="100" w:type="dxa"/>
              <w:bottom w:w="100" w:type="dxa"/>
              <w:left w:w="130" w:type="dxa"/>
              <w:right w:w="130" w:type="dxa"/>
            </w:tcMar>
            <w:shd w:fill="1B365D"/>
          </w:tcPr>
          <w:p>
            <w:pPr>
              <w:jc w:val="center"/>
            </w:pPr>
            <w:r>
              <w:rPr>
                <w:b/>
                <w:color w:val="FFFFFF"/>
                <w:sz w:val="17"/>
              </w:rPr>
              <w:t>Nombre del Cuaderno (.ipynb)</w:t>
            </w:r>
          </w:p>
        </w:tc>
        <w:tc>
          <w:tcPr>
            <w:tcW w:type="dxa" w:w="4176"/>
            <w:vAlign w:val="center"/>
            <w:tcMar>
              <w:top w:w="100" w:type="dxa"/>
              <w:bottom w:w="100" w:type="dxa"/>
              <w:left w:w="130" w:type="dxa"/>
              <w:right w:w="130" w:type="dxa"/>
            </w:tcMar>
            <w:shd w:fill="1B365D"/>
          </w:tcPr>
          <w:p>
            <w:pPr>
              <w:jc w:val="center"/>
            </w:pPr>
            <w:r>
              <w:rPr>
                <w:b/>
                <w:color w:val="FFFFFF"/>
                <w:sz w:val="17"/>
              </w:rPr>
              <w:t>Enlace en Repositorio GitHub</w:t>
            </w:r>
          </w:p>
        </w:tc>
      </w:tr>
      <w:tr>
        <w:trPr>
          <w:cantSplit/>
        </w:trPr>
        <w:tc>
          <w:tcPr>
            <w:tcW w:type="dxa" w:w="1296"/>
            <w:vAlign w:val="center"/>
            <w:tcMar>
              <w:top w:w="100" w:type="dxa"/>
              <w:bottom w:w="100" w:type="dxa"/>
              <w:left w:w="130" w:type="dxa"/>
              <w:right w:w="130" w:type="dxa"/>
            </w:tcMar>
            <w:shd w:fill="F7F9FB"/>
          </w:tcPr>
          <w:p>
            <w:r>
              <w:rPr>
                <w:color w:val="222222"/>
                <w:sz w:val="17"/>
              </w:rPr>
              <w:t>Ítem 1</w:t>
            </w:r>
          </w:p>
        </w:tc>
        <w:tc>
          <w:tcPr>
            <w:tcW w:type="dxa" w:w="3744"/>
            <w:vAlign w:val="center"/>
            <w:tcMar>
              <w:top w:w="100" w:type="dxa"/>
              <w:bottom w:w="100" w:type="dxa"/>
              <w:left w:w="130" w:type="dxa"/>
              <w:right w:w="130" w:type="dxa"/>
            </w:tcMar>
            <w:shd w:fill="F7F9FB"/>
          </w:tcPr>
          <w:p>
            <w:r>
              <w:rPr>
                <w:color w:val="222222"/>
                <w:sz w:val="17"/>
              </w:rPr>
              <w:t>Item_01_Arboles_Gini_Entropia_vs_RegresionLogistica.ipynb</w:t>
            </w:r>
          </w:p>
        </w:tc>
        <w:tc>
          <w:tcPr>
            <w:tcW w:type="dxa" w:w="4176"/>
            <w:vAlign w:val="center"/>
            <w:tcMar>
              <w:top w:w="100" w:type="dxa"/>
              <w:bottom w:w="100" w:type="dxa"/>
              <w:left w:w="130" w:type="dxa"/>
              <w:right w:w="130" w:type="dxa"/>
            </w:tcMar>
            <w:shd w:fill="F7F9FB"/>
          </w:tcPr>
          <w:p>
            <w:r>
              <w:rPr>
                <w:color w:val="222222"/>
                <w:sz w:val="17"/>
              </w:rPr>
              <w:t>https://github.com/Edwardmamani/ML-UNAP-Tarea-Ejecucion-03/blob/main/notebooks/Item_01_Arboles_Gini_Entropia_vs_RegresionLogistica.ipynb</w:t>
            </w:r>
          </w:p>
        </w:tc>
      </w:tr>
      <w:tr>
        <w:trPr>
          <w:cantSplit/>
        </w:trPr>
        <w:tc>
          <w:tcPr>
            <w:tcW w:type="dxa" w:w="1296"/>
            <w:vAlign w:val="center"/>
            <w:tcMar>
              <w:top w:w="100" w:type="dxa"/>
              <w:bottom w:w="100" w:type="dxa"/>
              <w:left w:w="130" w:type="dxa"/>
              <w:right w:w="130" w:type="dxa"/>
            </w:tcMar>
            <w:shd w:fill="FFFFFF"/>
          </w:tcPr>
          <w:p>
            <w:r>
              <w:rPr>
                <w:color w:val="222222"/>
                <w:sz w:val="17"/>
              </w:rPr>
              <w:t>Ítem 2</w:t>
            </w:r>
          </w:p>
        </w:tc>
        <w:tc>
          <w:tcPr>
            <w:tcW w:type="dxa" w:w="3744"/>
            <w:vAlign w:val="center"/>
            <w:tcMar>
              <w:top w:w="100" w:type="dxa"/>
              <w:bottom w:w="100" w:type="dxa"/>
              <w:left w:w="130" w:type="dxa"/>
              <w:right w:w="130" w:type="dxa"/>
            </w:tcMar>
            <w:shd w:fill="FFFFFF"/>
          </w:tcPr>
          <w:p>
            <w:r>
              <w:rPr>
                <w:color w:val="222222"/>
                <w:sz w:val="17"/>
              </w:rPr>
              <w:t>Item_02_Arboles_Regresion_Hiperparametros_vs_RegresionLineal.ipynb</w:t>
            </w:r>
          </w:p>
        </w:tc>
        <w:tc>
          <w:tcPr>
            <w:tcW w:type="dxa" w:w="4176"/>
            <w:vAlign w:val="center"/>
            <w:tcMar>
              <w:top w:w="100" w:type="dxa"/>
              <w:bottom w:w="100" w:type="dxa"/>
              <w:left w:w="130" w:type="dxa"/>
              <w:right w:w="130" w:type="dxa"/>
            </w:tcMar>
            <w:shd w:fill="FFFFFF"/>
          </w:tcPr>
          <w:p>
            <w:r>
              <w:rPr>
                <w:color w:val="222222"/>
                <w:sz w:val="17"/>
              </w:rPr>
              <w:t>https://github.com/Edwardmamani/ML-UNAP-Tarea-Ejecucion-03/blob/main/notebooks/Item_02_Arboles_Regresion_Hiperparametros_vs_RegresionLineal.ipynb</w:t>
            </w:r>
          </w:p>
        </w:tc>
      </w:tr>
      <w:tr>
        <w:trPr>
          <w:cantSplit/>
        </w:trPr>
        <w:tc>
          <w:tcPr>
            <w:tcW w:type="dxa" w:w="1296"/>
            <w:vAlign w:val="center"/>
            <w:tcMar>
              <w:top w:w="100" w:type="dxa"/>
              <w:bottom w:w="100" w:type="dxa"/>
              <w:left w:w="130" w:type="dxa"/>
              <w:right w:w="130" w:type="dxa"/>
            </w:tcMar>
            <w:shd w:fill="F7F9FB"/>
          </w:tcPr>
          <w:p>
            <w:r>
              <w:rPr>
                <w:color w:val="222222"/>
                <w:sz w:val="17"/>
              </w:rPr>
              <w:t>Ítem 3</w:t>
            </w:r>
          </w:p>
        </w:tc>
        <w:tc>
          <w:tcPr>
            <w:tcW w:type="dxa" w:w="3744"/>
            <w:vAlign w:val="center"/>
            <w:tcMar>
              <w:top w:w="100" w:type="dxa"/>
              <w:bottom w:w="100" w:type="dxa"/>
              <w:left w:w="130" w:type="dxa"/>
              <w:right w:w="130" w:type="dxa"/>
            </w:tcMar>
            <w:shd w:fill="F7F9FB"/>
          </w:tcPr>
          <w:p>
            <w:r>
              <w:rPr>
                <w:color w:val="222222"/>
                <w:sz w:val="17"/>
              </w:rPr>
              <w:t>Item_03_Ensemble_VotingClassifier_vs_Individuales.ipynb</w:t>
            </w:r>
          </w:p>
        </w:tc>
        <w:tc>
          <w:tcPr>
            <w:tcW w:type="dxa" w:w="4176"/>
            <w:vAlign w:val="center"/>
            <w:tcMar>
              <w:top w:w="100" w:type="dxa"/>
              <w:bottom w:w="100" w:type="dxa"/>
              <w:left w:w="130" w:type="dxa"/>
              <w:right w:w="130" w:type="dxa"/>
            </w:tcMar>
            <w:shd w:fill="F7F9FB"/>
          </w:tcPr>
          <w:p>
            <w:r>
              <w:rPr>
                <w:color w:val="222222"/>
                <w:sz w:val="17"/>
              </w:rPr>
              <w:t>https://github.com/Edwardmamani/ML-UNAP-Tarea-Ejecucion-03/blob/main/notebooks/Item_03_Ensemble_VotingClassifier_vs_Individuales.ipynb</w:t>
            </w:r>
          </w:p>
        </w:tc>
      </w:tr>
      <w:tr>
        <w:trPr>
          <w:cantSplit/>
        </w:trPr>
        <w:tc>
          <w:tcPr>
            <w:tcW w:type="dxa" w:w="1296"/>
            <w:vAlign w:val="center"/>
            <w:tcMar>
              <w:top w:w="100" w:type="dxa"/>
              <w:bottom w:w="100" w:type="dxa"/>
              <w:left w:w="130" w:type="dxa"/>
              <w:right w:w="130" w:type="dxa"/>
            </w:tcMar>
            <w:shd w:fill="FFFFFF"/>
          </w:tcPr>
          <w:p>
            <w:r>
              <w:rPr>
                <w:color w:val="222222"/>
                <w:sz w:val="17"/>
              </w:rPr>
              <w:t>Ítem 4</w:t>
            </w:r>
          </w:p>
        </w:tc>
        <w:tc>
          <w:tcPr>
            <w:tcW w:type="dxa" w:w="3744"/>
            <w:vAlign w:val="center"/>
            <w:tcMar>
              <w:top w:w="100" w:type="dxa"/>
              <w:bottom w:w="100" w:type="dxa"/>
              <w:left w:w="130" w:type="dxa"/>
              <w:right w:w="130" w:type="dxa"/>
            </w:tcMar>
            <w:shd w:fill="FFFFFF"/>
          </w:tcPr>
          <w:p>
            <w:r>
              <w:rPr>
                <w:color w:val="222222"/>
                <w:sz w:val="17"/>
              </w:rPr>
              <w:t>Item_04_Bagging_Classifier_OOB_vs_ArbolIndividual.ipynb</w:t>
            </w:r>
          </w:p>
        </w:tc>
        <w:tc>
          <w:tcPr>
            <w:tcW w:type="dxa" w:w="4176"/>
            <w:vAlign w:val="center"/>
            <w:tcMar>
              <w:top w:w="100" w:type="dxa"/>
              <w:bottom w:w="100" w:type="dxa"/>
              <w:left w:w="130" w:type="dxa"/>
              <w:right w:w="130" w:type="dxa"/>
            </w:tcMar>
            <w:shd w:fill="FFFFFF"/>
          </w:tcPr>
          <w:p>
            <w:r>
              <w:rPr>
                <w:color w:val="222222"/>
                <w:sz w:val="17"/>
              </w:rPr>
              <w:t>https://github.com/Edwardmamani/ML-UNAP-Tarea-Ejecucion-03/blob/main/notebooks/Item_04_Bagging_Classifier_OOB_vs_ArbolIndividual.ipynb</w:t>
            </w:r>
          </w:p>
        </w:tc>
      </w:tr>
      <w:tr>
        <w:trPr>
          <w:cantSplit/>
        </w:trPr>
        <w:tc>
          <w:tcPr>
            <w:tcW w:type="dxa" w:w="1296"/>
            <w:vAlign w:val="center"/>
            <w:tcMar>
              <w:top w:w="100" w:type="dxa"/>
              <w:bottom w:w="100" w:type="dxa"/>
              <w:left w:w="130" w:type="dxa"/>
              <w:right w:w="130" w:type="dxa"/>
            </w:tcMar>
            <w:shd w:fill="F7F9FB"/>
          </w:tcPr>
          <w:p>
            <w:r>
              <w:rPr>
                <w:color w:val="222222"/>
                <w:sz w:val="17"/>
              </w:rPr>
              <w:t>Ítem 5</w:t>
            </w:r>
          </w:p>
        </w:tc>
        <w:tc>
          <w:tcPr>
            <w:tcW w:type="dxa" w:w="3744"/>
            <w:vAlign w:val="center"/>
            <w:tcMar>
              <w:top w:w="100" w:type="dxa"/>
              <w:bottom w:w="100" w:type="dxa"/>
              <w:left w:w="130" w:type="dxa"/>
              <w:right w:w="130" w:type="dxa"/>
            </w:tcMar>
            <w:shd w:fill="F7F9FB"/>
          </w:tcPr>
          <w:p>
            <w:r>
              <w:rPr>
                <w:color w:val="222222"/>
                <w:sz w:val="17"/>
              </w:rPr>
              <w:t>Item_05_RandomForest_vs_XGBoost.ipynb</w:t>
            </w:r>
          </w:p>
        </w:tc>
        <w:tc>
          <w:tcPr>
            <w:tcW w:type="dxa" w:w="4176"/>
            <w:vAlign w:val="center"/>
            <w:tcMar>
              <w:top w:w="100" w:type="dxa"/>
              <w:bottom w:w="100" w:type="dxa"/>
              <w:left w:w="130" w:type="dxa"/>
              <w:right w:w="130" w:type="dxa"/>
            </w:tcMar>
            <w:shd w:fill="F7F9FB"/>
          </w:tcPr>
          <w:p>
            <w:r>
              <w:rPr>
                <w:color w:val="222222"/>
                <w:sz w:val="17"/>
              </w:rPr>
              <w:t>https://github.com/Edwardmamani/ML-UNAP-Tarea-Ejecucion-03/blob/main/notebooks/Item_05_RandomForest_vs_XGBoost.ipynb</w:t>
            </w:r>
          </w:p>
        </w:tc>
      </w:tr>
    </w:tbl>
    <w:p>
      <w:pPr>
        <w:pStyle w:val="Heading2"/>
      </w:pPr>
      <w:r>
        <w:t>1.2. Estructura del Repositorio</w:t>
      </w:r>
    </w:p>
    <w:p>
      <w:r>
        <w:t>La organización del código fuente sigue rigurosamente los estándares de reproducibilidad científica en Python:</w:t>
      </w:r>
    </w:p>
    <w:p>
      <w:pPr>
        <w:ind w:left="288"/>
      </w:pPr>
      <w:r>
        <w:rPr>
          <w:rFonts w:ascii="Liberation Mono" w:hAnsi="Liberation Mono"/>
          <w:sz w:val="17"/>
        </w:rPr>
        <w:t>ML-UNAP-Tarea-Ejecucion-03/</w:t>
        <w:br/>
        <w:t>├── README.md               # Resumen ejecutivo con tablas comparativas y enlaces a cuadernos</w:t>
        <w:br/>
        <w:t>├── requirements.txt        # Dependencias fijadas del entorno Python</w:t>
        <w:br/>
        <w:t>├── ml_utils.py             # Módulo compartido de utilidades</w:t>
        <w:br/>
        <w:t>├── .gitignore              # Filtros de exclusión de binarios, cachés y scripts auxiliares</w:t>
        <w:br/>
        <w:t>├── notebooks/              # Los 5 cuadernos Jupyter con salidas pre-renderizadas</w:t>
        <w:br/>
        <w:t>├── docs/                   # Informe académico en formato editable (.docx) y oficial (.pdf)</w:t>
        <w:br/>
        <w:t>│   ├── Informe_Tarea_Ejecucion_03.docx</w:t>
        <w:br/>
        <w:t>│   ├── Informe_Tarea_Ejecucion_03.pdf</w:t>
        <w:br/>
        <w:t>│   └── Logo_UNAP.png</w:t>
        <w:br/>
        <w:t>├── figures/                # 29 figuras de alta resolución (.png)</w:t>
        <w:br/>
        <w:t>├── results/                # 5 archivos JSON con todas las métricas experimentales</w:t>
        <w:br/>
        <w:t>└── data/                   # Conjuntos de datos locales complementarios (auto-mpg, diabetes)</w:t>
      </w:r>
    </w:p>
    <w:p>
      <w:pPr>
        <w:pStyle w:val="Heading1"/>
      </w:pPr>
      <w:r>
        <w:t>2. Marco Teórico y Fundamentos Matemáticos</w:t>
      </w:r>
    </w:p>
    <w:p>
      <w:r>
        <w:t>El marco metodológico se fundamenta en los principios de aprendizaje supervisado expuestos en el texto guía (Machine Learning with Tree-Based Models in Python de Elie Kawerk, adaptado por Mayenka Fernández Chambi), complementado con la literatura formal de Breiman (1984, 1996, 2001) y Chen &amp; Guestrin (2016).</w:t>
      </w:r>
    </w:p>
    <w:p>
      <w:pPr>
        <w:pStyle w:val="Heading2"/>
      </w:pPr>
      <w:r>
        <w:t>2.1. Árboles de Clasificación y Regresión (CART)</w:t>
      </w:r>
    </w:p>
    <w:p>
      <w:r>
        <w:t>Un árbol CART es un estimador no paramétrico que particiona el espacio de entrada de D dimensiones en un conjunto de regiones rectangulares disjuntas perpendiculares a los ejes coordenados (hiperrectángulos ortogonales). La construcción del árbol se efectúa mediante una búsqueda voraz recursiva (greedy top-down search). En cada nodo padre, el algoritmo evalúa exhaustivamente todas las características posibles f y todos los posibles puntos de corte sp para maximizar la Ganancia de Información (Information Gain - IG):</w:t>
      </w:r>
    </w:p>
    <w:p>
      <w:pPr>
        <w:jc w:val="center"/>
      </w:pPr>
      <w:r>
        <w:rPr>
          <w:b/>
        </w:rPr>
        <w:t>IG(nodo) = I(nodo) - [ (N_izq / N) * I(nodo_izq) + (N_der / N) * I(nodo_der) ]</w:t>
      </w:r>
    </w:p>
    <w:p>
      <w:r>
        <w:t>Donde N es el número de muestras en el nodo padre, y N_izq, N_der son las muestras particionadas hacia los nodos hijos. Los criterios de impureza I(nodo) fundamentales son:</w:t>
      </w:r>
    </w:p>
    <w:tbl>
      <w:tblPr>
        <w:tblW w:type="auto" w:w="0"/>
        <w:jc w:val="center"/>
        <w:tblLook w:firstColumn="1" w:firstRow="1" w:lastColumn="0" w:lastRow="0" w:noHBand="0" w:noVBand="1" w:val="04A0"/>
      </w:tblPr>
      <w:tblGrid>
        <w:gridCol w:w="2376"/>
        <w:gridCol w:w="2376"/>
        <w:gridCol w:w="2376"/>
        <w:gridCol w:w="2376"/>
      </w:tblGrid>
      <w:tr>
        <w:trPr>
          <w:cantSplit/>
          <w:tblHeader/>
        </w:trPr>
        <w:tc>
          <w:tcPr>
            <w:tcW w:type="dxa" w:w="1584"/>
            <w:vAlign w:val="center"/>
            <w:tcMar>
              <w:top w:w="100" w:type="dxa"/>
              <w:bottom w:w="100" w:type="dxa"/>
              <w:left w:w="130" w:type="dxa"/>
              <w:right w:w="130" w:type="dxa"/>
            </w:tcMar>
            <w:shd w:fill="1B365D"/>
          </w:tcPr>
          <w:p>
            <w:pPr>
              <w:jc w:val="center"/>
            </w:pPr>
            <w:r>
              <w:rPr>
                <w:b/>
                <w:color w:val="FFFFFF"/>
                <w:sz w:val="17"/>
              </w:rPr>
              <w:t>Tarea</w:t>
            </w:r>
          </w:p>
        </w:tc>
        <w:tc>
          <w:tcPr>
            <w:tcW w:type="dxa" w:w="1728"/>
            <w:vAlign w:val="center"/>
            <w:tcMar>
              <w:top w:w="100" w:type="dxa"/>
              <w:bottom w:w="100" w:type="dxa"/>
              <w:left w:w="130" w:type="dxa"/>
              <w:right w:w="130" w:type="dxa"/>
            </w:tcMar>
            <w:shd w:fill="1B365D"/>
          </w:tcPr>
          <w:p>
            <w:pPr>
              <w:jc w:val="center"/>
            </w:pPr>
            <w:r>
              <w:rPr>
                <w:b/>
                <w:color w:val="FFFFFF"/>
                <w:sz w:val="17"/>
              </w:rPr>
              <w:t>Criterio</w:t>
            </w:r>
          </w:p>
        </w:tc>
        <w:tc>
          <w:tcPr>
            <w:tcW w:type="dxa" w:w="2736"/>
            <w:vAlign w:val="center"/>
            <w:tcMar>
              <w:top w:w="100" w:type="dxa"/>
              <w:bottom w:w="100" w:type="dxa"/>
              <w:left w:w="130" w:type="dxa"/>
              <w:right w:w="130" w:type="dxa"/>
            </w:tcMar>
            <w:shd w:fill="1B365D"/>
          </w:tcPr>
          <w:p>
            <w:pPr>
              <w:jc w:val="center"/>
            </w:pPr>
            <w:r>
              <w:rPr>
                <w:b/>
                <w:color w:val="FFFFFF"/>
                <w:sz w:val="17"/>
              </w:rPr>
              <w:t>Expresión Matemática</w:t>
            </w:r>
          </w:p>
        </w:tc>
        <w:tc>
          <w:tcPr>
            <w:tcW w:type="dxa" w:w="3168"/>
            <w:vAlign w:val="center"/>
            <w:tcMar>
              <w:top w:w="100" w:type="dxa"/>
              <w:bottom w:w="100" w:type="dxa"/>
              <w:left w:w="130" w:type="dxa"/>
              <w:right w:w="130" w:type="dxa"/>
            </w:tcMar>
            <w:shd w:fill="1B365D"/>
          </w:tcPr>
          <w:p>
            <w:pPr>
              <w:jc w:val="center"/>
            </w:pPr>
            <w:r>
              <w:rPr>
                <w:b/>
                <w:color w:val="FFFFFF"/>
                <w:sz w:val="17"/>
              </w:rPr>
              <w:t>Propósito e Interpretación</w:t>
            </w:r>
          </w:p>
        </w:tc>
      </w:tr>
      <w:tr>
        <w:trPr>
          <w:cantSplit/>
        </w:trPr>
        <w:tc>
          <w:tcPr>
            <w:tcW w:type="dxa" w:w="1584"/>
            <w:vAlign w:val="center"/>
            <w:tcMar>
              <w:top w:w="100" w:type="dxa"/>
              <w:bottom w:w="100" w:type="dxa"/>
              <w:left w:w="130" w:type="dxa"/>
              <w:right w:w="130" w:type="dxa"/>
            </w:tcMar>
            <w:shd w:fill="F7F9FB"/>
          </w:tcPr>
          <w:p>
            <w:r>
              <w:rPr>
                <w:color w:val="222222"/>
                <w:sz w:val="17"/>
              </w:rPr>
              <w:t>Clasificación</w:t>
            </w:r>
          </w:p>
        </w:tc>
        <w:tc>
          <w:tcPr>
            <w:tcW w:type="dxa" w:w="1728"/>
            <w:vAlign w:val="center"/>
            <w:tcMar>
              <w:top w:w="100" w:type="dxa"/>
              <w:bottom w:w="100" w:type="dxa"/>
              <w:left w:w="130" w:type="dxa"/>
              <w:right w:w="130" w:type="dxa"/>
            </w:tcMar>
            <w:shd w:fill="F7F9FB"/>
          </w:tcPr>
          <w:p>
            <w:r>
              <w:rPr>
                <w:color w:val="222222"/>
                <w:sz w:val="17"/>
              </w:rPr>
              <w:t>Índice Gini</w:t>
            </w:r>
          </w:p>
        </w:tc>
        <w:tc>
          <w:tcPr>
            <w:tcW w:type="dxa" w:w="2736"/>
            <w:vAlign w:val="center"/>
            <w:tcMar>
              <w:top w:w="100" w:type="dxa"/>
              <w:bottom w:w="100" w:type="dxa"/>
              <w:left w:w="130" w:type="dxa"/>
              <w:right w:w="130" w:type="dxa"/>
            </w:tcMar>
            <w:shd w:fill="F7F9FB"/>
          </w:tcPr>
          <w:p>
            <w:r>
              <w:rPr>
                <w:color w:val="222222"/>
                <w:sz w:val="17"/>
              </w:rPr>
              <w:t>I_G = 1 - sum(p_i^2)</w:t>
            </w:r>
          </w:p>
        </w:tc>
        <w:tc>
          <w:tcPr>
            <w:tcW w:type="dxa" w:w="3168"/>
            <w:vAlign w:val="center"/>
            <w:tcMar>
              <w:top w:w="100" w:type="dxa"/>
              <w:bottom w:w="100" w:type="dxa"/>
              <w:left w:w="130" w:type="dxa"/>
              <w:right w:w="130" w:type="dxa"/>
            </w:tcMar>
            <w:shd w:fill="F7F9FB"/>
          </w:tcPr>
          <w:p>
            <w:r>
              <w:rPr>
                <w:color w:val="222222"/>
                <w:sz w:val="17"/>
              </w:rPr>
              <w:t>Mide la probabilidad de clasificar erróneamente un elemento elegido al azar. Cómputo más veloz.</w:t>
            </w:r>
          </w:p>
        </w:tc>
      </w:tr>
      <w:tr>
        <w:trPr>
          <w:cantSplit/>
        </w:trPr>
        <w:tc>
          <w:tcPr>
            <w:tcW w:type="dxa" w:w="1584"/>
            <w:vAlign w:val="center"/>
            <w:tcMar>
              <w:top w:w="100" w:type="dxa"/>
              <w:bottom w:w="100" w:type="dxa"/>
              <w:left w:w="130" w:type="dxa"/>
              <w:right w:w="130" w:type="dxa"/>
            </w:tcMar>
            <w:shd w:fill="FFFFFF"/>
          </w:tcPr>
          <w:p>
            <w:r>
              <w:rPr>
                <w:color w:val="222222"/>
                <w:sz w:val="17"/>
              </w:rPr>
              <w:t>Clasificación</w:t>
            </w:r>
          </w:p>
        </w:tc>
        <w:tc>
          <w:tcPr>
            <w:tcW w:type="dxa" w:w="1728"/>
            <w:vAlign w:val="center"/>
            <w:tcMar>
              <w:top w:w="100" w:type="dxa"/>
              <w:bottom w:w="100" w:type="dxa"/>
              <w:left w:w="130" w:type="dxa"/>
              <w:right w:w="130" w:type="dxa"/>
            </w:tcMar>
            <w:shd w:fill="FFFFFF"/>
          </w:tcPr>
          <w:p>
            <w:r>
              <w:rPr>
                <w:color w:val="222222"/>
                <w:sz w:val="17"/>
              </w:rPr>
              <w:t>Entropía / Ganancia</w:t>
            </w:r>
          </w:p>
        </w:tc>
        <w:tc>
          <w:tcPr>
            <w:tcW w:type="dxa" w:w="2736"/>
            <w:vAlign w:val="center"/>
            <w:tcMar>
              <w:top w:w="100" w:type="dxa"/>
              <w:bottom w:w="100" w:type="dxa"/>
              <w:left w:w="130" w:type="dxa"/>
              <w:right w:w="130" w:type="dxa"/>
            </w:tcMar>
            <w:shd w:fill="FFFFFF"/>
          </w:tcPr>
          <w:p>
            <w:r>
              <w:rPr>
                <w:color w:val="222222"/>
                <w:sz w:val="17"/>
              </w:rPr>
              <w:t>H = - sum(p_i * log2(p_i))</w:t>
            </w:r>
          </w:p>
        </w:tc>
        <w:tc>
          <w:tcPr>
            <w:tcW w:type="dxa" w:w="3168"/>
            <w:vAlign w:val="center"/>
            <w:tcMar>
              <w:top w:w="100" w:type="dxa"/>
              <w:bottom w:w="100" w:type="dxa"/>
              <w:left w:w="130" w:type="dxa"/>
              <w:right w:w="130" w:type="dxa"/>
            </w:tcMar>
            <w:shd w:fill="FFFFFF"/>
          </w:tcPr>
          <w:p>
            <w:r>
              <w:rPr>
                <w:color w:val="222222"/>
                <w:sz w:val="17"/>
              </w:rPr>
              <w:t>Mide el desorden o incertidumbre termodinámica de la distribución de clases.</w:t>
            </w:r>
          </w:p>
        </w:tc>
      </w:tr>
      <w:tr>
        <w:trPr>
          <w:cantSplit/>
        </w:trPr>
        <w:tc>
          <w:tcPr>
            <w:tcW w:type="dxa" w:w="1584"/>
            <w:vAlign w:val="center"/>
            <w:tcMar>
              <w:top w:w="100" w:type="dxa"/>
              <w:bottom w:w="100" w:type="dxa"/>
              <w:left w:w="130" w:type="dxa"/>
              <w:right w:w="130" w:type="dxa"/>
            </w:tcMar>
            <w:shd w:fill="F7F9FB"/>
          </w:tcPr>
          <w:p>
            <w:r>
              <w:rPr>
                <w:color w:val="222222"/>
                <w:sz w:val="17"/>
              </w:rPr>
              <w:t>Regresión</w:t>
            </w:r>
          </w:p>
        </w:tc>
        <w:tc>
          <w:tcPr>
            <w:tcW w:type="dxa" w:w="1728"/>
            <w:vAlign w:val="center"/>
            <w:tcMar>
              <w:top w:w="100" w:type="dxa"/>
              <w:bottom w:w="100" w:type="dxa"/>
              <w:left w:w="130" w:type="dxa"/>
              <w:right w:w="130" w:type="dxa"/>
            </w:tcMar>
            <w:shd w:fill="F7F9FB"/>
          </w:tcPr>
          <w:p>
            <w:r>
              <w:rPr>
                <w:color w:val="222222"/>
                <w:sz w:val="17"/>
              </w:rPr>
              <w:t>Error Cuadrático Medio</w:t>
            </w:r>
          </w:p>
        </w:tc>
        <w:tc>
          <w:tcPr>
            <w:tcW w:type="dxa" w:w="2736"/>
            <w:vAlign w:val="center"/>
            <w:tcMar>
              <w:top w:w="100" w:type="dxa"/>
              <w:bottom w:w="100" w:type="dxa"/>
              <w:left w:w="130" w:type="dxa"/>
              <w:right w:w="130" w:type="dxa"/>
            </w:tcMar>
            <w:shd w:fill="F7F9FB"/>
          </w:tcPr>
          <w:p>
            <w:r>
              <w:rPr>
                <w:color w:val="222222"/>
                <w:sz w:val="17"/>
              </w:rPr>
              <w:t>MSE = (1/N) * sum((y_i - y_medio)^2)</w:t>
            </w:r>
          </w:p>
        </w:tc>
        <w:tc>
          <w:tcPr>
            <w:tcW w:type="dxa" w:w="3168"/>
            <w:vAlign w:val="center"/>
            <w:tcMar>
              <w:top w:w="100" w:type="dxa"/>
              <w:bottom w:w="100" w:type="dxa"/>
              <w:left w:w="130" w:type="dxa"/>
              <w:right w:w="130" w:type="dxa"/>
            </w:tcMar>
            <w:shd w:fill="F7F9FB"/>
          </w:tcPr>
          <w:p>
            <w:r>
              <w:rPr>
                <w:color w:val="222222"/>
                <w:sz w:val="17"/>
              </w:rPr>
              <w:t>Mide la dispersión cuadrática de los valores continuos respecto a la media de la hoja.</w:t>
            </w:r>
          </w:p>
        </w:tc>
      </w:tr>
    </w:tbl>
    <w:p>
      <w:pPr>
        <w:pStyle w:val="Heading2"/>
      </w:pPr>
      <w:r>
        <w:t>2.2. Equilibrio Sesgo-Varianza en Árboles</w:t>
      </w:r>
    </w:p>
    <w:p>
      <w:r>
        <w:t>Para cualquier estimador supervisado y = f(x) + epsilon, el error cuadrático esperado de generalización se descompone en tres sumandos:</w:t>
      </w:r>
    </w:p>
    <w:p>
      <w:pPr>
        <w:jc w:val="center"/>
      </w:pPr>
      <w:r>
        <w:rPr>
          <w:b/>
        </w:rPr>
        <w:t>E[(y - f_est(x))^2] = [Sesgo(f_est)]^2 + Varianza(f_est) + Error Irreducible (sigma^2)</w:t>
      </w:r>
    </w:p>
    <w:p>
      <w:r>
        <w:t>Un árbol CART individual sin restricciones de profundidad crece libremente hasta aislar cada muestra de entrenamiento, lo que conduce a un sesgo prácticamente nulo en el conjunto de entrenamiento (MSE = 0 o exactitud = 100%), pero a una varianza sumamente elevada ante ligeras perturbaciones en los datos (sobreajuste). La regularización mediante poda (limitando max_depth o aumentando min_samples_leaf) sacrifica una pequeña cantidad de sesgo para reducir de manera significativa la varianza.</w:t>
      </w:r>
    </w:p>
    <w:p>
      <w:pPr>
        <w:pStyle w:val="Heading2"/>
      </w:pPr>
      <w:r>
        <w:t>2.3. Clasificador por Votación (Voting Classifier)</w:t>
      </w:r>
    </w:p>
    <w:p>
      <w:r>
        <w:t>El ensamble por votación entrena algoritmos heterogéneos sobre el mismo conjunto de datos y combina sus decisiones. En la votación mayoritaria dura (hard voting), la clase predicha corresponde a la moda estadística de las clases emitidas por los clasificadores individuales. En la votación suave (soft voting), se promedian las probabilidades a posteriori P(y=c|x) calculadas por cada modelo y se selecciona la clase con el promedio más alto. La votación suave suele proporcionar un mejor rendimiento si los modelos base están debidamente calibrados, puesto que otorga mayor peso a predicciones confiables.</w:t>
      </w:r>
    </w:p>
    <w:p>
      <w:pPr>
        <w:pStyle w:val="Heading2"/>
      </w:pPr>
      <w:r>
        <w:t>2.4. Agregación Bootstrap (Bagging) y Evaluación OOB</w:t>
      </w:r>
    </w:p>
    <w:p>
      <w:r>
        <w:t>Bagging (Breiman, 1996) entrena estimadores homogéneos de alta varianza (típicamente árboles CART profundos) sobre B muestras generadas mediante muestreo aleatorio con reemplazo (bootstrap) del mismo tamaño N que el conjunto original. Dado que la probabilidad de que una muestra particular no sea seleccionada en una extracción es (1 - 1/N), la probabilidad de que nunca sea seleccionada en N extracciones converge a lim_{N-&gt;inf} (1 - 1/N)^N = 1/e approx 0.368. Por tanto, en cada bolsa bootstrap, aproximadamente el 63.2% de los datos son muestras únicas observadas, mientras que el 36.8% restante conforma el conjunto Fuera de la Bolsa (Out-Of-Bag - OOB). La evaluación OOB evalúa cada muestra utilizando únicamente los árboles en cuyo entrenamiento dicha muestra no participó, proporcionando un estimador no sesgado del error de generalización sin necesidad de particiones adicionales.</w:t>
      </w:r>
    </w:p>
    <w:p>
      <w:pPr>
        <w:pStyle w:val="Heading2"/>
      </w:pPr>
      <w:r>
        <w:t>2.5. Random Forests vs. Gradient Boosting (XGBoost)</w:t>
      </w:r>
    </w:p>
    <w:p>
      <w:r>
        <w:t>Bosques Aleatorios (Breiman, 2001) añade a Bagging una segunda fuente de aleatorización: en cada división de cada nodo, el algoritmo restringe la búsqueda a un subconjunto aleatorio de d caracteristicas (donde d approx sqrt(D) en clasificación). Esto descorrelaciona fuertemente los árboles del bosque, reduciendo la varianza del ensamble promedio sin alterar el sesgo.</w:t>
      </w:r>
    </w:p>
    <w:p>
      <w:r>
        <w:t>En contraposición, XGBoost (Chen &amp; Guestrin, 2016) pertenece a la familia de Boosting (potenciación secuencial). Cada nuevo árbol se entrena para predecir los residuos o pseudo-residuos del ensamble previo, empleando una aproximación de Taylor de segundo orden sobre la función de pérdida con regularización analítica explícita L1 (alfa) y L2 (lambda). Mientras que Random Forest reduce fundamentalmente la varianza, XGBoost reduce activamente el sesgo iteración a iteración y controla la varianza mediante contracción de tasa de aprendizaje (learning rate) y regularizadores de complejidad de hojas.</w:t>
      </w:r>
    </w:p>
    <w:p>
      <w:pPr>
        <w:pStyle w:val="Heading1"/>
      </w:pPr>
      <w:r>
        <w:t>3. Metodología de Experimentación y Tratamiento de Datos</w:t>
      </w:r>
    </w:p>
    <w:p>
      <w:r>
        <w:t>Para garantizar la validez científica y evitar la fuga de información (data leakage), se implementó el protocolo estricto de buenas prácticas en Machine Learning:</w:t>
      </w:r>
    </w:p>
    <w:p>
      <w:pPr>
        <w:ind w:left="288"/>
      </w:pPr>
      <w:r>
        <w:t>1. Partición Antes de Transformar: Todos los conjuntos de datos se dividieron en subconjuntos de entrenamiento (80%) y prueba independiente (20%) con semilla fija (random_state=42). En tareas de clasificación se utilizó estratificación.</w:t>
        <w:br/>
        <w:t>2. Encapsulamiento en Pipelines: Los imputadores de valores nulos (SimpleImputer por mediana) y escaladores (StandardScaler) se ajustaron única y exclusivamente con los datos de entrenamiento dentro de objetos Pipeline.</w:t>
        <w:br/>
        <w:t>3. Validación Cruzada Rigurosa: Se empleó 10-Fold Cross-Validation sobre el conjunto de entrenamiento para la selección de hiperparámetros y la evaluación diagnóstica de estabilidad.</w:t>
        <w:br/>
        <w:t>4. Evaluación Fuera de Muestra: El conjunto de prueba final de 20% se mantuvo aislado y nunca se utilizó durante el ajuste.</w:t>
        <w:br/>
        <w:t>5. Pruebas de Hipótesis y Significancia: Para contrastar modelos se ejecutaron validaciones cruzadas repetidas (10x3) y pruebas estadísticas no paramétricas de rangos con signo de Wilcoxon (alfa = 0.05), complementadas con intervalos de confianza bootstrap al 95% calculados sobre el conjunto de prueba.</w:t>
      </w:r>
    </w:p>
    <w:p>
      <w:pPr>
        <w:pStyle w:val="Heading1"/>
      </w:pPr>
      <w:r>
        <w:t>4. Ítem 1: Criterios CART (Gini vs. Entropía) vs. Regresor Logístico</w:t>
      </w:r>
    </w:p>
    <w:tbl>
      <w:tblPr>
        <w:tblW w:type="auto" w:w="0"/>
        <w:jc w:val="center"/>
        <w:tblLook w:firstColumn="1" w:firstRow="1" w:lastColumn="0" w:lastRow="0" w:noHBand="0" w:noVBand="1" w:val="04A0"/>
      </w:tblPr>
      <w:tblGrid>
        <w:gridCol w:w="9504"/>
      </w:tblGrid>
      <w:tr>
        <w:tc>
          <w:tcPr>
            <w:tcW w:type="dxa" w:w="9504"/>
            <w:shd w:fill="F5F8FC"/>
            <w:tcMar>
              <w:top w:w="140" w:type="dxa"/>
              <w:bottom w:w="140" w:type="dxa"/>
              <w:left w:w="200" w:type="dxa"/>
              <w:right w:w="200" w:type="dxa"/>
            </w:tcMar>
            <w:tcBorders>
              <w:left w:val="single" w:sz="24" w:space="0" w:color="1B365D"/>
              <w:top w:val="none"/>
              <w:right w:val="none"/>
              <w:bottom w:val="none"/>
            </w:tcBorders>
          </w:tcPr>
          <w:p>
            <w:pPr>
              <w:spacing w:before="40" w:after="40"/>
            </w:pPr>
            <w:r>
              <w:rPr>
                <w:b/>
                <w:color w:val="1B365D"/>
                <w:sz w:val="19"/>
              </w:rPr>
              <w:t>📌 Enunciado del Ítem 1</w:t>
              <w:br/>
            </w:r>
            <w:r>
              <w:rPr>
                <w:color w:val="222222"/>
                <w:sz w:val="18"/>
              </w:rPr>
              <w:t>Entrene modelos de árboles de decisión con criterios de impureza diferentes (índice gini y entropía) usando el dataset 'breast_cancer' de scikit-learn, compare su eficiencia con respecto a un modelo lineal como el Regresor Logístico. ¿Cuál es mejor?</w:t>
            </w:r>
          </w:p>
        </w:tc>
      </w:tr>
    </w:tbl>
    <w:p>
      <w:pPr>
        <w:spacing w:after="80"/>
      </w:pPr>
    </w:p>
    <w:p>
      <w:r>
        <w:t>El conjunto de datos breast_cancer comprende 569 pacientes con 30 variables numéricas continuas que describen propiedades morfológicas de núcleos celulares en biopsias mamarias (212 malignos y 357 benignos, prevalencia 37.3% malignos). Se evaluaron cinco configuraciones: árbol CART con Gini sin podar, árbol CART con Entropía sin podar, árboles podados (max_depth=4, min_samples_leaf=5) y Regresión Logística con estandarización.</w:t>
      </w:r>
    </w:p>
    <w:tbl>
      <w:tblPr>
        <w:tblW w:type="auto" w:w="0"/>
        <w:jc w:val="center"/>
        <w:tblLook w:firstColumn="1" w:firstRow="1" w:lastColumn="0" w:lastRow="0" w:noHBand="0" w:noVBand="1" w:val="04A0"/>
      </w:tblPr>
      <w:tblGrid>
        <w:gridCol w:w="1358"/>
        <w:gridCol w:w="1358"/>
        <w:gridCol w:w="1358"/>
        <w:gridCol w:w="1358"/>
        <w:gridCol w:w="1358"/>
        <w:gridCol w:w="1358"/>
        <w:gridCol w:w="1358"/>
      </w:tblGrid>
      <w:tr>
        <w:trPr>
          <w:cantSplit/>
          <w:tblHeader/>
        </w:trPr>
        <w:tc>
          <w:tcPr>
            <w:tcW w:type="dxa" w:w="2592"/>
            <w:vAlign w:val="center"/>
            <w:tcMar>
              <w:top w:w="100" w:type="dxa"/>
              <w:bottom w:w="100" w:type="dxa"/>
              <w:left w:w="130" w:type="dxa"/>
              <w:right w:w="130" w:type="dxa"/>
            </w:tcMar>
            <w:shd w:fill="1B365D"/>
          </w:tcPr>
          <w:p>
            <w:pPr>
              <w:jc w:val="center"/>
            </w:pPr>
            <w:r>
              <w:rPr>
                <w:b/>
                <w:color w:val="FFFFFF"/>
                <w:sz w:val="17"/>
              </w:rPr>
              <w:t>Modelo</w:t>
            </w:r>
          </w:p>
        </w:tc>
        <w:tc>
          <w:tcPr>
            <w:tcW w:type="dxa" w:w="1152"/>
            <w:vAlign w:val="center"/>
            <w:tcMar>
              <w:top w:w="100" w:type="dxa"/>
              <w:bottom w:w="100" w:type="dxa"/>
              <w:left w:w="130" w:type="dxa"/>
              <w:right w:w="130" w:type="dxa"/>
            </w:tcMar>
            <w:shd w:fill="1B365D"/>
          </w:tcPr>
          <w:p>
            <w:pPr>
              <w:jc w:val="center"/>
            </w:pPr>
            <w:r>
              <w:rPr>
                <w:b/>
                <w:color w:val="FFFFFF"/>
                <w:sz w:val="17"/>
              </w:rPr>
              <w:t>Acc. Train</w:t>
            </w:r>
          </w:p>
        </w:tc>
        <w:tc>
          <w:tcPr>
            <w:tcW w:type="dxa" w:w="1728"/>
            <w:vAlign w:val="center"/>
            <w:tcMar>
              <w:top w:w="100" w:type="dxa"/>
              <w:bottom w:w="100" w:type="dxa"/>
              <w:left w:w="130" w:type="dxa"/>
              <w:right w:w="130" w:type="dxa"/>
            </w:tcMar>
            <w:shd w:fill="1B365D"/>
          </w:tcPr>
          <w:p>
            <w:pPr>
              <w:jc w:val="center"/>
            </w:pPr>
            <w:r>
              <w:rPr>
                <w:b/>
                <w:color w:val="FFFFFF"/>
                <w:sz w:val="17"/>
              </w:rPr>
              <w:t>Acc. CV (media)</w:t>
            </w:r>
          </w:p>
        </w:tc>
        <w:tc>
          <w:tcPr>
            <w:tcW w:type="dxa" w:w="1152"/>
            <w:vAlign w:val="center"/>
            <w:tcMar>
              <w:top w:w="100" w:type="dxa"/>
              <w:bottom w:w="100" w:type="dxa"/>
              <w:left w:w="130" w:type="dxa"/>
              <w:right w:w="130" w:type="dxa"/>
            </w:tcMar>
            <w:shd w:fill="1B365D"/>
          </w:tcPr>
          <w:p>
            <w:pPr>
              <w:jc w:val="center"/>
            </w:pPr>
            <w:r>
              <w:rPr>
                <w:b/>
                <w:color w:val="FFFFFF"/>
                <w:sz w:val="17"/>
              </w:rPr>
              <w:t>Acc. Test</w:t>
            </w:r>
          </w:p>
        </w:tc>
        <w:tc>
          <w:tcPr>
            <w:tcW w:type="dxa" w:w="1152"/>
            <w:vAlign w:val="center"/>
            <w:tcMar>
              <w:top w:w="100" w:type="dxa"/>
              <w:bottom w:w="100" w:type="dxa"/>
              <w:left w:w="130" w:type="dxa"/>
              <w:right w:w="130" w:type="dxa"/>
            </w:tcMar>
            <w:shd w:fill="1B365D"/>
          </w:tcPr>
          <w:p>
            <w:pPr>
              <w:jc w:val="center"/>
            </w:pPr>
            <w:r>
              <w:rPr>
                <w:b/>
                <w:color w:val="FFFFFF"/>
                <w:sz w:val="17"/>
              </w:rPr>
              <w:t>F1 Maligno</w:t>
            </w:r>
          </w:p>
        </w:tc>
        <w:tc>
          <w:tcPr>
            <w:tcW w:type="dxa" w:w="1296"/>
            <w:vAlign w:val="center"/>
            <w:tcMar>
              <w:top w:w="100" w:type="dxa"/>
              <w:bottom w:w="100" w:type="dxa"/>
              <w:left w:w="130" w:type="dxa"/>
              <w:right w:w="130" w:type="dxa"/>
            </w:tcMar>
            <w:shd w:fill="1B365D"/>
          </w:tcPr>
          <w:p>
            <w:pPr>
              <w:jc w:val="center"/>
            </w:pPr>
            <w:r>
              <w:rPr>
                <w:b/>
                <w:color w:val="FFFFFF"/>
                <w:sz w:val="17"/>
              </w:rPr>
              <w:t>ROC-AUC Test</w:t>
            </w:r>
          </w:p>
        </w:tc>
        <w:tc>
          <w:tcPr>
            <w:tcW w:type="dxa" w:w="720"/>
            <w:vAlign w:val="center"/>
            <w:tcMar>
              <w:top w:w="100" w:type="dxa"/>
              <w:bottom w:w="100" w:type="dxa"/>
              <w:left w:w="130" w:type="dxa"/>
              <w:right w:w="130" w:type="dxa"/>
            </w:tcMar>
            <w:shd w:fill="1B365D"/>
          </w:tcPr>
          <w:p>
            <w:pPr>
              <w:jc w:val="center"/>
            </w:pPr>
            <w:r>
              <w:rPr>
                <w:b/>
                <w:color w:val="FFFFFF"/>
                <w:sz w:val="17"/>
              </w:rPr>
              <w:t>FN</w:t>
            </w:r>
          </w:p>
        </w:tc>
      </w:tr>
      <w:tr>
        <w:trPr>
          <w:cantSplit/>
        </w:trPr>
        <w:tc>
          <w:tcPr>
            <w:tcW w:type="dxa" w:w="2592"/>
            <w:vAlign w:val="center"/>
            <w:tcMar>
              <w:top w:w="100" w:type="dxa"/>
              <w:bottom w:w="100" w:type="dxa"/>
              <w:left w:w="130" w:type="dxa"/>
              <w:right w:w="130" w:type="dxa"/>
            </w:tcMar>
            <w:shd w:fill="F7F9FB"/>
          </w:tcPr>
          <w:p>
            <w:r>
              <w:rPr>
                <w:color w:val="222222"/>
                <w:sz w:val="17"/>
              </w:rPr>
              <w:t>CART Gini (sin podar)</w:t>
            </w:r>
          </w:p>
        </w:tc>
        <w:tc>
          <w:tcPr>
            <w:tcW w:type="dxa" w:w="1152"/>
            <w:vAlign w:val="center"/>
            <w:tcMar>
              <w:top w:w="100" w:type="dxa"/>
              <w:bottom w:w="100" w:type="dxa"/>
              <w:left w:w="130" w:type="dxa"/>
              <w:right w:w="130" w:type="dxa"/>
            </w:tcMar>
            <w:shd w:fill="F7F9FB"/>
          </w:tcPr>
          <w:p>
            <w:r>
              <w:rPr>
                <w:color w:val="222222"/>
                <w:sz w:val="17"/>
              </w:rPr>
              <w:t>1.0000</w:t>
            </w:r>
          </w:p>
        </w:tc>
        <w:tc>
          <w:tcPr>
            <w:tcW w:type="dxa" w:w="1728"/>
            <w:vAlign w:val="center"/>
            <w:tcMar>
              <w:top w:w="100" w:type="dxa"/>
              <w:bottom w:w="100" w:type="dxa"/>
              <w:left w:w="130" w:type="dxa"/>
              <w:right w:w="130" w:type="dxa"/>
            </w:tcMar>
            <w:shd w:fill="F7F9FB"/>
          </w:tcPr>
          <w:p>
            <w:r>
              <w:rPr>
                <w:color w:val="222222"/>
                <w:sz w:val="17"/>
              </w:rPr>
              <w:t>0.9253 ± 0.042</w:t>
            </w:r>
          </w:p>
        </w:tc>
        <w:tc>
          <w:tcPr>
            <w:tcW w:type="dxa" w:w="1152"/>
            <w:vAlign w:val="center"/>
            <w:tcMar>
              <w:top w:w="100" w:type="dxa"/>
              <w:bottom w:w="100" w:type="dxa"/>
              <w:left w:w="130" w:type="dxa"/>
              <w:right w:w="130" w:type="dxa"/>
            </w:tcMar>
            <w:shd w:fill="F7F9FB"/>
          </w:tcPr>
          <w:p>
            <w:r>
              <w:rPr>
                <w:color w:val="222222"/>
                <w:sz w:val="17"/>
              </w:rPr>
              <w:t>0.9123</w:t>
            </w:r>
          </w:p>
        </w:tc>
        <w:tc>
          <w:tcPr>
            <w:tcW w:type="dxa" w:w="1152"/>
            <w:vAlign w:val="center"/>
            <w:tcMar>
              <w:top w:w="100" w:type="dxa"/>
              <w:bottom w:w="100" w:type="dxa"/>
              <w:left w:w="130" w:type="dxa"/>
              <w:right w:w="130" w:type="dxa"/>
            </w:tcMar>
            <w:shd w:fill="F7F9FB"/>
          </w:tcPr>
          <w:p>
            <w:r>
              <w:rPr>
                <w:color w:val="222222"/>
                <w:sz w:val="17"/>
              </w:rPr>
              <w:t>0.8864</w:t>
            </w:r>
          </w:p>
        </w:tc>
        <w:tc>
          <w:tcPr>
            <w:tcW w:type="dxa" w:w="1296"/>
            <w:vAlign w:val="center"/>
            <w:tcMar>
              <w:top w:w="100" w:type="dxa"/>
              <w:bottom w:w="100" w:type="dxa"/>
              <w:left w:w="130" w:type="dxa"/>
              <w:right w:w="130" w:type="dxa"/>
            </w:tcMar>
            <w:shd w:fill="F7F9FB"/>
          </w:tcPr>
          <w:p>
            <w:r>
              <w:rPr>
                <w:color w:val="222222"/>
                <w:sz w:val="17"/>
              </w:rPr>
              <w:t>0.9157</w:t>
            </w:r>
          </w:p>
        </w:tc>
        <w:tc>
          <w:tcPr>
            <w:tcW w:type="dxa" w:w="720"/>
            <w:vAlign w:val="center"/>
            <w:tcMar>
              <w:top w:w="100" w:type="dxa"/>
              <w:bottom w:w="100" w:type="dxa"/>
              <w:left w:w="130" w:type="dxa"/>
              <w:right w:w="130" w:type="dxa"/>
            </w:tcMar>
            <w:shd w:fill="F7F9FB"/>
          </w:tcPr>
          <w:p>
            <w:r>
              <w:rPr>
                <w:color w:val="222222"/>
                <w:sz w:val="17"/>
              </w:rPr>
              <w:t>3</w:t>
            </w:r>
          </w:p>
        </w:tc>
      </w:tr>
      <w:tr>
        <w:trPr>
          <w:cantSplit/>
        </w:trPr>
        <w:tc>
          <w:tcPr>
            <w:tcW w:type="dxa" w:w="2592"/>
            <w:vAlign w:val="center"/>
            <w:tcMar>
              <w:top w:w="100" w:type="dxa"/>
              <w:bottom w:w="100" w:type="dxa"/>
              <w:left w:w="130" w:type="dxa"/>
              <w:right w:w="130" w:type="dxa"/>
            </w:tcMar>
            <w:shd w:fill="FFFFFF"/>
          </w:tcPr>
          <w:p>
            <w:r>
              <w:rPr>
                <w:color w:val="222222"/>
                <w:sz w:val="17"/>
              </w:rPr>
              <w:t>CART Entropía (sin podar)</w:t>
            </w:r>
          </w:p>
        </w:tc>
        <w:tc>
          <w:tcPr>
            <w:tcW w:type="dxa" w:w="1152"/>
            <w:vAlign w:val="center"/>
            <w:tcMar>
              <w:top w:w="100" w:type="dxa"/>
              <w:bottom w:w="100" w:type="dxa"/>
              <w:left w:w="130" w:type="dxa"/>
              <w:right w:w="130" w:type="dxa"/>
            </w:tcMar>
            <w:shd w:fill="FFFFFF"/>
          </w:tcPr>
          <w:p>
            <w:r>
              <w:rPr>
                <w:color w:val="222222"/>
                <w:sz w:val="17"/>
              </w:rPr>
              <w:t>1.0000</w:t>
            </w:r>
          </w:p>
        </w:tc>
        <w:tc>
          <w:tcPr>
            <w:tcW w:type="dxa" w:w="1728"/>
            <w:vAlign w:val="center"/>
            <w:tcMar>
              <w:top w:w="100" w:type="dxa"/>
              <w:bottom w:w="100" w:type="dxa"/>
              <w:left w:w="130" w:type="dxa"/>
              <w:right w:w="130" w:type="dxa"/>
            </w:tcMar>
            <w:shd w:fill="FFFFFF"/>
          </w:tcPr>
          <w:p>
            <w:r>
              <w:rPr>
                <w:color w:val="222222"/>
                <w:sz w:val="17"/>
              </w:rPr>
              <w:t>0.9230 ± 0.041</w:t>
            </w:r>
          </w:p>
        </w:tc>
        <w:tc>
          <w:tcPr>
            <w:tcW w:type="dxa" w:w="1152"/>
            <w:vAlign w:val="center"/>
            <w:tcMar>
              <w:top w:w="100" w:type="dxa"/>
              <w:bottom w:w="100" w:type="dxa"/>
              <w:left w:w="130" w:type="dxa"/>
              <w:right w:w="130" w:type="dxa"/>
            </w:tcMar>
            <w:shd w:fill="FFFFFF"/>
          </w:tcPr>
          <w:p>
            <w:r>
              <w:rPr>
                <w:color w:val="222222"/>
                <w:sz w:val="17"/>
              </w:rPr>
              <w:t>0.9123</w:t>
            </w:r>
          </w:p>
        </w:tc>
        <w:tc>
          <w:tcPr>
            <w:tcW w:type="dxa" w:w="1152"/>
            <w:vAlign w:val="center"/>
            <w:tcMar>
              <w:top w:w="100" w:type="dxa"/>
              <w:bottom w:w="100" w:type="dxa"/>
              <w:left w:w="130" w:type="dxa"/>
              <w:right w:w="130" w:type="dxa"/>
            </w:tcMar>
            <w:shd w:fill="FFFFFF"/>
          </w:tcPr>
          <w:p>
            <w:r>
              <w:rPr>
                <w:color w:val="222222"/>
                <w:sz w:val="17"/>
              </w:rPr>
              <w:t>0.8889</w:t>
            </w:r>
          </w:p>
        </w:tc>
        <w:tc>
          <w:tcPr>
            <w:tcW w:type="dxa" w:w="1296"/>
            <w:vAlign w:val="center"/>
            <w:tcMar>
              <w:top w:w="100" w:type="dxa"/>
              <w:bottom w:w="100" w:type="dxa"/>
              <w:left w:w="130" w:type="dxa"/>
              <w:right w:w="130" w:type="dxa"/>
            </w:tcMar>
            <w:shd w:fill="FFFFFF"/>
          </w:tcPr>
          <w:p>
            <w:r>
              <w:rPr>
                <w:color w:val="222222"/>
                <w:sz w:val="17"/>
              </w:rPr>
              <w:t>0.9206</w:t>
            </w:r>
          </w:p>
        </w:tc>
        <w:tc>
          <w:tcPr>
            <w:tcW w:type="dxa" w:w="720"/>
            <w:vAlign w:val="center"/>
            <w:tcMar>
              <w:top w:w="100" w:type="dxa"/>
              <w:bottom w:w="100" w:type="dxa"/>
              <w:left w:w="130" w:type="dxa"/>
              <w:right w:w="130" w:type="dxa"/>
            </w:tcMar>
            <w:shd w:fill="FFFFFF"/>
          </w:tcPr>
          <w:p>
            <w:r>
              <w:rPr>
                <w:color w:val="222222"/>
                <w:sz w:val="17"/>
              </w:rPr>
              <w:t>2</w:t>
            </w:r>
          </w:p>
        </w:tc>
      </w:tr>
      <w:tr>
        <w:trPr>
          <w:cantSplit/>
        </w:trPr>
        <w:tc>
          <w:tcPr>
            <w:tcW w:type="dxa" w:w="2592"/>
            <w:vAlign w:val="center"/>
            <w:tcMar>
              <w:top w:w="100" w:type="dxa"/>
              <w:bottom w:w="100" w:type="dxa"/>
              <w:left w:w="130" w:type="dxa"/>
              <w:right w:w="130" w:type="dxa"/>
            </w:tcMar>
            <w:shd w:fill="F7F9FB"/>
          </w:tcPr>
          <w:p>
            <w:r>
              <w:rPr>
                <w:color w:val="222222"/>
                <w:sz w:val="17"/>
              </w:rPr>
              <w:t>CART Gini (podado)</w:t>
            </w:r>
          </w:p>
        </w:tc>
        <w:tc>
          <w:tcPr>
            <w:tcW w:type="dxa" w:w="1152"/>
            <w:vAlign w:val="center"/>
            <w:tcMar>
              <w:top w:w="100" w:type="dxa"/>
              <w:bottom w:w="100" w:type="dxa"/>
              <w:left w:w="130" w:type="dxa"/>
              <w:right w:w="130" w:type="dxa"/>
            </w:tcMar>
            <w:shd w:fill="F7F9FB"/>
          </w:tcPr>
          <w:p>
            <w:r>
              <w:rPr>
                <w:color w:val="222222"/>
                <w:sz w:val="17"/>
              </w:rPr>
              <w:t>0.9758</w:t>
            </w:r>
          </w:p>
        </w:tc>
        <w:tc>
          <w:tcPr>
            <w:tcW w:type="dxa" w:w="1728"/>
            <w:vAlign w:val="center"/>
            <w:tcMar>
              <w:top w:w="100" w:type="dxa"/>
              <w:bottom w:w="100" w:type="dxa"/>
              <w:left w:w="130" w:type="dxa"/>
              <w:right w:w="130" w:type="dxa"/>
            </w:tcMar>
            <w:shd w:fill="F7F9FB"/>
          </w:tcPr>
          <w:p>
            <w:r>
              <w:rPr>
                <w:color w:val="222222"/>
                <w:sz w:val="17"/>
              </w:rPr>
              <w:t>0.9362 ± 0.039</w:t>
            </w:r>
          </w:p>
        </w:tc>
        <w:tc>
          <w:tcPr>
            <w:tcW w:type="dxa" w:w="1152"/>
            <w:vAlign w:val="center"/>
            <w:tcMar>
              <w:top w:w="100" w:type="dxa"/>
              <w:bottom w:w="100" w:type="dxa"/>
              <w:left w:w="130" w:type="dxa"/>
              <w:right w:w="130" w:type="dxa"/>
            </w:tcMar>
            <w:shd w:fill="F7F9FB"/>
          </w:tcPr>
          <w:p>
            <w:r>
              <w:rPr>
                <w:color w:val="222222"/>
                <w:sz w:val="17"/>
              </w:rPr>
              <w:t>0.9211</w:t>
            </w:r>
          </w:p>
        </w:tc>
        <w:tc>
          <w:tcPr>
            <w:tcW w:type="dxa" w:w="1152"/>
            <w:vAlign w:val="center"/>
            <w:tcMar>
              <w:top w:w="100" w:type="dxa"/>
              <w:bottom w:w="100" w:type="dxa"/>
              <w:left w:w="130" w:type="dxa"/>
              <w:right w:w="130" w:type="dxa"/>
            </w:tcMar>
            <w:shd w:fill="F7F9FB"/>
          </w:tcPr>
          <w:p>
            <w:r>
              <w:rPr>
                <w:color w:val="222222"/>
                <w:sz w:val="17"/>
              </w:rPr>
              <w:t>0.8941</w:t>
            </w:r>
          </w:p>
        </w:tc>
        <w:tc>
          <w:tcPr>
            <w:tcW w:type="dxa" w:w="1296"/>
            <w:vAlign w:val="center"/>
            <w:tcMar>
              <w:top w:w="100" w:type="dxa"/>
              <w:bottom w:w="100" w:type="dxa"/>
              <w:left w:w="130" w:type="dxa"/>
              <w:right w:w="130" w:type="dxa"/>
            </w:tcMar>
            <w:shd w:fill="F7F9FB"/>
          </w:tcPr>
          <w:p>
            <w:r>
              <w:rPr>
                <w:color w:val="222222"/>
                <w:sz w:val="17"/>
              </w:rPr>
              <w:t>0.9263</w:t>
            </w:r>
          </w:p>
        </w:tc>
        <w:tc>
          <w:tcPr>
            <w:tcW w:type="dxa" w:w="720"/>
            <w:vAlign w:val="center"/>
            <w:tcMar>
              <w:top w:w="100" w:type="dxa"/>
              <w:bottom w:w="100" w:type="dxa"/>
              <w:left w:w="130" w:type="dxa"/>
              <w:right w:w="130" w:type="dxa"/>
            </w:tcMar>
            <w:shd w:fill="F7F9FB"/>
          </w:tcPr>
          <w:p>
            <w:r>
              <w:rPr>
                <w:color w:val="222222"/>
                <w:sz w:val="17"/>
              </w:rPr>
              <w:t>4</w:t>
            </w:r>
          </w:p>
        </w:tc>
      </w:tr>
      <w:tr>
        <w:trPr>
          <w:cantSplit/>
        </w:trPr>
        <w:tc>
          <w:tcPr>
            <w:tcW w:type="dxa" w:w="2592"/>
            <w:vAlign w:val="center"/>
            <w:tcMar>
              <w:top w:w="100" w:type="dxa"/>
              <w:bottom w:w="100" w:type="dxa"/>
              <w:left w:w="130" w:type="dxa"/>
              <w:right w:w="130" w:type="dxa"/>
            </w:tcMar>
            <w:shd w:fill="FFFFFF"/>
          </w:tcPr>
          <w:p>
            <w:r>
              <w:rPr>
                <w:color w:val="222222"/>
                <w:sz w:val="17"/>
              </w:rPr>
              <w:t>CART Entropía (podado)</w:t>
            </w:r>
          </w:p>
        </w:tc>
        <w:tc>
          <w:tcPr>
            <w:tcW w:type="dxa" w:w="1152"/>
            <w:vAlign w:val="center"/>
            <w:tcMar>
              <w:top w:w="100" w:type="dxa"/>
              <w:bottom w:w="100" w:type="dxa"/>
              <w:left w:w="130" w:type="dxa"/>
              <w:right w:w="130" w:type="dxa"/>
            </w:tcMar>
            <w:shd w:fill="FFFFFF"/>
          </w:tcPr>
          <w:p>
            <w:r>
              <w:rPr>
                <w:color w:val="222222"/>
                <w:sz w:val="17"/>
              </w:rPr>
              <w:t>0.9736</w:t>
            </w:r>
          </w:p>
        </w:tc>
        <w:tc>
          <w:tcPr>
            <w:tcW w:type="dxa" w:w="1728"/>
            <w:vAlign w:val="center"/>
            <w:tcMar>
              <w:top w:w="100" w:type="dxa"/>
              <w:bottom w:w="100" w:type="dxa"/>
              <w:left w:w="130" w:type="dxa"/>
              <w:right w:w="130" w:type="dxa"/>
            </w:tcMar>
            <w:shd w:fill="FFFFFF"/>
          </w:tcPr>
          <w:p>
            <w:r>
              <w:rPr>
                <w:color w:val="222222"/>
                <w:sz w:val="17"/>
              </w:rPr>
              <w:t>0.9319 ± 0.041</w:t>
            </w:r>
          </w:p>
        </w:tc>
        <w:tc>
          <w:tcPr>
            <w:tcW w:type="dxa" w:w="1152"/>
            <w:vAlign w:val="center"/>
            <w:tcMar>
              <w:top w:w="100" w:type="dxa"/>
              <w:bottom w:w="100" w:type="dxa"/>
              <w:left w:w="130" w:type="dxa"/>
              <w:right w:w="130" w:type="dxa"/>
            </w:tcMar>
            <w:shd w:fill="FFFFFF"/>
          </w:tcPr>
          <w:p>
            <w:r>
              <w:rPr>
                <w:color w:val="222222"/>
                <w:sz w:val="17"/>
              </w:rPr>
              <w:t>0.8772</w:t>
            </w:r>
          </w:p>
        </w:tc>
        <w:tc>
          <w:tcPr>
            <w:tcW w:type="dxa" w:w="1152"/>
            <w:vAlign w:val="center"/>
            <w:tcMar>
              <w:top w:w="100" w:type="dxa"/>
              <w:bottom w:w="100" w:type="dxa"/>
              <w:left w:w="130" w:type="dxa"/>
              <w:right w:w="130" w:type="dxa"/>
            </w:tcMar>
            <w:shd w:fill="FFFFFF"/>
          </w:tcPr>
          <w:p>
            <w:r>
              <w:rPr>
                <w:color w:val="222222"/>
                <w:sz w:val="17"/>
              </w:rPr>
              <w:t>0.8478</w:t>
            </w:r>
          </w:p>
        </w:tc>
        <w:tc>
          <w:tcPr>
            <w:tcW w:type="dxa" w:w="1296"/>
            <w:vAlign w:val="center"/>
            <w:tcMar>
              <w:top w:w="100" w:type="dxa"/>
              <w:bottom w:w="100" w:type="dxa"/>
              <w:left w:w="130" w:type="dxa"/>
              <w:right w:w="130" w:type="dxa"/>
            </w:tcMar>
            <w:shd w:fill="FFFFFF"/>
          </w:tcPr>
          <w:p>
            <w:r>
              <w:rPr>
                <w:color w:val="222222"/>
                <w:sz w:val="17"/>
              </w:rPr>
              <w:t>0.9593</w:t>
            </w:r>
          </w:p>
        </w:tc>
        <w:tc>
          <w:tcPr>
            <w:tcW w:type="dxa" w:w="720"/>
            <w:vAlign w:val="center"/>
            <w:tcMar>
              <w:top w:w="100" w:type="dxa"/>
              <w:bottom w:w="100" w:type="dxa"/>
              <w:left w:w="130" w:type="dxa"/>
              <w:right w:w="130" w:type="dxa"/>
            </w:tcMar>
            <w:shd w:fill="FFFFFF"/>
          </w:tcPr>
          <w:p>
            <w:r>
              <w:rPr>
                <w:color w:val="222222"/>
                <w:sz w:val="17"/>
              </w:rPr>
              <w:t>3</w:t>
            </w:r>
          </w:p>
        </w:tc>
      </w:tr>
      <w:tr>
        <w:trPr>
          <w:cantSplit/>
        </w:trPr>
        <w:tc>
          <w:tcPr>
            <w:tcW w:type="dxa" w:w="2592"/>
            <w:vAlign w:val="center"/>
            <w:tcMar>
              <w:top w:w="100" w:type="dxa"/>
              <w:bottom w:w="100" w:type="dxa"/>
              <w:left w:w="130" w:type="dxa"/>
              <w:right w:w="130" w:type="dxa"/>
            </w:tcMar>
            <w:shd w:fill="F7F9FB"/>
          </w:tcPr>
          <w:p>
            <w:r>
              <w:rPr>
                <w:color w:val="222222"/>
                <w:sz w:val="17"/>
              </w:rPr>
              <w:t>Regresión Logística</w:t>
            </w:r>
          </w:p>
        </w:tc>
        <w:tc>
          <w:tcPr>
            <w:tcW w:type="dxa" w:w="1152"/>
            <w:vAlign w:val="center"/>
            <w:tcMar>
              <w:top w:w="100" w:type="dxa"/>
              <w:bottom w:w="100" w:type="dxa"/>
              <w:left w:w="130" w:type="dxa"/>
              <w:right w:w="130" w:type="dxa"/>
            </w:tcMar>
            <w:shd w:fill="F7F9FB"/>
          </w:tcPr>
          <w:p>
            <w:r>
              <w:rPr>
                <w:color w:val="222222"/>
                <w:sz w:val="17"/>
              </w:rPr>
              <w:t>0.9890</w:t>
            </w:r>
          </w:p>
        </w:tc>
        <w:tc>
          <w:tcPr>
            <w:tcW w:type="dxa" w:w="1728"/>
            <w:vAlign w:val="center"/>
            <w:tcMar>
              <w:top w:w="100" w:type="dxa"/>
              <w:bottom w:w="100" w:type="dxa"/>
              <w:left w:w="130" w:type="dxa"/>
              <w:right w:w="130" w:type="dxa"/>
            </w:tcMar>
            <w:shd w:fill="F7F9FB"/>
          </w:tcPr>
          <w:p>
            <w:r>
              <w:rPr>
                <w:color w:val="222222"/>
                <w:sz w:val="17"/>
              </w:rPr>
              <w:t>0.9824 ± 0.013</w:t>
            </w:r>
          </w:p>
        </w:tc>
        <w:tc>
          <w:tcPr>
            <w:tcW w:type="dxa" w:w="1152"/>
            <w:vAlign w:val="center"/>
            <w:tcMar>
              <w:top w:w="100" w:type="dxa"/>
              <w:bottom w:w="100" w:type="dxa"/>
              <w:left w:w="130" w:type="dxa"/>
              <w:right w:w="130" w:type="dxa"/>
            </w:tcMar>
            <w:shd w:fill="F7F9FB"/>
          </w:tcPr>
          <w:p>
            <w:r>
              <w:rPr>
                <w:color w:val="222222"/>
                <w:sz w:val="17"/>
              </w:rPr>
              <w:t>0.9825</w:t>
            </w:r>
          </w:p>
        </w:tc>
        <w:tc>
          <w:tcPr>
            <w:tcW w:type="dxa" w:w="1152"/>
            <w:vAlign w:val="center"/>
            <w:tcMar>
              <w:top w:w="100" w:type="dxa"/>
              <w:bottom w:w="100" w:type="dxa"/>
              <w:left w:w="130" w:type="dxa"/>
              <w:right w:w="130" w:type="dxa"/>
            </w:tcMar>
            <w:shd w:fill="F7F9FB"/>
          </w:tcPr>
          <w:p>
            <w:r>
              <w:rPr>
                <w:color w:val="222222"/>
                <w:sz w:val="17"/>
              </w:rPr>
              <w:t>0.9762</w:t>
            </w:r>
          </w:p>
        </w:tc>
        <w:tc>
          <w:tcPr>
            <w:tcW w:type="dxa" w:w="1296"/>
            <w:vAlign w:val="center"/>
            <w:tcMar>
              <w:top w:w="100" w:type="dxa"/>
              <w:bottom w:w="100" w:type="dxa"/>
              <w:left w:w="130" w:type="dxa"/>
              <w:right w:w="130" w:type="dxa"/>
            </w:tcMar>
            <w:shd w:fill="F7F9FB"/>
          </w:tcPr>
          <w:p>
            <w:r>
              <w:rPr>
                <w:color w:val="222222"/>
                <w:sz w:val="17"/>
              </w:rPr>
              <w:t>0.9954</w:t>
            </w:r>
          </w:p>
        </w:tc>
        <w:tc>
          <w:tcPr>
            <w:tcW w:type="dxa" w:w="720"/>
            <w:vAlign w:val="center"/>
            <w:tcMar>
              <w:top w:w="100" w:type="dxa"/>
              <w:bottom w:w="100" w:type="dxa"/>
              <w:left w:w="130" w:type="dxa"/>
              <w:right w:w="130" w:type="dxa"/>
            </w:tcMar>
            <w:shd w:fill="F7F9FB"/>
          </w:tcPr>
          <w:p>
            <w:r>
              <w:rPr>
                <w:color w:val="222222"/>
                <w:sz w:val="17"/>
              </w:rPr>
              <w:t>1</w:t>
            </w:r>
          </w:p>
        </w:tc>
      </w:tr>
    </w:tbl>
    <w:p>
      <w:pPr>
        <w:keepNext/>
        <w:spacing w:before="160" w:after="40"/>
        <w:jc w:val="center"/>
      </w:pPr>
      <w:r>
        <w:drawing>
          <wp:inline xmlns:a="http://schemas.openxmlformats.org/drawingml/2006/main" xmlns:pic="http://schemas.openxmlformats.org/drawingml/2006/picture">
            <wp:extent cx="5669280" cy="1693628"/>
            <wp:docPr id="2" name="Picture 2"/>
            <wp:cNvGraphicFramePr>
              <a:graphicFrameLocks noChangeAspect="1"/>
            </wp:cNvGraphicFramePr>
            <a:graphic>
              <a:graphicData uri="http://schemas.openxmlformats.org/drawingml/2006/picture">
                <pic:pic>
                  <pic:nvPicPr>
                    <pic:cNvPr id="0" name="item1_comparacion.png"/>
                    <pic:cNvPicPr/>
                  </pic:nvPicPr>
                  <pic:blipFill>
                    <a:blip r:embed="rId10"/>
                    <a:stretch>
                      <a:fillRect/>
                    </a:stretch>
                  </pic:blipFill>
                  <pic:spPr>
                    <a:xfrm>
                      <a:off x="0" y="0"/>
                      <a:ext cx="5669280" cy="1693628"/>
                    </a:xfrm>
                    <a:prstGeom prst="rect"/>
                  </pic:spPr>
                </pic:pic>
              </a:graphicData>
            </a:graphic>
          </wp:inline>
        </w:drawing>
      </w:r>
    </w:p>
    <w:p>
      <w:pPr>
        <w:spacing w:before="40" w:after="160"/>
        <w:jc w:val="center"/>
      </w:pPr>
      <w:r>
        <w:rPr>
          <w:i/>
          <w:color w:val="646464"/>
          <w:sz w:val="17"/>
        </w:rPr>
        <w:t>Figura 1: Comparativa de exactitud (train, CV 10-Fold y test) y diagramas de caja en breast_cancer.</w:t>
      </w:r>
    </w:p>
    <w:p>
      <w:pPr>
        <w:keepNext/>
        <w:spacing w:before="160" w:after="40"/>
        <w:jc w:val="center"/>
      </w:pPr>
      <w:r>
        <w:drawing>
          <wp:inline xmlns:a="http://schemas.openxmlformats.org/drawingml/2006/main" xmlns:pic="http://schemas.openxmlformats.org/drawingml/2006/picture">
            <wp:extent cx="5669280" cy="1068328"/>
            <wp:docPr id="3" name="Picture 3"/>
            <wp:cNvGraphicFramePr>
              <a:graphicFrameLocks noChangeAspect="1"/>
            </wp:cNvGraphicFramePr>
            <a:graphic>
              <a:graphicData uri="http://schemas.openxmlformats.org/drawingml/2006/picture">
                <pic:pic>
                  <pic:nvPicPr>
                    <pic:cNvPr id="0" name="item1_confusion.png"/>
                    <pic:cNvPicPr/>
                  </pic:nvPicPr>
                  <pic:blipFill>
                    <a:blip r:embed="rId11"/>
                    <a:stretch>
                      <a:fillRect/>
                    </a:stretch>
                  </pic:blipFill>
                  <pic:spPr>
                    <a:xfrm>
                      <a:off x="0" y="0"/>
                      <a:ext cx="5669280" cy="1068328"/>
                    </a:xfrm>
                    <a:prstGeom prst="rect"/>
                  </pic:spPr>
                </pic:pic>
              </a:graphicData>
            </a:graphic>
          </wp:inline>
        </w:drawing>
      </w:r>
    </w:p>
    <w:p>
      <w:pPr>
        <w:spacing w:before="40" w:after="160"/>
        <w:jc w:val="center"/>
      </w:pPr>
      <w:r>
        <w:rPr>
          <w:i/>
          <w:color w:val="646464"/>
          <w:sz w:val="17"/>
        </w:rPr>
        <w:t>Figura 2: Matrices de confusión en el conjunto de prueba independiente para los 5 modelos del Ítem 1.</w:t>
      </w:r>
    </w:p>
    <w:p>
      <w:pPr>
        <w:keepNext/>
        <w:spacing w:before="160" w:after="40"/>
        <w:jc w:val="center"/>
      </w:pPr>
      <w:r>
        <w:drawing>
          <wp:inline xmlns:a="http://schemas.openxmlformats.org/drawingml/2006/main" xmlns:pic="http://schemas.openxmlformats.org/drawingml/2006/picture">
            <wp:extent cx="5669280" cy="2798576"/>
            <wp:docPr id="4" name="Picture 4"/>
            <wp:cNvGraphicFramePr>
              <a:graphicFrameLocks noChangeAspect="1"/>
            </wp:cNvGraphicFramePr>
            <a:graphic>
              <a:graphicData uri="http://schemas.openxmlformats.org/drawingml/2006/picture">
                <pic:pic>
                  <pic:nvPicPr>
                    <pic:cNvPr id="0" name="item1_complejidad.png"/>
                    <pic:cNvPicPr/>
                  </pic:nvPicPr>
                  <pic:blipFill>
                    <a:blip r:embed="rId12"/>
                    <a:stretch>
                      <a:fillRect/>
                    </a:stretch>
                  </pic:blipFill>
                  <pic:spPr>
                    <a:xfrm>
                      <a:off x="0" y="0"/>
                      <a:ext cx="5669280" cy="2798576"/>
                    </a:xfrm>
                    <a:prstGeom prst="rect"/>
                  </pic:spPr>
                </pic:pic>
              </a:graphicData>
            </a:graphic>
          </wp:inline>
        </w:drawing>
      </w:r>
    </w:p>
    <w:p>
      <w:pPr>
        <w:spacing w:before="40" w:after="160"/>
        <w:jc w:val="center"/>
      </w:pPr>
      <w:r>
        <w:rPr>
          <w:i/>
          <w:color w:val="646464"/>
          <w:sz w:val="17"/>
        </w:rPr>
        <w:t>Figura 3: Curva de complejidad sesgo-varianza: exactitud vs. max_depth para Gini y Entropía frente a Regresión Logística.</w:t>
      </w:r>
    </w:p>
    <w:p>
      <w:pPr>
        <w:keepNext/>
        <w:spacing w:before="160" w:after="40"/>
        <w:jc w:val="center"/>
      </w:pPr>
      <w:r>
        <w:drawing>
          <wp:inline xmlns:a="http://schemas.openxmlformats.org/drawingml/2006/main" xmlns:pic="http://schemas.openxmlformats.org/drawingml/2006/picture">
            <wp:extent cx="5669280" cy="1971923"/>
            <wp:docPr id="5" name="Picture 5"/>
            <wp:cNvGraphicFramePr>
              <a:graphicFrameLocks noChangeAspect="1"/>
            </wp:cNvGraphicFramePr>
            <a:graphic>
              <a:graphicData uri="http://schemas.openxmlformats.org/drawingml/2006/picture">
                <pic:pic>
                  <pic:nvPicPr>
                    <pic:cNvPr id="0" name="item1_importancia.png"/>
                    <pic:cNvPicPr/>
                  </pic:nvPicPr>
                  <pic:blipFill>
                    <a:blip r:embed="rId13"/>
                    <a:stretch>
                      <a:fillRect/>
                    </a:stretch>
                  </pic:blipFill>
                  <pic:spPr>
                    <a:xfrm>
                      <a:off x="0" y="0"/>
                      <a:ext cx="5669280" cy="1971923"/>
                    </a:xfrm>
                    <a:prstGeom prst="rect"/>
                  </pic:spPr>
                </pic:pic>
              </a:graphicData>
            </a:graphic>
          </wp:inline>
        </w:drawing>
      </w:r>
    </w:p>
    <w:p>
      <w:pPr>
        <w:spacing w:before="40" w:after="160"/>
        <w:jc w:val="center"/>
      </w:pPr>
      <w:r>
        <w:rPr>
          <w:i/>
          <w:color w:val="646464"/>
          <w:sz w:val="17"/>
        </w:rPr>
        <w:t>Figura 4: Variables más relevantes según reducción de impureza en árboles CART y magnitud de coeficientes en Regresión Logística.</w:t>
      </w:r>
    </w:p>
    <w:p>
      <w:pPr>
        <w:pStyle w:val="Heading2"/>
      </w:pPr>
      <w:r>
        <w:t>Respuesta Justificada: ¿Cuál es mejor en el Ítem 1?</w:t>
      </w:r>
    </w:p>
    <w:p>
      <w:r>
        <w:t>La Regresión Logística es contundentemente el mejor modelo para el conjunto de datos breast_cancer. Alcanza una exactitud en validación cruzada de 98.24% ± 1.33% y en prueba de 98.25%, con un área bajo la curva ROC de 0.9954 y un F1-Score en la clase crítica (tumores malignos) de 0.9762, cometiendo un solo falso negativo en prueba (FN = 1). En comparación, el mejor árbol podado (Gini) alcanza 93.62% en CV, 92.11% en test y 4 falsos negativos, mientras que los árboles sin podar sufren de sobreajuste severo (100% en train pero 91.23% en test).</w:t>
      </w:r>
    </w:p>
    <w:p>
      <w:r>
        <w:t>Fundamento Teórico: El dataset breast_cancer posee 30 variables continuas de alta colinealidad con fronteras de decisión suaves y aproximadamente separables por un hiperplano lineal. La Regresión Logística combina ponderadamente todas las características simultáneamente a través de un sigmoide continuo. En contraste, los árboles CART intentan aproximar esta frontera mediante escalones rectangulares ortogonales eje a eje, lo que fragmenta los datos en exceso y requiere muchos cortes locales que incrementan la varianza. Entre Gini y Entropía, el índice Gini demostró un rendimiento ligeramente superior en validación cruzada (93.62% vs 93.19%) y un tiempo de cómputo marginalmente más rápido (0.0058 s vs 0.0068 s).</w:t>
      </w:r>
    </w:p>
    <w:p>
      <w:pPr>
        <w:pStyle w:val="Heading1"/>
      </w:pPr>
      <w:r>
        <w:t>5. Ítem 2: Hiperparámetros en Árboles de Regresión vs. Regresor Lineal</w:t>
      </w:r>
    </w:p>
    <w:tbl>
      <w:tblPr>
        <w:tblW w:type="auto" w:w="0"/>
        <w:jc w:val="center"/>
        <w:tblLook w:firstColumn="1" w:firstRow="1" w:lastColumn="0" w:lastRow="0" w:noHBand="0" w:noVBand="1" w:val="04A0"/>
      </w:tblPr>
      <w:tblGrid>
        <w:gridCol w:w="9504"/>
      </w:tblGrid>
      <w:tr>
        <w:tc>
          <w:tcPr>
            <w:tcW w:type="dxa" w:w="9504"/>
            <w:shd w:fill="F5F8FC"/>
            <w:tcMar>
              <w:top w:w="140" w:type="dxa"/>
              <w:bottom w:w="140" w:type="dxa"/>
              <w:left w:w="200" w:type="dxa"/>
              <w:right w:w="200" w:type="dxa"/>
            </w:tcMar>
            <w:tcBorders>
              <w:left w:val="single" w:sz="24" w:space="0" w:color="1B365D"/>
              <w:top w:val="none"/>
              <w:right w:val="none"/>
              <w:bottom w:val="none"/>
            </w:tcBorders>
          </w:tcPr>
          <w:p>
            <w:pPr>
              <w:spacing w:before="40" w:after="40"/>
            </w:pPr>
            <w:r>
              <w:rPr>
                <w:b/>
                <w:color w:val="1B365D"/>
                <w:sz w:val="19"/>
              </w:rPr>
              <w:t>📌 Enunciado del Ítem 2</w:t>
              <w:br/>
            </w:r>
            <w:r>
              <w:rPr>
                <w:color w:val="222222"/>
                <w:sz w:val="18"/>
              </w:rPr>
              <w:t>Entrene modelos de árboles de decisión con varias configuraciones de hiper parámetros usando el dataset auto_mpg, comparar su eficiencia con respecto a un modelo lineal como el Regresor Lineal. ¿Cuál es el mejor?</w:t>
            </w:r>
          </w:p>
        </w:tc>
      </w:tr>
    </w:tbl>
    <w:p>
      <w:pPr>
        <w:spacing w:after="80"/>
      </w:pPr>
    </w:p>
    <w:p>
      <w:r>
        <w:t>El dataset auto_mpg comprende 398 automóviles con 7 variables predictoras para estimar el rendimiento de combustible en mpg. Los 6 valores faltantes en 'horsepower' se imputaron con la mediana del conjunto de entrenamiento dentro del pipeline y la variable nominal 'origin' se codificó mediante One-Hot. Se evaluaron: Regresión Lineal, CART sin podar, CART podado con max_depth=3, CART podado con depth=5 y min_samples_leaf=5, CART podado con leaf=10%, y CART optimizado con GridSearchCV.</w:t>
      </w:r>
    </w:p>
    <w:tbl>
      <w:tblPr>
        <w:tblW w:type="auto" w:w="0"/>
        <w:jc w:val="center"/>
        <w:tblLook w:firstColumn="1" w:firstRow="1" w:lastColumn="0" w:lastRow="0" w:noHBand="0" w:noVBand="1" w:val="04A0"/>
      </w:tblPr>
      <w:tblGrid>
        <w:gridCol w:w="1358"/>
        <w:gridCol w:w="1358"/>
        <w:gridCol w:w="1358"/>
        <w:gridCol w:w="1358"/>
        <w:gridCol w:w="1358"/>
        <w:gridCol w:w="1358"/>
        <w:gridCol w:w="1358"/>
      </w:tblGrid>
      <w:tr>
        <w:trPr>
          <w:cantSplit/>
          <w:tblHeader/>
        </w:trPr>
        <w:tc>
          <w:tcPr>
            <w:tcW w:type="dxa" w:w="2592"/>
            <w:vAlign w:val="center"/>
            <w:tcMar>
              <w:top w:w="100" w:type="dxa"/>
              <w:bottom w:w="100" w:type="dxa"/>
              <w:left w:w="130" w:type="dxa"/>
              <w:right w:w="130" w:type="dxa"/>
            </w:tcMar>
            <w:shd w:fill="1B365D"/>
          </w:tcPr>
          <w:p>
            <w:pPr>
              <w:jc w:val="center"/>
            </w:pPr>
            <w:r>
              <w:rPr>
                <w:b/>
                <w:color w:val="FFFFFF"/>
                <w:sz w:val="17"/>
              </w:rPr>
              <w:t>Modelo</w:t>
            </w:r>
          </w:p>
        </w:tc>
        <w:tc>
          <w:tcPr>
            <w:tcW w:type="dxa" w:w="1152"/>
            <w:vAlign w:val="center"/>
            <w:tcMar>
              <w:top w:w="100" w:type="dxa"/>
              <w:bottom w:w="100" w:type="dxa"/>
              <w:left w:w="130" w:type="dxa"/>
              <w:right w:w="130" w:type="dxa"/>
            </w:tcMar>
            <w:shd w:fill="1B365D"/>
          </w:tcPr>
          <w:p>
            <w:pPr>
              <w:jc w:val="center"/>
            </w:pPr>
            <w:r>
              <w:rPr>
                <w:b/>
                <w:color w:val="FFFFFF"/>
                <w:sz w:val="17"/>
              </w:rPr>
              <w:t>RMSE Train</w:t>
            </w:r>
          </w:p>
        </w:tc>
        <w:tc>
          <w:tcPr>
            <w:tcW w:type="dxa" w:w="1728"/>
            <w:vAlign w:val="center"/>
            <w:tcMar>
              <w:top w:w="100" w:type="dxa"/>
              <w:bottom w:w="100" w:type="dxa"/>
              <w:left w:w="130" w:type="dxa"/>
              <w:right w:w="130" w:type="dxa"/>
            </w:tcMar>
            <w:shd w:fill="1B365D"/>
          </w:tcPr>
          <w:p>
            <w:pPr>
              <w:jc w:val="center"/>
            </w:pPr>
            <w:r>
              <w:rPr>
                <w:b/>
                <w:color w:val="FFFFFF"/>
                <w:sz w:val="17"/>
              </w:rPr>
              <w:t>RMSE CV</w:t>
            </w:r>
          </w:p>
        </w:tc>
        <w:tc>
          <w:tcPr>
            <w:tcW w:type="dxa" w:w="1152"/>
            <w:vAlign w:val="center"/>
            <w:tcMar>
              <w:top w:w="100" w:type="dxa"/>
              <w:bottom w:w="100" w:type="dxa"/>
              <w:left w:w="130" w:type="dxa"/>
              <w:right w:w="130" w:type="dxa"/>
            </w:tcMar>
            <w:shd w:fill="1B365D"/>
          </w:tcPr>
          <w:p>
            <w:pPr>
              <w:jc w:val="center"/>
            </w:pPr>
            <w:r>
              <w:rPr>
                <w:b/>
                <w:color w:val="FFFFFF"/>
                <w:sz w:val="17"/>
              </w:rPr>
              <w:t>RMSE Test</w:t>
            </w:r>
          </w:p>
        </w:tc>
        <w:tc>
          <w:tcPr>
            <w:tcW w:type="dxa" w:w="1152"/>
            <w:vAlign w:val="center"/>
            <w:tcMar>
              <w:top w:w="100" w:type="dxa"/>
              <w:bottom w:w="100" w:type="dxa"/>
              <w:left w:w="130" w:type="dxa"/>
              <w:right w:w="130" w:type="dxa"/>
            </w:tcMar>
            <w:shd w:fill="1B365D"/>
          </w:tcPr>
          <w:p>
            <w:pPr>
              <w:jc w:val="center"/>
            </w:pPr>
            <w:r>
              <w:rPr>
                <w:b/>
                <w:color w:val="FFFFFF"/>
                <w:sz w:val="17"/>
              </w:rPr>
              <w:t>MAE Test</w:t>
            </w:r>
          </w:p>
        </w:tc>
        <w:tc>
          <w:tcPr>
            <w:tcW w:type="dxa" w:w="1152"/>
            <w:vAlign w:val="center"/>
            <w:tcMar>
              <w:top w:w="100" w:type="dxa"/>
              <w:bottom w:w="100" w:type="dxa"/>
              <w:left w:w="130" w:type="dxa"/>
              <w:right w:w="130" w:type="dxa"/>
            </w:tcMar>
            <w:shd w:fill="1B365D"/>
          </w:tcPr>
          <w:p>
            <w:pPr>
              <w:jc w:val="center"/>
            </w:pPr>
            <w:r>
              <w:rPr>
                <w:b/>
                <w:color w:val="FFFFFF"/>
                <w:sz w:val="17"/>
              </w:rPr>
              <w:t>R² Test</w:t>
            </w:r>
          </w:p>
        </w:tc>
        <w:tc>
          <w:tcPr>
            <w:tcW w:type="dxa" w:w="1152"/>
            <w:vAlign w:val="center"/>
            <w:tcMar>
              <w:top w:w="100" w:type="dxa"/>
              <w:bottom w:w="100" w:type="dxa"/>
              <w:left w:w="130" w:type="dxa"/>
              <w:right w:w="130" w:type="dxa"/>
            </w:tcMar>
            <w:shd w:fill="1B365D"/>
          </w:tcPr>
          <w:p>
            <w:pPr>
              <w:jc w:val="center"/>
            </w:pPr>
            <w:r>
              <w:rPr>
                <w:b/>
                <w:color w:val="FFFFFF"/>
                <w:sz w:val="17"/>
              </w:rPr>
              <w:t>Diagnóstico</w:t>
            </w:r>
          </w:p>
        </w:tc>
      </w:tr>
      <w:tr>
        <w:trPr>
          <w:cantSplit/>
        </w:trPr>
        <w:tc>
          <w:tcPr>
            <w:tcW w:type="dxa" w:w="2592"/>
            <w:vAlign w:val="center"/>
            <w:tcMar>
              <w:top w:w="100" w:type="dxa"/>
              <w:bottom w:w="100" w:type="dxa"/>
              <w:left w:w="130" w:type="dxa"/>
              <w:right w:w="130" w:type="dxa"/>
            </w:tcMar>
            <w:shd w:fill="F7F9FB"/>
          </w:tcPr>
          <w:p>
            <w:r>
              <w:rPr>
                <w:color w:val="222222"/>
                <w:sz w:val="17"/>
              </w:rPr>
              <w:t>Regresión Lineal</w:t>
            </w:r>
          </w:p>
        </w:tc>
        <w:tc>
          <w:tcPr>
            <w:tcW w:type="dxa" w:w="1152"/>
            <w:vAlign w:val="center"/>
            <w:tcMar>
              <w:top w:w="100" w:type="dxa"/>
              <w:bottom w:w="100" w:type="dxa"/>
              <w:left w:w="130" w:type="dxa"/>
              <w:right w:w="130" w:type="dxa"/>
            </w:tcMar>
            <w:shd w:fill="F7F9FB"/>
          </w:tcPr>
          <w:p>
            <w:r>
              <w:rPr>
                <w:color w:val="222222"/>
                <w:sz w:val="17"/>
              </w:rPr>
              <w:t>3.37</w:t>
            </w:r>
          </w:p>
        </w:tc>
        <w:tc>
          <w:tcPr>
            <w:tcW w:type="dxa" w:w="1728"/>
            <w:vAlign w:val="center"/>
            <w:tcMar>
              <w:top w:w="100" w:type="dxa"/>
              <w:bottom w:w="100" w:type="dxa"/>
              <w:left w:w="130" w:type="dxa"/>
              <w:right w:w="130" w:type="dxa"/>
            </w:tcMar>
            <w:shd w:fill="F7F9FB"/>
          </w:tcPr>
          <w:p>
            <w:r>
              <w:rPr>
                <w:color w:val="222222"/>
                <w:sz w:val="17"/>
              </w:rPr>
              <w:t>3.45 ± 0.53</w:t>
            </w:r>
          </w:p>
        </w:tc>
        <w:tc>
          <w:tcPr>
            <w:tcW w:type="dxa" w:w="1152"/>
            <w:vAlign w:val="center"/>
            <w:tcMar>
              <w:top w:w="100" w:type="dxa"/>
              <w:bottom w:w="100" w:type="dxa"/>
              <w:left w:w="130" w:type="dxa"/>
              <w:right w:w="130" w:type="dxa"/>
            </w:tcMar>
            <w:shd w:fill="F7F9FB"/>
          </w:tcPr>
          <w:p>
            <w:r>
              <w:rPr>
                <w:color w:val="222222"/>
                <w:sz w:val="17"/>
              </w:rPr>
              <w:t>2.89</w:t>
            </w:r>
          </w:p>
        </w:tc>
        <w:tc>
          <w:tcPr>
            <w:tcW w:type="dxa" w:w="1152"/>
            <w:vAlign w:val="center"/>
            <w:tcMar>
              <w:top w:w="100" w:type="dxa"/>
              <w:bottom w:w="100" w:type="dxa"/>
              <w:left w:w="130" w:type="dxa"/>
              <w:right w:w="130" w:type="dxa"/>
            </w:tcMar>
            <w:shd w:fill="F7F9FB"/>
          </w:tcPr>
          <w:p>
            <w:r>
              <w:rPr>
                <w:color w:val="222222"/>
                <w:sz w:val="17"/>
              </w:rPr>
              <w:t>2.29</w:t>
            </w:r>
          </w:p>
        </w:tc>
        <w:tc>
          <w:tcPr>
            <w:tcW w:type="dxa" w:w="1152"/>
            <w:vAlign w:val="center"/>
            <w:tcMar>
              <w:top w:w="100" w:type="dxa"/>
              <w:bottom w:w="100" w:type="dxa"/>
              <w:left w:w="130" w:type="dxa"/>
              <w:right w:w="130" w:type="dxa"/>
            </w:tcMar>
            <w:shd w:fill="F7F9FB"/>
          </w:tcPr>
          <w:p>
            <w:r>
              <w:rPr>
                <w:color w:val="222222"/>
                <w:sz w:val="17"/>
              </w:rPr>
              <w:t>0.845</w:t>
            </w:r>
          </w:p>
        </w:tc>
        <w:tc>
          <w:tcPr>
            <w:tcW w:type="dxa" w:w="1152"/>
            <w:vAlign w:val="center"/>
            <w:tcMar>
              <w:top w:w="100" w:type="dxa"/>
              <w:bottom w:w="100" w:type="dxa"/>
              <w:left w:w="130" w:type="dxa"/>
              <w:right w:w="130" w:type="dxa"/>
            </w:tcMar>
            <w:shd w:fill="F7F9FB"/>
          </w:tcPr>
          <w:p>
            <w:r>
              <w:rPr>
                <w:color w:val="222222"/>
                <w:sz w:val="17"/>
              </w:rPr>
              <w:t>Equilibrado</w:t>
            </w:r>
          </w:p>
        </w:tc>
      </w:tr>
      <w:tr>
        <w:trPr>
          <w:cantSplit/>
        </w:trPr>
        <w:tc>
          <w:tcPr>
            <w:tcW w:type="dxa" w:w="2592"/>
            <w:vAlign w:val="center"/>
            <w:tcMar>
              <w:top w:w="100" w:type="dxa"/>
              <w:bottom w:w="100" w:type="dxa"/>
              <w:left w:w="130" w:type="dxa"/>
              <w:right w:w="130" w:type="dxa"/>
            </w:tcMar>
            <w:shd w:fill="FFFFFF"/>
          </w:tcPr>
          <w:p>
            <w:r>
              <w:rPr>
                <w:color w:val="222222"/>
                <w:sz w:val="17"/>
              </w:rPr>
              <w:t>CART-1 sin podar</w:t>
            </w:r>
          </w:p>
        </w:tc>
        <w:tc>
          <w:tcPr>
            <w:tcW w:type="dxa" w:w="1152"/>
            <w:vAlign w:val="center"/>
            <w:tcMar>
              <w:top w:w="100" w:type="dxa"/>
              <w:bottom w:w="100" w:type="dxa"/>
              <w:left w:w="130" w:type="dxa"/>
              <w:right w:w="130" w:type="dxa"/>
            </w:tcMar>
            <w:shd w:fill="FFFFFF"/>
          </w:tcPr>
          <w:p>
            <w:r>
              <w:rPr>
                <w:color w:val="222222"/>
                <w:sz w:val="17"/>
              </w:rPr>
              <w:t>0.00</w:t>
            </w:r>
          </w:p>
        </w:tc>
        <w:tc>
          <w:tcPr>
            <w:tcW w:type="dxa" w:w="1728"/>
            <w:vAlign w:val="center"/>
            <w:tcMar>
              <w:top w:w="100" w:type="dxa"/>
              <w:bottom w:w="100" w:type="dxa"/>
              <w:left w:w="130" w:type="dxa"/>
              <w:right w:w="130" w:type="dxa"/>
            </w:tcMar>
            <w:shd w:fill="FFFFFF"/>
          </w:tcPr>
          <w:p>
            <w:r>
              <w:rPr>
                <w:color w:val="222222"/>
                <w:sz w:val="17"/>
              </w:rPr>
              <w:t>3.80 ± 0.95</w:t>
            </w:r>
          </w:p>
        </w:tc>
        <w:tc>
          <w:tcPr>
            <w:tcW w:type="dxa" w:w="1152"/>
            <w:vAlign w:val="center"/>
            <w:tcMar>
              <w:top w:w="100" w:type="dxa"/>
              <w:bottom w:w="100" w:type="dxa"/>
              <w:left w:w="130" w:type="dxa"/>
              <w:right w:w="130" w:type="dxa"/>
            </w:tcMar>
            <w:shd w:fill="FFFFFF"/>
          </w:tcPr>
          <w:p>
            <w:r>
              <w:rPr>
                <w:color w:val="222222"/>
                <w:sz w:val="17"/>
              </w:rPr>
              <w:t>3.37</w:t>
            </w:r>
          </w:p>
        </w:tc>
        <w:tc>
          <w:tcPr>
            <w:tcW w:type="dxa" w:w="1152"/>
            <w:vAlign w:val="center"/>
            <w:tcMar>
              <w:top w:w="100" w:type="dxa"/>
              <w:bottom w:w="100" w:type="dxa"/>
              <w:left w:w="130" w:type="dxa"/>
              <w:right w:w="130" w:type="dxa"/>
            </w:tcMar>
            <w:shd w:fill="FFFFFF"/>
          </w:tcPr>
          <w:p>
            <w:r>
              <w:rPr>
                <w:color w:val="222222"/>
                <w:sz w:val="17"/>
              </w:rPr>
              <w:t>2.27</w:t>
            </w:r>
          </w:p>
        </w:tc>
        <w:tc>
          <w:tcPr>
            <w:tcW w:type="dxa" w:w="1152"/>
            <w:vAlign w:val="center"/>
            <w:tcMar>
              <w:top w:w="100" w:type="dxa"/>
              <w:bottom w:w="100" w:type="dxa"/>
              <w:left w:w="130" w:type="dxa"/>
              <w:right w:w="130" w:type="dxa"/>
            </w:tcMar>
            <w:shd w:fill="FFFFFF"/>
          </w:tcPr>
          <w:p>
            <w:r>
              <w:rPr>
                <w:color w:val="222222"/>
                <w:sz w:val="17"/>
              </w:rPr>
              <w:t>0.789</w:t>
            </w:r>
          </w:p>
        </w:tc>
        <w:tc>
          <w:tcPr>
            <w:tcW w:type="dxa" w:w="1152"/>
            <w:vAlign w:val="center"/>
            <w:tcMar>
              <w:top w:w="100" w:type="dxa"/>
              <w:bottom w:w="100" w:type="dxa"/>
              <w:left w:w="130" w:type="dxa"/>
              <w:right w:w="130" w:type="dxa"/>
            </w:tcMar>
            <w:shd w:fill="FFFFFF"/>
          </w:tcPr>
          <w:p>
            <w:r>
              <w:rPr>
                <w:color w:val="222222"/>
                <w:sz w:val="17"/>
              </w:rPr>
              <w:t>Sobreajuste</w:t>
            </w:r>
          </w:p>
        </w:tc>
      </w:tr>
      <w:tr>
        <w:trPr>
          <w:cantSplit/>
        </w:trPr>
        <w:tc>
          <w:tcPr>
            <w:tcW w:type="dxa" w:w="2592"/>
            <w:vAlign w:val="center"/>
            <w:tcMar>
              <w:top w:w="100" w:type="dxa"/>
              <w:bottom w:w="100" w:type="dxa"/>
              <w:left w:w="130" w:type="dxa"/>
              <w:right w:w="130" w:type="dxa"/>
            </w:tcMar>
            <w:shd w:fill="F7F9FB"/>
          </w:tcPr>
          <w:p>
            <w:r>
              <w:rPr>
                <w:color w:val="222222"/>
                <w:sz w:val="17"/>
              </w:rPr>
              <w:t>CART-2 max_depth=3</w:t>
            </w:r>
          </w:p>
        </w:tc>
        <w:tc>
          <w:tcPr>
            <w:tcW w:type="dxa" w:w="1152"/>
            <w:vAlign w:val="center"/>
            <w:tcMar>
              <w:top w:w="100" w:type="dxa"/>
              <w:bottom w:w="100" w:type="dxa"/>
              <w:left w:w="130" w:type="dxa"/>
              <w:right w:w="130" w:type="dxa"/>
            </w:tcMar>
            <w:shd w:fill="F7F9FB"/>
          </w:tcPr>
          <w:p>
            <w:r>
              <w:rPr>
                <w:color w:val="222222"/>
                <w:sz w:val="17"/>
              </w:rPr>
              <w:t>3.23</w:t>
            </w:r>
          </w:p>
        </w:tc>
        <w:tc>
          <w:tcPr>
            <w:tcW w:type="dxa" w:w="1728"/>
            <w:vAlign w:val="center"/>
            <w:tcMar>
              <w:top w:w="100" w:type="dxa"/>
              <w:bottom w:w="100" w:type="dxa"/>
              <w:left w:w="130" w:type="dxa"/>
              <w:right w:w="130" w:type="dxa"/>
            </w:tcMar>
            <w:shd w:fill="F7F9FB"/>
          </w:tcPr>
          <w:p>
            <w:r>
              <w:rPr>
                <w:color w:val="222222"/>
                <w:sz w:val="17"/>
              </w:rPr>
              <w:t>3.77 ± 0.53</w:t>
            </w:r>
          </w:p>
        </w:tc>
        <w:tc>
          <w:tcPr>
            <w:tcW w:type="dxa" w:w="1152"/>
            <w:vAlign w:val="center"/>
            <w:tcMar>
              <w:top w:w="100" w:type="dxa"/>
              <w:bottom w:w="100" w:type="dxa"/>
              <w:left w:w="130" w:type="dxa"/>
              <w:right w:w="130" w:type="dxa"/>
            </w:tcMar>
            <w:shd w:fill="F7F9FB"/>
          </w:tcPr>
          <w:p>
            <w:r>
              <w:rPr>
                <w:color w:val="222222"/>
                <w:sz w:val="17"/>
              </w:rPr>
              <w:t>3.72</w:t>
            </w:r>
          </w:p>
        </w:tc>
        <w:tc>
          <w:tcPr>
            <w:tcW w:type="dxa" w:w="1152"/>
            <w:vAlign w:val="center"/>
            <w:tcMar>
              <w:top w:w="100" w:type="dxa"/>
              <w:bottom w:w="100" w:type="dxa"/>
              <w:left w:w="130" w:type="dxa"/>
              <w:right w:w="130" w:type="dxa"/>
            </w:tcMar>
            <w:shd w:fill="F7F9FB"/>
          </w:tcPr>
          <w:p>
            <w:r>
              <w:rPr>
                <w:color w:val="222222"/>
                <w:sz w:val="17"/>
              </w:rPr>
              <w:t>2.68</w:t>
            </w:r>
          </w:p>
        </w:tc>
        <w:tc>
          <w:tcPr>
            <w:tcW w:type="dxa" w:w="1152"/>
            <w:vAlign w:val="center"/>
            <w:tcMar>
              <w:top w:w="100" w:type="dxa"/>
              <w:bottom w:w="100" w:type="dxa"/>
              <w:left w:w="130" w:type="dxa"/>
              <w:right w:w="130" w:type="dxa"/>
            </w:tcMar>
            <w:shd w:fill="F7F9FB"/>
          </w:tcPr>
          <w:p>
            <w:r>
              <w:rPr>
                <w:color w:val="222222"/>
                <w:sz w:val="17"/>
              </w:rPr>
              <w:t>0.743</w:t>
            </w:r>
          </w:p>
        </w:tc>
        <w:tc>
          <w:tcPr>
            <w:tcW w:type="dxa" w:w="1152"/>
            <w:vAlign w:val="center"/>
            <w:tcMar>
              <w:top w:w="100" w:type="dxa"/>
              <w:bottom w:w="100" w:type="dxa"/>
              <w:left w:w="130" w:type="dxa"/>
              <w:right w:w="130" w:type="dxa"/>
            </w:tcMar>
            <w:shd w:fill="F7F9FB"/>
          </w:tcPr>
          <w:p>
            <w:r>
              <w:rPr>
                <w:color w:val="222222"/>
                <w:sz w:val="17"/>
              </w:rPr>
              <w:t>Equilibrado</w:t>
            </w:r>
          </w:p>
        </w:tc>
      </w:tr>
      <w:tr>
        <w:trPr>
          <w:cantSplit/>
        </w:trPr>
        <w:tc>
          <w:tcPr>
            <w:tcW w:type="dxa" w:w="2592"/>
            <w:vAlign w:val="center"/>
            <w:tcMar>
              <w:top w:w="100" w:type="dxa"/>
              <w:bottom w:w="100" w:type="dxa"/>
              <w:left w:w="130" w:type="dxa"/>
              <w:right w:w="130" w:type="dxa"/>
            </w:tcMar>
            <w:shd w:fill="FFFFFF"/>
          </w:tcPr>
          <w:p>
            <w:r>
              <w:rPr>
                <w:color w:val="222222"/>
                <w:sz w:val="17"/>
              </w:rPr>
              <w:t>CART-3 depth=5, leaf=5, split=10</w:t>
            </w:r>
          </w:p>
        </w:tc>
        <w:tc>
          <w:tcPr>
            <w:tcW w:type="dxa" w:w="1152"/>
            <w:vAlign w:val="center"/>
            <w:tcMar>
              <w:top w:w="100" w:type="dxa"/>
              <w:bottom w:w="100" w:type="dxa"/>
              <w:left w:w="130" w:type="dxa"/>
              <w:right w:w="130" w:type="dxa"/>
            </w:tcMar>
            <w:shd w:fill="FFFFFF"/>
          </w:tcPr>
          <w:p>
            <w:r>
              <w:rPr>
                <w:color w:val="222222"/>
                <w:sz w:val="17"/>
              </w:rPr>
              <w:t>2.39</w:t>
            </w:r>
          </w:p>
        </w:tc>
        <w:tc>
          <w:tcPr>
            <w:tcW w:type="dxa" w:w="1728"/>
            <w:vAlign w:val="center"/>
            <w:tcMar>
              <w:top w:w="100" w:type="dxa"/>
              <w:bottom w:w="100" w:type="dxa"/>
              <w:left w:w="130" w:type="dxa"/>
              <w:right w:w="130" w:type="dxa"/>
            </w:tcMar>
            <w:shd w:fill="FFFFFF"/>
          </w:tcPr>
          <w:p>
            <w:r>
              <w:rPr>
                <w:color w:val="222222"/>
                <w:sz w:val="17"/>
              </w:rPr>
              <w:t>3.34 ± 0.63</w:t>
            </w:r>
          </w:p>
        </w:tc>
        <w:tc>
          <w:tcPr>
            <w:tcW w:type="dxa" w:w="1152"/>
            <w:vAlign w:val="center"/>
            <w:tcMar>
              <w:top w:w="100" w:type="dxa"/>
              <w:bottom w:w="100" w:type="dxa"/>
              <w:left w:w="130" w:type="dxa"/>
              <w:right w:w="130" w:type="dxa"/>
            </w:tcMar>
            <w:shd w:fill="FFFFFF"/>
          </w:tcPr>
          <w:p>
            <w:r>
              <w:rPr>
                <w:color w:val="222222"/>
                <w:sz w:val="17"/>
              </w:rPr>
              <w:t>2.71</w:t>
            </w:r>
          </w:p>
        </w:tc>
        <w:tc>
          <w:tcPr>
            <w:tcW w:type="dxa" w:w="1152"/>
            <w:vAlign w:val="center"/>
            <w:tcMar>
              <w:top w:w="100" w:type="dxa"/>
              <w:bottom w:w="100" w:type="dxa"/>
              <w:left w:w="130" w:type="dxa"/>
              <w:right w:w="130" w:type="dxa"/>
            </w:tcMar>
            <w:shd w:fill="FFFFFF"/>
          </w:tcPr>
          <w:p>
            <w:r>
              <w:rPr>
                <w:color w:val="222222"/>
                <w:sz w:val="17"/>
              </w:rPr>
              <w:t>2.03</w:t>
            </w:r>
          </w:p>
        </w:tc>
        <w:tc>
          <w:tcPr>
            <w:tcW w:type="dxa" w:w="1152"/>
            <w:vAlign w:val="center"/>
            <w:tcMar>
              <w:top w:w="100" w:type="dxa"/>
              <w:bottom w:w="100" w:type="dxa"/>
              <w:left w:w="130" w:type="dxa"/>
              <w:right w:w="130" w:type="dxa"/>
            </w:tcMar>
            <w:shd w:fill="FFFFFF"/>
          </w:tcPr>
          <w:p>
            <w:r>
              <w:rPr>
                <w:color w:val="222222"/>
                <w:sz w:val="17"/>
              </w:rPr>
              <w:t>0.863</w:t>
            </w:r>
          </w:p>
        </w:tc>
        <w:tc>
          <w:tcPr>
            <w:tcW w:type="dxa" w:w="1152"/>
            <w:vAlign w:val="center"/>
            <w:tcMar>
              <w:top w:w="100" w:type="dxa"/>
              <w:bottom w:w="100" w:type="dxa"/>
              <w:left w:w="130" w:type="dxa"/>
              <w:right w:w="130" w:type="dxa"/>
            </w:tcMar>
            <w:shd w:fill="FFFFFF"/>
          </w:tcPr>
          <w:p>
            <w:r>
              <w:rPr>
                <w:color w:val="222222"/>
                <w:sz w:val="17"/>
              </w:rPr>
              <w:t>Equilibrado</w:t>
            </w:r>
          </w:p>
        </w:tc>
      </w:tr>
      <w:tr>
        <w:trPr>
          <w:cantSplit/>
        </w:trPr>
        <w:tc>
          <w:tcPr>
            <w:tcW w:type="dxa" w:w="2592"/>
            <w:vAlign w:val="center"/>
            <w:tcMar>
              <w:top w:w="100" w:type="dxa"/>
              <w:bottom w:w="100" w:type="dxa"/>
              <w:left w:w="130" w:type="dxa"/>
              <w:right w:w="130" w:type="dxa"/>
            </w:tcMar>
            <w:shd w:fill="F7F9FB"/>
          </w:tcPr>
          <w:p>
            <w:r>
              <w:rPr>
                <w:color w:val="222222"/>
                <w:sz w:val="17"/>
              </w:rPr>
              <w:t>CART-4 depth=4, leaf=10%</w:t>
            </w:r>
          </w:p>
        </w:tc>
        <w:tc>
          <w:tcPr>
            <w:tcW w:type="dxa" w:w="1152"/>
            <w:vAlign w:val="center"/>
            <w:tcMar>
              <w:top w:w="100" w:type="dxa"/>
              <w:bottom w:w="100" w:type="dxa"/>
              <w:left w:w="130" w:type="dxa"/>
              <w:right w:w="130" w:type="dxa"/>
            </w:tcMar>
            <w:shd w:fill="F7F9FB"/>
          </w:tcPr>
          <w:p>
            <w:r>
              <w:rPr>
                <w:color w:val="222222"/>
                <w:sz w:val="17"/>
              </w:rPr>
              <w:t>3.42</w:t>
            </w:r>
          </w:p>
        </w:tc>
        <w:tc>
          <w:tcPr>
            <w:tcW w:type="dxa" w:w="1728"/>
            <w:vAlign w:val="center"/>
            <w:tcMar>
              <w:top w:w="100" w:type="dxa"/>
              <w:bottom w:w="100" w:type="dxa"/>
              <w:left w:w="130" w:type="dxa"/>
              <w:right w:w="130" w:type="dxa"/>
            </w:tcMar>
            <w:shd w:fill="F7F9FB"/>
          </w:tcPr>
          <w:p>
            <w:r>
              <w:rPr>
                <w:color w:val="222222"/>
                <w:sz w:val="17"/>
              </w:rPr>
              <w:t>3.82 ± 0.59</w:t>
            </w:r>
          </w:p>
        </w:tc>
        <w:tc>
          <w:tcPr>
            <w:tcW w:type="dxa" w:w="1152"/>
            <w:vAlign w:val="center"/>
            <w:tcMar>
              <w:top w:w="100" w:type="dxa"/>
              <w:bottom w:w="100" w:type="dxa"/>
              <w:left w:w="130" w:type="dxa"/>
              <w:right w:w="130" w:type="dxa"/>
            </w:tcMar>
            <w:shd w:fill="F7F9FB"/>
          </w:tcPr>
          <w:p>
            <w:r>
              <w:rPr>
                <w:color w:val="222222"/>
                <w:sz w:val="17"/>
              </w:rPr>
              <w:t>3.32</w:t>
            </w:r>
          </w:p>
        </w:tc>
        <w:tc>
          <w:tcPr>
            <w:tcW w:type="dxa" w:w="1152"/>
            <w:vAlign w:val="center"/>
            <w:tcMar>
              <w:top w:w="100" w:type="dxa"/>
              <w:bottom w:w="100" w:type="dxa"/>
              <w:left w:w="130" w:type="dxa"/>
              <w:right w:w="130" w:type="dxa"/>
            </w:tcMar>
            <w:shd w:fill="F7F9FB"/>
          </w:tcPr>
          <w:p>
            <w:r>
              <w:rPr>
                <w:color w:val="222222"/>
                <w:sz w:val="17"/>
              </w:rPr>
              <w:t>2.61</w:t>
            </w:r>
          </w:p>
        </w:tc>
        <w:tc>
          <w:tcPr>
            <w:tcW w:type="dxa" w:w="1152"/>
            <w:vAlign w:val="center"/>
            <w:tcMar>
              <w:top w:w="100" w:type="dxa"/>
              <w:bottom w:w="100" w:type="dxa"/>
              <w:left w:w="130" w:type="dxa"/>
              <w:right w:w="130" w:type="dxa"/>
            </w:tcMar>
            <w:shd w:fill="F7F9FB"/>
          </w:tcPr>
          <w:p>
            <w:r>
              <w:rPr>
                <w:color w:val="222222"/>
                <w:sz w:val="17"/>
              </w:rPr>
              <w:t>0.795</w:t>
            </w:r>
          </w:p>
        </w:tc>
        <w:tc>
          <w:tcPr>
            <w:tcW w:type="dxa" w:w="1152"/>
            <w:vAlign w:val="center"/>
            <w:tcMar>
              <w:top w:w="100" w:type="dxa"/>
              <w:bottom w:w="100" w:type="dxa"/>
              <w:left w:w="130" w:type="dxa"/>
              <w:right w:w="130" w:type="dxa"/>
            </w:tcMar>
            <w:shd w:fill="F7F9FB"/>
          </w:tcPr>
          <w:p>
            <w:r>
              <w:rPr>
                <w:color w:val="222222"/>
                <w:sz w:val="17"/>
              </w:rPr>
              <w:t>Equilibrado</w:t>
            </w:r>
          </w:p>
        </w:tc>
      </w:tr>
      <w:tr>
        <w:trPr>
          <w:cantSplit/>
        </w:trPr>
        <w:tc>
          <w:tcPr>
            <w:tcW w:type="dxa" w:w="2592"/>
            <w:vAlign w:val="center"/>
            <w:tcMar>
              <w:top w:w="100" w:type="dxa"/>
              <w:bottom w:w="100" w:type="dxa"/>
              <w:left w:w="130" w:type="dxa"/>
              <w:right w:w="130" w:type="dxa"/>
            </w:tcMar>
            <w:shd w:fill="FFFFFF"/>
          </w:tcPr>
          <w:p>
            <w:r>
              <w:rPr>
                <w:color w:val="222222"/>
                <w:sz w:val="17"/>
              </w:rPr>
              <w:t>CART-5 GridSearchCV</w:t>
            </w:r>
          </w:p>
        </w:tc>
        <w:tc>
          <w:tcPr>
            <w:tcW w:type="dxa" w:w="1152"/>
            <w:vAlign w:val="center"/>
            <w:tcMar>
              <w:top w:w="100" w:type="dxa"/>
              <w:bottom w:w="100" w:type="dxa"/>
              <w:left w:w="130" w:type="dxa"/>
              <w:right w:w="130" w:type="dxa"/>
            </w:tcMar>
            <w:shd w:fill="FFFFFF"/>
          </w:tcPr>
          <w:p>
            <w:r>
              <w:rPr>
                <w:color w:val="222222"/>
                <w:sz w:val="17"/>
              </w:rPr>
              <w:t>2.41</w:t>
            </w:r>
          </w:p>
        </w:tc>
        <w:tc>
          <w:tcPr>
            <w:tcW w:type="dxa" w:w="1728"/>
            <w:vAlign w:val="center"/>
            <w:tcMar>
              <w:top w:w="100" w:type="dxa"/>
              <w:bottom w:w="100" w:type="dxa"/>
              <w:left w:w="130" w:type="dxa"/>
              <w:right w:w="130" w:type="dxa"/>
            </w:tcMar>
            <w:shd w:fill="FFFFFF"/>
          </w:tcPr>
          <w:p>
            <w:r>
              <w:rPr>
                <w:color w:val="222222"/>
                <w:sz w:val="17"/>
              </w:rPr>
              <w:t>3.19 ± 0.67</w:t>
            </w:r>
          </w:p>
        </w:tc>
        <w:tc>
          <w:tcPr>
            <w:tcW w:type="dxa" w:w="1152"/>
            <w:vAlign w:val="center"/>
            <w:tcMar>
              <w:top w:w="100" w:type="dxa"/>
              <w:bottom w:w="100" w:type="dxa"/>
              <w:left w:w="130" w:type="dxa"/>
              <w:right w:w="130" w:type="dxa"/>
            </w:tcMar>
            <w:shd w:fill="FFFFFF"/>
          </w:tcPr>
          <w:p>
            <w:r>
              <w:rPr>
                <w:color w:val="222222"/>
                <w:sz w:val="17"/>
              </w:rPr>
              <w:t>2.73</w:t>
            </w:r>
          </w:p>
        </w:tc>
        <w:tc>
          <w:tcPr>
            <w:tcW w:type="dxa" w:w="1152"/>
            <w:vAlign w:val="center"/>
            <w:tcMar>
              <w:top w:w="100" w:type="dxa"/>
              <w:bottom w:w="100" w:type="dxa"/>
              <w:left w:w="130" w:type="dxa"/>
              <w:right w:w="130" w:type="dxa"/>
            </w:tcMar>
            <w:shd w:fill="FFFFFF"/>
          </w:tcPr>
          <w:p>
            <w:r>
              <w:rPr>
                <w:color w:val="222222"/>
                <w:sz w:val="17"/>
              </w:rPr>
              <w:t>2.03</w:t>
            </w:r>
          </w:p>
        </w:tc>
        <w:tc>
          <w:tcPr>
            <w:tcW w:type="dxa" w:w="1152"/>
            <w:vAlign w:val="center"/>
            <w:tcMar>
              <w:top w:w="100" w:type="dxa"/>
              <w:bottom w:w="100" w:type="dxa"/>
              <w:left w:w="130" w:type="dxa"/>
              <w:right w:w="130" w:type="dxa"/>
            </w:tcMar>
            <w:shd w:fill="FFFFFF"/>
          </w:tcPr>
          <w:p>
            <w:r>
              <w:rPr>
                <w:color w:val="222222"/>
                <w:sz w:val="17"/>
              </w:rPr>
              <w:t>0.861</w:t>
            </w:r>
          </w:p>
        </w:tc>
        <w:tc>
          <w:tcPr>
            <w:tcW w:type="dxa" w:w="1152"/>
            <w:vAlign w:val="center"/>
            <w:tcMar>
              <w:top w:w="100" w:type="dxa"/>
              <w:bottom w:w="100" w:type="dxa"/>
              <w:left w:w="130" w:type="dxa"/>
              <w:right w:w="130" w:type="dxa"/>
            </w:tcMar>
            <w:shd w:fill="FFFFFF"/>
          </w:tcPr>
          <w:p>
            <w:r>
              <w:rPr>
                <w:color w:val="222222"/>
                <w:sz w:val="17"/>
              </w:rPr>
              <w:t>Equilibrado</w:t>
            </w:r>
          </w:p>
        </w:tc>
      </w:tr>
    </w:tbl>
    <w:p>
      <w:pPr>
        <w:keepNext/>
        <w:spacing w:before="160" w:after="40"/>
        <w:jc w:val="center"/>
      </w:pPr>
      <w:r>
        <w:drawing>
          <wp:inline xmlns:a="http://schemas.openxmlformats.org/drawingml/2006/main" xmlns:pic="http://schemas.openxmlformats.org/drawingml/2006/picture">
            <wp:extent cx="5669280" cy="1603129"/>
            <wp:docPr id="6" name="Picture 6"/>
            <wp:cNvGraphicFramePr>
              <a:graphicFrameLocks noChangeAspect="1"/>
            </wp:cNvGraphicFramePr>
            <a:graphic>
              <a:graphicData uri="http://schemas.openxmlformats.org/drawingml/2006/picture">
                <pic:pic>
                  <pic:nvPicPr>
                    <pic:cNvPr id="0" name="item2_comparacion.png"/>
                    <pic:cNvPicPr/>
                  </pic:nvPicPr>
                  <pic:blipFill>
                    <a:blip r:embed="rId14"/>
                    <a:stretch>
                      <a:fillRect/>
                    </a:stretch>
                  </pic:blipFill>
                  <pic:spPr>
                    <a:xfrm>
                      <a:off x="0" y="0"/>
                      <a:ext cx="5669280" cy="1603129"/>
                    </a:xfrm>
                    <a:prstGeom prst="rect"/>
                  </pic:spPr>
                </pic:pic>
              </a:graphicData>
            </a:graphic>
          </wp:inline>
        </w:drawing>
      </w:r>
    </w:p>
    <w:p>
      <w:pPr>
        <w:spacing w:before="40" w:after="160"/>
        <w:jc w:val="center"/>
      </w:pPr>
      <w:r>
        <w:rPr>
          <w:i/>
          <w:color w:val="646464"/>
          <w:sz w:val="17"/>
        </w:rPr>
        <w:t>Figura 5: Comparativa de RMSE en auto_mpg (entrenamiento, CV 10-Fold y prueba) y distribución de error.</w:t>
      </w:r>
    </w:p>
    <w:p>
      <w:pPr>
        <w:keepNext/>
        <w:spacing w:before="160" w:after="40"/>
        <w:jc w:val="center"/>
      </w:pPr>
      <w:r>
        <w:drawing>
          <wp:inline xmlns:a="http://schemas.openxmlformats.org/drawingml/2006/main" xmlns:pic="http://schemas.openxmlformats.org/drawingml/2006/picture">
            <wp:extent cx="5669280" cy="3131716"/>
            <wp:docPr id="7" name="Picture 7"/>
            <wp:cNvGraphicFramePr>
              <a:graphicFrameLocks noChangeAspect="1"/>
            </wp:cNvGraphicFramePr>
            <a:graphic>
              <a:graphicData uri="http://schemas.openxmlformats.org/drawingml/2006/picture">
                <pic:pic>
                  <pic:nvPicPr>
                    <pic:cNvPr id="0" name="item2_real_vs_pred.png"/>
                    <pic:cNvPicPr/>
                  </pic:nvPicPr>
                  <pic:blipFill>
                    <a:blip r:embed="rId15"/>
                    <a:stretch>
                      <a:fillRect/>
                    </a:stretch>
                  </pic:blipFill>
                  <pic:spPr>
                    <a:xfrm>
                      <a:off x="0" y="0"/>
                      <a:ext cx="5669280" cy="3131716"/>
                    </a:xfrm>
                    <a:prstGeom prst="rect"/>
                  </pic:spPr>
                </pic:pic>
              </a:graphicData>
            </a:graphic>
          </wp:inline>
        </w:drawing>
      </w:r>
    </w:p>
    <w:p>
      <w:pPr>
        <w:spacing w:before="40" w:after="160"/>
        <w:jc w:val="center"/>
      </w:pPr>
      <w:r>
        <w:rPr>
          <w:i/>
          <w:color w:val="646464"/>
          <w:sz w:val="17"/>
        </w:rPr>
        <w:t>Figura 6: Gráficos de dispersión Real vs. Predicho y distribución de residuos para los modelos principales.</w:t>
      </w:r>
    </w:p>
    <w:p>
      <w:pPr>
        <w:keepNext/>
        <w:spacing w:before="160" w:after="40"/>
        <w:jc w:val="center"/>
      </w:pPr>
      <w:r>
        <w:drawing>
          <wp:inline xmlns:a="http://schemas.openxmlformats.org/drawingml/2006/main" xmlns:pic="http://schemas.openxmlformats.org/drawingml/2006/picture">
            <wp:extent cx="5669280" cy="2801907"/>
            <wp:docPr id="8" name="Picture 8"/>
            <wp:cNvGraphicFramePr>
              <a:graphicFrameLocks noChangeAspect="1"/>
            </wp:cNvGraphicFramePr>
            <a:graphic>
              <a:graphicData uri="http://schemas.openxmlformats.org/drawingml/2006/picture">
                <pic:pic>
                  <pic:nvPicPr>
                    <pic:cNvPr id="0" name="item2_escalonado.png"/>
                    <pic:cNvPicPr/>
                  </pic:nvPicPr>
                  <pic:blipFill>
                    <a:blip r:embed="rId16"/>
                    <a:stretch>
                      <a:fillRect/>
                    </a:stretch>
                  </pic:blipFill>
                  <pic:spPr>
                    <a:xfrm>
                      <a:off x="0" y="0"/>
                      <a:ext cx="5669280" cy="2801907"/>
                    </a:xfrm>
                    <a:prstGeom prst="rect"/>
                  </pic:spPr>
                </pic:pic>
              </a:graphicData>
            </a:graphic>
          </wp:inline>
        </w:drawing>
      </w:r>
    </w:p>
    <w:p>
      <w:pPr>
        <w:spacing w:before="40" w:after="160"/>
        <w:jc w:val="center"/>
      </w:pPr>
      <w:r>
        <w:rPr>
          <w:i/>
          <w:color w:val="646464"/>
          <w:sz w:val="17"/>
        </w:rPr>
        <w:t>Figura 7: Demostración empírica de la predicción constante a tramos (árboles) vs. continua (regresión lineal).</w:t>
      </w:r>
    </w:p>
    <w:p>
      <w:pPr>
        <w:keepNext/>
        <w:spacing w:before="160" w:after="40"/>
        <w:jc w:val="center"/>
      </w:pPr>
      <w:r>
        <w:drawing>
          <wp:inline xmlns:a="http://schemas.openxmlformats.org/drawingml/2006/main" xmlns:pic="http://schemas.openxmlformats.org/drawingml/2006/picture">
            <wp:extent cx="5669280" cy="2795020"/>
            <wp:docPr id="9" name="Picture 9"/>
            <wp:cNvGraphicFramePr>
              <a:graphicFrameLocks noChangeAspect="1"/>
            </wp:cNvGraphicFramePr>
            <a:graphic>
              <a:graphicData uri="http://schemas.openxmlformats.org/drawingml/2006/picture">
                <pic:pic>
                  <pic:nvPicPr>
                    <pic:cNvPr id="0" name="item2_complejidad.png"/>
                    <pic:cNvPicPr/>
                  </pic:nvPicPr>
                  <pic:blipFill>
                    <a:blip r:embed="rId17"/>
                    <a:stretch>
                      <a:fillRect/>
                    </a:stretch>
                  </pic:blipFill>
                  <pic:spPr>
                    <a:xfrm>
                      <a:off x="0" y="0"/>
                      <a:ext cx="5669280" cy="2795020"/>
                    </a:xfrm>
                    <a:prstGeom prst="rect"/>
                  </pic:spPr>
                </pic:pic>
              </a:graphicData>
            </a:graphic>
          </wp:inline>
        </w:drawing>
      </w:r>
    </w:p>
    <w:p>
      <w:pPr>
        <w:spacing w:before="40" w:after="160"/>
        <w:jc w:val="center"/>
      </w:pPr>
      <w:r>
        <w:rPr>
          <w:i/>
          <w:color w:val="646464"/>
          <w:sz w:val="17"/>
        </w:rPr>
        <w:t>Figura 8: Evolución del error RMSE en entrenamiento y validación según la profundidad del árbol.</w:t>
      </w:r>
    </w:p>
    <w:p>
      <w:pPr>
        <w:pStyle w:val="Heading2"/>
      </w:pPr>
      <w:r>
        <w:t>Respuesta Justificada: ¿Cuál es el mejor en el Ítem 2?</w:t>
      </w:r>
    </w:p>
    <w:p>
      <w:r>
        <w:t>El mejor modelo es el árbol de regresión podado con regularización conjunta de profundidad y hojas: CART-3 (depth=5, min_samples_leaf=5, min_samples_split=10), seguido muy de cerca por el modelo optimizado mediante GridSearchCV (CART-5). Ambos superan a la Regresión Lineal en el conjunto de prueba independiente:</w:t>
      </w:r>
    </w:p>
    <w:p>
      <w:r>
        <w:t>• CART-3 alcanza un RMSE de prueba de 2.71 mpg, un MAE de 2.03 mpg y un R² de 0.864.</w:t>
        <w:br/>
        <w:t>• CART-5 (GridSearchCV) obtiene el mejor RMSE en validación cruzada 10-Fold (3.19 mpg ± 0.67 mpg) y un RMSE en prueba de 2.73 mpg (R² = 0.861).</w:t>
        <w:br/>
        <w:t>• La Regresión Lineal obtiene un RMSE de prueba de 2.89 mpg y un R² de 0.845.</w:t>
        <w:br/>
        <w:t>• El árbol sin podar (CART-1) memoriza perfectamente el entrenamiento (RMSE train = 0.0, R² train = 1.0) pero se degrada severamente en prueba (RMSE = 3.37 mpg, R² = 0.789).</w:t>
      </w:r>
    </w:p>
    <w:p>
      <w:r>
        <w:t>Fundamento Teórico: La relación entre el peso, la cilindrada y la potencia respecto al consumo en mpg es fundamentalmente no lineal (sigue una ley inversa potencial aproximadamente cuadrática). Los árboles de decisión podados logran capturar estas curvaturas no lineales dividiendo el espacio en franjas locales óptimas sin requerir transformaciones manuales de variables. Sin embargo, el árbol sin podar crea 261 hojas que memorizan el ruido específico de las observaciones. La poda adecuada actúa como el mecanismo clave de control de varianza.</w:t>
      </w:r>
    </w:p>
    <w:p>
      <w:pPr>
        <w:pStyle w:val="Heading1"/>
      </w:pPr>
      <w:r>
        <w:t>6. Ítem 3: Ensamble VotingClassifier vs. Modelos Individuales</w:t>
      </w:r>
    </w:p>
    <w:tbl>
      <w:tblPr>
        <w:tblW w:type="auto" w:w="0"/>
        <w:jc w:val="center"/>
        <w:tblLook w:firstColumn="1" w:firstRow="1" w:lastColumn="0" w:lastRow="0" w:noHBand="0" w:noVBand="1" w:val="04A0"/>
      </w:tblPr>
      <w:tblGrid>
        <w:gridCol w:w="9504"/>
      </w:tblGrid>
      <w:tr>
        <w:tc>
          <w:tcPr>
            <w:tcW w:type="dxa" w:w="9504"/>
            <w:shd w:fill="F5F8FC"/>
            <w:tcMar>
              <w:top w:w="140" w:type="dxa"/>
              <w:bottom w:w="140" w:type="dxa"/>
              <w:left w:w="200" w:type="dxa"/>
              <w:right w:w="200" w:type="dxa"/>
            </w:tcMar>
            <w:tcBorders>
              <w:left w:val="single" w:sz="24" w:space="0" w:color="1B365D"/>
              <w:top w:val="none"/>
              <w:right w:val="none"/>
              <w:bottom w:val="none"/>
            </w:tcBorders>
          </w:tcPr>
          <w:p>
            <w:pPr>
              <w:spacing w:before="40" w:after="40"/>
            </w:pPr>
            <w:r>
              <w:rPr>
                <w:b/>
                <w:color w:val="1B365D"/>
                <w:sz w:val="19"/>
              </w:rPr>
              <w:t>📌 Enunciado del Ítem 3</w:t>
              <w:br/>
            </w:r>
            <w:r>
              <w:rPr>
                <w:color w:val="222222"/>
                <w:sz w:val="18"/>
              </w:rPr>
              <w:t>Entrene un modelo ensemble clasificador, y compare su eficiencia con respecto a un modelo individual. ¿Cuál es mejor?</w:t>
            </w:r>
          </w:p>
        </w:tc>
      </w:tr>
    </w:tbl>
    <w:p>
      <w:pPr>
        <w:spacing w:after="80"/>
      </w:pPr>
    </w:p>
    <w:p>
      <w:r>
        <w:t>Se empleó el conjunto de datos clínico Pima Indians Diabetes (768 pacientes, 8 variables clínicas, prevalencia 34.9% diabetes). Los ceros fisiológicamente imposibles en Glucosa, Presión, Espesor cutáneo, Insulina e IMC se trataron como datos faltantes mediante SimpleImputer con indicadores binarios. Se ajustaron tres modelos base heterogéneos mediante GridSearchCV: Regresión Logística (C=0.1), KNN (k=27, pesos uniformes) y Árbol CART (max_depth=4, min_samples_leaf=0.05), comparándolos contra VotingClassifier en modalidades Hard y Soft.</w:t>
      </w:r>
    </w:p>
    <w:tbl>
      <w:tblPr>
        <w:tblW w:type="auto" w:w="0"/>
        <w:jc w:val="center"/>
        <w:tblLook w:firstColumn="1" w:firstRow="1" w:lastColumn="0" w:lastRow="0" w:noHBand="0" w:noVBand="1" w:val="04A0"/>
      </w:tblPr>
      <w:tblGrid>
        <w:gridCol w:w="1358"/>
        <w:gridCol w:w="1358"/>
        <w:gridCol w:w="1358"/>
        <w:gridCol w:w="1358"/>
        <w:gridCol w:w="1358"/>
        <w:gridCol w:w="1358"/>
        <w:gridCol w:w="1358"/>
      </w:tblGrid>
      <w:tr>
        <w:trPr>
          <w:cantSplit/>
          <w:tblHeader/>
        </w:trPr>
        <w:tc>
          <w:tcPr>
            <w:tcW w:type="dxa" w:w="2592"/>
            <w:vAlign w:val="center"/>
            <w:tcMar>
              <w:top w:w="100" w:type="dxa"/>
              <w:bottom w:w="100" w:type="dxa"/>
              <w:left w:w="130" w:type="dxa"/>
              <w:right w:w="130" w:type="dxa"/>
            </w:tcMar>
            <w:shd w:fill="1B365D"/>
          </w:tcPr>
          <w:p>
            <w:pPr>
              <w:jc w:val="center"/>
            </w:pPr>
            <w:r>
              <w:rPr>
                <w:b/>
                <w:color w:val="FFFFFF"/>
                <w:sz w:val="17"/>
              </w:rPr>
              <w:t>Modelo</w:t>
            </w:r>
          </w:p>
        </w:tc>
        <w:tc>
          <w:tcPr>
            <w:tcW w:type="dxa" w:w="1152"/>
            <w:vAlign w:val="center"/>
            <w:tcMar>
              <w:top w:w="100" w:type="dxa"/>
              <w:bottom w:w="100" w:type="dxa"/>
              <w:left w:w="130" w:type="dxa"/>
              <w:right w:w="130" w:type="dxa"/>
            </w:tcMar>
            <w:shd w:fill="1B365D"/>
          </w:tcPr>
          <w:p>
            <w:pPr>
              <w:jc w:val="center"/>
            </w:pPr>
            <w:r>
              <w:rPr>
                <w:b/>
                <w:color w:val="FFFFFF"/>
                <w:sz w:val="17"/>
              </w:rPr>
              <w:t>Acc. Train</w:t>
            </w:r>
          </w:p>
        </w:tc>
        <w:tc>
          <w:tcPr>
            <w:tcW w:type="dxa" w:w="1728"/>
            <w:vAlign w:val="center"/>
            <w:tcMar>
              <w:top w:w="100" w:type="dxa"/>
              <w:bottom w:w="100" w:type="dxa"/>
              <w:left w:w="130" w:type="dxa"/>
              <w:right w:w="130" w:type="dxa"/>
            </w:tcMar>
            <w:shd w:fill="1B365D"/>
          </w:tcPr>
          <w:p>
            <w:pPr>
              <w:jc w:val="center"/>
            </w:pPr>
            <w:r>
              <w:rPr>
                <w:b/>
                <w:color w:val="FFFFFF"/>
                <w:sz w:val="17"/>
              </w:rPr>
              <w:t>Acc. CV</w:t>
            </w:r>
          </w:p>
        </w:tc>
        <w:tc>
          <w:tcPr>
            <w:tcW w:type="dxa" w:w="1152"/>
            <w:vAlign w:val="center"/>
            <w:tcMar>
              <w:top w:w="100" w:type="dxa"/>
              <w:bottom w:w="100" w:type="dxa"/>
              <w:left w:w="130" w:type="dxa"/>
              <w:right w:w="130" w:type="dxa"/>
            </w:tcMar>
            <w:shd w:fill="1B365D"/>
          </w:tcPr>
          <w:p>
            <w:pPr>
              <w:jc w:val="center"/>
            </w:pPr>
            <w:r>
              <w:rPr>
                <w:b/>
                <w:color w:val="FFFFFF"/>
                <w:sz w:val="17"/>
              </w:rPr>
              <w:t>Acc. Test</w:t>
            </w:r>
          </w:p>
        </w:tc>
        <w:tc>
          <w:tcPr>
            <w:tcW w:type="dxa" w:w="1152"/>
            <w:vAlign w:val="center"/>
            <w:tcMar>
              <w:top w:w="100" w:type="dxa"/>
              <w:bottom w:w="100" w:type="dxa"/>
              <w:left w:w="130" w:type="dxa"/>
              <w:right w:w="130" w:type="dxa"/>
            </w:tcMar>
            <w:shd w:fill="1B365D"/>
          </w:tcPr>
          <w:p>
            <w:pPr>
              <w:jc w:val="center"/>
            </w:pPr>
            <w:r>
              <w:rPr>
                <w:b/>
                <w:color w:val="FFFFFF"/>
                <w:sz w:val="17"/>
              </w:rPr>
              <w:t>Precisión</w:t>
            </w:r>
          </w:p>
        </w:tc>
        <w:tc>
          <w:tcPr>
            <w:tcW w:type="dxa" w:w="1152"/>
            <w:vAlign w:val="center"/>
            <w:tcMar>
              <w:top w:w="100" w:type="dxa"/>
              <w:bottom w:w="100" w:type="dxa"/>
              <w:left w:w="130" w:type="dxa"/>
              <w:right w:w="130" w:type="dxa"/>
            </w:tcMar>
            <w:shd w:fill="1B365D"/>
          </w:tcPr>
          <w:p>
            <w:pPr>
              <w:jc w:val="center"/>
            </w:pPr>
            <w:r>
              <w:rPr>
                <w:b/>
                <w:color w:val="FFFFFF"/>
                <w:sz w:val="17"/>
              </w:rPr>
              <w:t>Recall</w:t>
            </w:r>
          </w:p>
        </w:tc>
        <w:tc>
          <w:tcPr>
            <w:tcW w:type="dxa" w:w="1152"/>
            <w:vAlign w:val="center"/>
            <w:tcMar>
              <w:top w:w="100" w:type="dxa"/>
              <w:bottom w:w="100" w:type="dxa"/>
              <w:left w:w="130" w:type="dxa"/>
              <w:right w:w="130" w:type="dxa"/>
            </w:tcMar>
            <w:shd w:fill="1B365D"/>
          </w:tcPr>
          <w:p>
            <w:pPr>
              <w:jc w:val="center"/>
            </w:pPr>
            <w:r>
              <w:rPr>
                <w:b/>
                <w:color w:val="FFFFFF"/>
                <w:sz w:val="17"/>
              </w:rPr>
              <w:t>ROC-AUC Test</w:t>
            </w:r>
          </w:p>
        </w:tc>
      </w:tr>
      <w:tr>
        <w:trPr>
          <w:cantSplit/>
        </w:trPr>
        <w:tc>
          <w:tcPr>
            <w:tcW w:type="dxa" w:w="2592"/>
            <w:vAlign w:val="center"/>
            <w:tcMar>
              <w:top w:w="100" w:type="dxa"/>
              <w:bottom w:w="100" w:type="dxa"/>
              <w:left w:w="130" w:type="dxa"/>
              <w:right w:w="130" w:type="dxa"/>
            </w:tcMar>
            <w:shd w:fill="F7F9FB"/>
          </w:tcPr>
          <w:p>
            <w:r>
              <w:rPr>
                <w:color w:val="222222"/>
                <w:sz w:val="17"/>
              </w:rPr>
              <w:t>Regresión Logística</w:t>
            </w:r>
          </w:p>
        </w:tc>
        <w:tc>
          <w:tcPr>
            <w:tcW w:type="dxa" w:w="1152"/>
            <w:vAlign w:val="center"/>
            <w:tcMar>
              <w:top w:w="100" w:type="dxa"/>
              <w:bottom w:w="100" w:type="dxa"/>
              <w:left w:w="130" w:type="dxa"/>
              <w:right w:w="130" w:type="dxa"/>
            </w:tcMar>
            <w:shd w:fill="F7F9FB"/>
          </w:tcPr>
          <w:p>
            <w:r>
              <w:rPr>
                <w:color w:val="222222"/>
                <w:sz w:val="17"/>
              </w:rPr>
              <w:t>0.7948</w:t>
            </w:r>
          </w:p>
        </w:tc>
        <w:tc>
          <w:tcPr>
            <w:tcW w:type="dxa" w:w="1728"/>
            <w:vAlign w:val="center"/>
            <w:tcMar>
              <w:top w:w="100" w:type="dxa"/>
              <w:bottom w:w="100" w:type="dxa"/>
              <w:left w:w="130" w:type="dxa"/>
              <w:right w:w="130" w:type="dxa"/>
            </w:tcMar>
            <w:shd w:fill="F7F9FB"/>
          </w:tcPr>
          <w:p>
            <w:r>
              <w:rPr>
                <w:color w:val="222222"/>
                <w:sz w:val="17"/>
              </w:rPr>
              <w:t>0.7834 ± 0.046</w:t>
            </w:r>
          </w:p>
        </w:tc>
        <w:tc>
          <w:tcPr>
            <w:tcW w:type="dxa" w:w="1152"/>
            <w:vAlign w:val="center"/>
            <w:tcMar>
              <w:top w:w="100" w:type="dxa"/>
              <w:bottom w:w="100" w:type="dxa"/>
              <w:left w:w="130" w:type="dxa"/>
              <w:right w:w="130" w:type="dxa"/>
            </w:tcMar>
            <w:shd w:fill="F7F9FB"/>
          </w:tcPr>
          <w:p>
            <w:r>
              <w:rPr>
                <w:color w:val="222222"/>
                <w:sz w:val="17"/>
              </w:rPr>
              <w:t>0.7143</w:t>
            </w:r>
          </w:p>
        </w:tc>
        <w:tc>
          <w:tcPr>
            <w:tcW w:type="dxa" w:w="1152"/>
            <w:vAlign w:val="center"/>
            <w:tcMar>
              <w:top w:w="100" w:type="dxa"/>
              <w:bottom w:w="100" w:type="dxa"/>
              <w:left w:w="130" w:type="dxa"/>
              <w:right w:w="130" w:type="dxa"/>
            </w:tcMar>
            <w:shd w:fill="F7F9FB"/>
          </w:tcPr>
          <w:p>
            <w:r>
              <w:rPr>
                <w:color w:val="222222"/>
                <w:sz w:val="17"/>
              </w:rPr>
              <w:t>0.6042</w:t>
            </w:r>
          </w:p>
        </w:tc>
        <w:tc>
          <w:tcPr>
            <w:tcW w:type="dxa" w:w="1152"/>
            <w:vAlign w:val="center"/>
            <w:tcMar>
              <w:top w:w="100" w:type="dxa"/>
              <w:bottom w:w="100" w:type="dxa"/>
              <w:left w:w="130" w:type="dxa"/>
              <w:right w:w="130" w:type="dxa"/>
            </w:tcMar>
            <w:shd w:fill="F7F9FB"/>
          </w:tcPr>
          <w:p>
            <w:r>
              <w:rPr>
                <w:color w:val="222222"/>
                <w:sz w:val="17"/>
              </w:rPr>
              <w:t>0.5370</w:t>
            </w:r>
          </w:p>
        </w:tc>
        <w:tc>
          <w:tcPr>
            <w:tcW w:type="dxa" w:w="1152"/>
            <w:vAlign w:val="center"/>
            <w:tcMar>
              <w:top w:w="100" w:type="dxa"/>
              <w:bottom w:w="100" w:type="dxa"/>
              <w:left w:w="130" w:type="dxa"/>
              <w:right w:w="130" w:type="dxa"/>
            </w:tcMar>
            <w:shd w:fill="F7F9FB"/>
          </w:tcPr>
          <w:p>
            <w:r>
              <w:rPr>
                <w:color w:val="222222"/>
                <w:sz w:val="17"/>
              </w:rPr>
              <w:t>0.8178</w:t>
            </w:r>
          </w:p>
        </w:tc>
      </w:tr>
      <w:tr>
        <w:trPr>
          <w:cantSplit/>
        </w:trPr>
        <w:tc>
          <w:tcPr>
            <w:tcW w:type="dxa" w:w="2592"/>
            <w:vAlign w:val="center"/>
            <w:tcMar>
              <w:top w:w="100" w:type="dxa"/>
              <w:bottom w:w="100" w:type="dxa"/>
              <w:left w:w="130" w:type="dxa"/>
              <w:right w:w="130" w:type="dxa"/>
            </w:tcMar>
            <w:shd w:fill="FFFFFF"/>
          </w:tcPr>
          <w:p>
            <w:r>
              <w:rPr>
                <w:color w:val="222222"/>
                <w:sz w:val="17"/>
              </w:rPr>
              <w:t>KNN</w:t>
            </w:r>
          </w:p>
        </w:tc>
        <w:tc>
          <w:tcPr>
            <w:tcW w:type="dxa" w:w="1152"/>
            <w:vAlign w:val="center"/>
            <w:tcMar>
              <w:top w:w="100" w:type="dxa"/>
              <w:bottom w:w="100" w:type="dxa"/>
              <w:left w:w="130" w:type="dxa"/>
              <w:right w:w="130" w:type="dxa"/>
            </w:tcMar>
            <w:shd w:fill="FFFFFF"/>
          </w:tcPr>
          <w:p>
            <w:r>
              <w:rPr>
                <w:color w:val="222222"/>
                <w:sz w:val="17"/>
              </w:rPr>
              <w:t>0.7834</w:t>
            </w:r>
          </w:p>
        </w:tc>
        <w:tc>
          <w:tcPr>
            <w:tcW w:type="dxa" w:w="1728"/>
            <w:vAlign w:val="center"/>
            <w:tcMar>
              <w:top w:w="100" w:type="dxa"/>
              <w:bottom w:w="100" w:type="dxa"/>
              <w:left w:w="130" w:type="dxa"/>
              <w:right w:w="130" w:type="dxa"/>
            </w:tcMar>
            <w:shd w:fill="FFFFFF"/>
          </w:tcPr>
          <w:p>
            <w:r>
              <w:rPr>
                <w:color w:val="222222"/>
                <w:sz w:val="17"/>
              </w:rPr>
              <w:t>0.7689 ± 0.050</w:t>
            </w:r>
          </w:p>
        </w:tc>
        <w:tc>
          <w:tcPr>
            <w:tcW w:type="dxa" w:w="1152"/>
            <w:vAlign w:val="center"/>
            <w:tcMar>
              <w:top w:w="100" w:type="dxa"/>
              <w:bottom w:w="100" w:type="dxa"/>
              <w:left w:w="130" w:type="dxa"/>
              <w:right w:w="130" w:type="dxa"/>
            </w:tcMar>
            <w:shd w:fill="FFFFFF"/>
          </w:tcPr>
          <w:p>
            <w:r>
              <w:rPr>
                <w:color w:val="222222"/>
                <w:sz w:val="17"/>
              </w:rPr>
              <w:t>0.7338</w:t>
            </w:r>
          </w:p>
        </w:tc>
        <w:tc>
          <w:tcPr>
            <w:tcW w:type="dxa" w:w="1152"/>
            <w:vAlign w:val="center"/>
            <w:tcMar>
              <w:top w:w="100" w:type="dxa"/>
              <w:bottom w:w="100" w:type="dxa"/>
              <w:left w:w="130" w:type="dxa"/>
              <w:right w:w="130" w:type="dxa"/>
            </w:tcMar>
            <w:shd w:fill="FFFFFF"/>
          </w:tcPr>
          <w:p>
            <w:r>
              <w:rPr>
                <w:color w:val="222222"/>
                <w:sz w:val="17"/>
              </w:rPr>
              <w:t>0.6585</w:t>
            </w:r>
          </w:p>
        </w:tc>
        <w:tc>
          <w:tcPr>
            <w:tcW w:type="dxa" w:w="1152"/>
            <w:vAlign w:val="center"/>
            <w:tcMar>
              <w:top w:w="100" w:type="dxa"/>
              <w:bottom w:w="100" w:type="dxa"/>
              <w:left w:w="130" w:type="dxa"/>
              <w:right w:w="130" w:type="dxa"/>
            </w:tcMar>
            <w:shd w:fill="FFFFFF"/>
          </w:tcPr>
          <w:p>
            <w:r>
              <w:rPr>
                <w:color w:val="222222"/>
                <w:sz w:val="17"/>
              </w:rPr>
              <w:t>0.5000</w:t>
            </w:r>
          </w:p>
        </w:tc>
        <w:tc>
          <w:tcPr>
            <w:tcW w:type="dxa" w:w="1152"/>
            <w:vAlign w:val="center"/>
            <w:tcMar>
              <w:top w:w="100" w:type="dxa"/>
              <w:bottom w:w="100" w:type="dxa"/>
              <w:left w:w="130" w:type="dxa"/>
              <w:right w:w="130" w:type="dxa"/>
            </w:tcMar>
            <w:shd w:fill="FFFFFF"/>
          </w:tcPr>
          <w:p>
            <w:r>
              <w:rPr>
                <w:color w:val="222222"/>
                <w:sz w:val="17"/>
              </w:rPr>
              <w:t>0.7894</w:t>
            </w:r>
          </w:p>
        </w:tc>
      </w:tr>
      <w:tr>
        <w:trPr>
          <w:cantSplit/>
        </w:trPr>
        <w:tc>
          <w:tcPr>
            <w:tcW w:type="dxa" w:w="2592"/>
            <w:vAlign w:val="center"/>
            <w:tcMar>
              <w:top w:w="100" w:type="dxa"/>
              <w:bottom w:w="100" w:type="dxa"/>
              <w:left w:w="130" w:type="dxa"/>
              <w:right w:w="130" w:type="dxa"/>
            </w:tcMar>
            <w:shd w:fill="F7F9FB"/>
          </w:tcPr>
          <w:p>
            <w:r>
              <w:rPr>
                <w:color w:val="222222"/>
                <w:sz w:val="17"/>
              </w:rPr>
              <w:t>Árbol de decisión</w:t>
            </w:r>
          </w:p>
        </w:tc>
        <w:tc>
          <w:tcPr>
            <w:tcW w:type="dxa" w:w="1152"/>
            <w:vAlign w:val="center"/>
            <w:tcMar>
              <w:top w:w="100" w:type="dxa"/>
              <w:bottom w:w="100" w:type="dxa"/>
              <w:left w:w="130" w:type="dxa"/>
              <w:right w:w="130" w:type="dxa"/>
            </w:tcMar>
            <w:shd w:fill="F7F9FB"/>
          </w:tcPr>
          <w:p>
            <w:r>
              <w:rPr>
                <w:color w:val="222222"/>
                <w:sz w:val="17"/>
              </w:rPr>
              <w:t>0.7606</w:t>
            </w:r>
          </w:p>
        </w:tc>
        <w:tc>
          <w:tcPr>
            <w:tcW w:type="dxa" w:w="1728"/>
            <w:vAlign w:val="center"/>
            <w:tcMar>
              <w:top w:w="100" w:type="dxa"/>
              <w:bottom w:w="100" w:type="dxa"/>
              <w:left w:w="130" w:type="dxa"/>
              <w:right w:w="130" w:type="dxa"/>
            </w:tcMar>
            <w:shd w:fill="F7F9FB"/>
          </w:tcPr>
          <w:p>
            <w:r>
              <w:rPr>
                <w:color w:val="222222"/>
                <w:sz w:val="17"/>
              </w:rPr>
              <w:t>0.7607 ± 0.039</w:t>
            </w:r>
          </w:p>
        </w:tc>
        <w:tc>
          <w:tcPr>
            <w:tcW w:type="dxa" w:w="1152"/>
            <w:vAlign w:val="center"/>
            <w:tcMar>
              <w:top w:w="100" w:type="dxa"/>
              <w:bottom w:w="100" w:type="dxa"/>
              <w:left w:w="130" w:type="dxa"/>
              <w:right w:w="130" w:type="dxa"/>
            </w:tcMar>
            <w:shd w:fill="F7F9FB"/>
          </w:tcPr>
          <w:p>
            <w:r>
              <w:rPr>
                <w:color w:val="222222"/>
                <w:sz w:val="17"/>
              </w:rPr>
              <w:t>0.6948</w:t>
            </w:r>
          </w:p>
        </w:tc>
        <w:tc>
          <w:tcPr>
            <w:tcW w:type="dxa" w:w="1152"/>
            <w:vAlign w:val="center"/>
            <w:tcMar>
              <w:top w:w="100" w:type="dxa"/>
              <w:bottom w:w="100" w:type="dxa"/>
              <w:left w:w="130" w:type="dxa"/>
              <w:right w:w="130" w:type="dxa"/>
            </w:tcMar>
            <w:shd w:fill="F7F9FB"/>
          </w:tcPr>
          <w:p>
            <w:r>
              <w:rPr>
                <w:color w:val="222222"/>
                <w:sz w:val="17"/>
              </w:rPr>
              <w:t>0.6522</w:t>
            </w:r>
          </w:p>
        </w:tc>
        <w:tc>
          <w:tcPr>
            <w:tcW w:type="dxa" w:w="1152"/>
            <w:vAlign w:val="center"/>
            <w:tcMar>
              <w:top w:w="100" w:type="dxa"/>
              <w:bottom w:w="100" w:type="dxa"/>
              <w:left w:w="130" w:type="dxa"/>
              <w:right w:w="130" w:type="dxa"/>
            </w:tcMar>
            <w:shd w:fill="F7F9FB"/>
          </w:tcPr>
          <w:p>
            <w:r>
              <w:rPr>
                <w:color w:val="222222"/>
                <w:sz w:val="17"/>
              </w:rPr>
              <w:t>0.2778</w:t>
            </w:r>
          </w:p>
        </w:tc>
        <w:tc>
          <w:tcPr>
            <w:tcW w:type="dxa" w:w="1152"/>
            <w:vAlign w:val="center"/>
            <w:tcMar>
              <w:top w:w="100" w:type="dxa"/>
              <w:bottom w:w="100" w:type="dxa"/>
              <w:left w:w="130" w:type="dxa"/>
              <w:right w:w="130" w:type="dxa"/>
            </w:tcMar>
            <w:shd w:fill="F7F9FB"/>
          </w:tcPr>
          <w:p>
            <w:r>
              <w:rPr>
                <w:color w:val="222222"/>
                <w:sz w:val="17"/>
              </w:rPr>
              <w:t>0.7801</w:t>
            </w:r>
          </w:p>
        </w:tc>
      </w:tr>
      <w:tr>
        <w:trPr>
          <w:cantSplit/>
        </w:trPr>
        <w:tc>
          <w:tcPr>
            <w:tcW w:type="dxa" w:w="2592"/>
            <w:vAlign w:val="center"/>
            <w:tcMar>
              <w:top w:w="100" w:type="dxa"/>
              <w:bottom w:w="100" w:type="dxa"/>
              <w:left w:w="130" w:type="dxa"/>
              <w:right w:w="130" w:type="dxa"/>
            </w:tcMar>
            <w:shd w:fill="FFFFFF"/>
          </w:tcPr>
          <w:p>
            <w:r>
              <w:rPr>
                <w:color w:val="222222"/>
                <w:sz w:val="17"/>
              </w:rPr>
              <w:t>Voting (hard)</w:t>
            </w:r>
          </w:p>
        </w:tc>
        <w:tc>
          <w:tcPr>
            <w:tcW w:type="dxa" w:w="1152"/>
            <w:vAlign w:val="center"/>
            <w:tcMar>
              <w:top w:w="100" w:type="dxa"/>
              <w:bottom w:w="100" w:type="dxa"/>
              <w:left w:w="130" w:type="dxa"/>
              <w:right w:w="130" w:type="dxa"/>
            </w:tcMar>
            <w:shd w:fill="FFFFFF"/>
          </w:tcPr>
          <w:p>
            <w:r>
              <w:rPr>
                <w:color w:val="222222"/>
                <w:sz w:val="17"/>
              </w:rPr>
              <w:t>0.7932</w:t>
            </w:r>
          </w:p>
        </w:tc>
        <w:tc>
          <w:tcPr>
            <w:tcW w:type="dxa" w:w="1728"/>
            <w:vAlign w:val="center"/>
            <w:tcMar>
              <w:top w:w="100" w:type="dxa"/>
              <w:bottom w:w="100" w:type="dxa"/>
              <w:left w:w="130" w:type="dxa"/>
              <w:right w:w="130" w:type="dxa"/>
            </w:tcMar>
            <w:shd w:fill="FFFFFF"/>
          </w:tcPr>
          <w:p>
            <w:r>
              <w:rPr>
                <w:color w:val="222222"/>
                <w:sz w:val="17"/>
              </w:rPr>
              <w:t>0.7835 ± 0.044</w:t>
            </w:r>
          </w:p>
        </w:tc>
        <w:tc>
          <w:tcPr>
            <w:tcW w:type="dxa" w:w="1152"/>
            <w:vAlign w:val="center"/>
            <w:tcMar>
              <w:top w:w="100" w:type="dxa"/>
              <w:bottom w:w="100" w:type="dxa"/>
              <w:left w:w="130" w:type="dxa"/>
              <w:right w:w="130" w:type="dxa"/>
            </w:tcMar>
            <w:shd w:fill="FFFFFF"/>
          </w:tcPr>
          <w:p>
            <w:r>
              <w:rPr>
                <w:color w:val="222222"/>
                <w:sz w:val="17"/>
              </w:rPr>
              <w:t>0.7143</w:t>
            </w:r>
          </w:p>
        </w:tc>
        <w:tc>
          <w:tcPr>
            <w:tcW w:type="dxa" w:w="1152"/>
            <w:vAlign w:val="center"/>
            <w:tcMar>
              <w:top w:w="100" w:type="dxa"/>
              <w:bottom w:w="100" w:type="dxa"/>
              <w:left w:w="130" w:type="dxa"/>
              <w:right w:w="130" w:type="dxa"/>
            </w:tcMar>
            <w:shd w:fill="FFFFFF"/>
          </w:tcPr>
          <w:p>
            <w:r>
              <w:rPr>
                <w:color w:val="222222"/>
                <w:sz w:val="17"/>
              </w:rPr>
              <w:t>0.6316</w:t>
            </w:r>
          </w:p>
        </w:tc>
        <w:tc>
          <w:tcPr>
            <w:tcW w:type="dxa" w:w="1152"/>
            <w:vAlign w:val="center"/>
            <w:tcMar>
              <w:top w:w="100" w:type="dxa"/>
              <w:bottom w:w="100" w:type="dxa"/>
              <w:left w:w="130" w:type="dxa"/>
              <w:right w:w="130" w:type="dxa"/>
            </w:tcMar>
            <w:shd w:fill="FFFFFF"/>
          </w:tcPr>
          <w:p>
            <w:r>
              <w:rPr>
                <w:color w:val="222222"/>
                <w:sz w:val="17"/>
              </w:rPr>
              <w:t>0.4444</w:t>
            </w:r>
          </w:p>
        </w:tc>
        <w:tc>
          <w:tcPr>
            <w:tcW w:type="dxa" w:w="1152"/>
            <w:vAlign w:val="center"/>
            <w:tcMar>
              <w:top w:w="100" w:type="dxa"/>
              <w:bottom w:w="100" w:type="dxa"/>
              <w:left w:w="130" w:type="dxa"/>
              <w:right w:w="130" w:type="dxa"/>
            </w:tcMar>
            <w:shd w:fill="FFFFFF"/>
          </w:tcPr>
          <w:p>
            <w:r>
              <w:rPr>
                <w:color w:val="222222"/>
                <w:sz w:val="17"/>
              </w:rPr>
              <w:t>N/A (hard)</w:t>
            </w:r>
          </w:p>
        </w:tc>
      </w:tr>
      <w:tr>
        <w:trPr>
          <w:cantSplit/>
        </w:trPr>
        <w:tc>
          <w:tcPr>
            <w:tcW w:type="dxa" w:w="2592"/>
            <w:vAlign w:val="center"/>
            <w:tcMar>
              <w:top w:w="100" w:type="dxa"/>
              <w:bottom w:w="100" w:type="dxa"/>
              <w:left w:w="130" w:type="dxa"/>
              <w:right w:w="130" w:type="dxa"/>
            </w:tcMar>
            <w:shd w:fill="F7F9FB"/>
          </w:tcPr>
          <w:p>
            <w:r>
              <w:rPr>
                <w:color w:val="222222"/>
                <w:sz w:val="17"/>
              </w:rPr>
              <w:t>Voting (soft)</w:t>
            </w:r>
          </w:p>
        </w:tc>
        <w:tc>
          <w:tcPr>
            <w:tcW w:type="dxa" w:w="1152"/>
            <w:vAlign w:val="center"/>
            <w:tcMar>
              <w:top w:w="100" w:type="dxa"/>
              <w:bottom w:w="100" w:type="dxa"/>
              <w:left w:w="130" w:type="dxa"/>
              <w:right w:w="130" w:type="dxa"/>
            </w:tcMar>
            <w:shd w:fill="F7F9FB"/>
          </w:tcPr>
          <w:p>
            <w:r>
              <w:rPr>
                <w:color w:val="222222"/>
                <w:sz w:val="17"/>
              </w:rPr>
              <w:t>0.7997</w:t>
            </w:r>
          </w:p>
        </w:tc>
        <w:tc>
          <w:tcPr>
            <w:tcW w:type="dxa" w:w="1728"/>
            <w:vAlign w:val="center"/>
            <w:tcMar>
              <w:top w:w="100" w:type="dxa"/>
              <w:bottom w:w="100" w:type="dxa"/>
              <w:left w:w="130" w:type="dxa"/>
              <w:right w:w="130" w:type="dxa"/>
            </w:tcMar>
            <w:shd w:fill="F7F9FB"/>
          </w:tcPr>
          <w:p>
            <w:r>
              <w:rPr>
                <w:color w:val="222222"/>
                <w:sz w:val="17"/>
              </w:rPr>
              <w:t>0.7819 ± 0.038</w:t>
            </w:r>
          </w:p>
        </w:tc>
        <w:tc>
          <w:tcPr>
            <w:tcW w:type="dxa" w:w="1152"/>
            <w:vAlign w:val="center"/>
            <w:tcMar>
              <w:top w:w="100" w:type="dxa"/>
              <w:bottom w:w="100" w:type="dxa"/>
              <w:left w:w="130" w:type="dxa"/>
              <w:right w:w="130" w:type="dxa"/>
            </w:tcMar>
            <w:shd w:fill="F7F9FB"/>
          </w:tcPr>
          <w:p>
            <w:r>
              <w:rPr>
                <w:color w:val="222222"/>
                <w:sz w:val="17"/>
              </w:rPr>
              <w:t>0.7338</w:t>
            </w:r>
          </w:p>
        </w:tc>
        <w:tc>
          <w:tcPr>
            <w:tcW w:type="dxa" w:w="1152"/>
            <w:vAlign w:val="center"/>
            <w:tcMar>
              <w:top w:w="100" w:type="dxa"/>
              <w:bottom w:w="100" w:type="dxa"/>
              <w:left w:w="130" w:type="dxa"/>
              <w:right w:w="130" w:type="dxa"/>
            </w:tcMar>
            <w:shd w:fill="F7F9FB"/>
          </w:tcPr>
          <w:p>
            <w:r>
              <w:rPr>
                <w:color w:val="222222"/>
                <w:sz w:val="17"/>
              </w:rPr>
              <w:t>0.6757</w:t>
            </w:r>
          </w:p>
        </w:tc>
        <w:tc>
          <w:tcPr>
            <w:tcW w:type="dxa" w:w="1152"/>
            <w:vAlign w:val="center"/>
            <w:tcMar>
              <w:top w:w="100" w:type="dxa"/>
              <w:bottom w:w="100" w:type="dxa"/>
              <w:left w:w="130" w:type="dxa"/>
              <w:right w:w="130" w:type="dxa"/>
            </w:tcMar>
            <w:shd w:fill="F7F9FB"/>
          </w:tcPr>
          <w:p>
            <w:r>
              <w:rPr>
                <w:color w:val="222222"/>
                <w:sz w:val="17"/>
              </w:rPr>
              <w:t>0.4630</w:t>
            </w:r>
          </w:p>
        </w:tc>
        <w:tc>
          <w:tcPr>
            <w:tcW w:type="dxa" w:w="1152"/>
            <w:vAlign w:val="center"/>
            <w:tcMar>
              <w:top w:w="100" w:type="dxa"/>
              <w:bottom w:w="100" w:type="dxa"/>
              <w:left w:w="130" w:type="dxa"/>
              <w:right w:w="130" w:type="dxa"/>
            </w:tcMar>
            <w:shd w:fill="F7F9FB"/>
          </w:tcPr>
          <w:p>
            <w:r>
              <w:rPr>
                <w:color w:val="222222"/>
                <w:sz w:val="17"/>
              </w:rPr>
              <w:t>0.8154</w:t>
            </w:r>
          </w:p>
        </w:tc>
      </w:tr>
    </w:tbl>
    <w:p>
      <w:pPr>
        <w:keepNext/>
        <w:spacing w:before="160" w:after="40"/>
        <w:jc w:val="center"/>
      </w:pPr>
      <w:r>
        <w:drawing>
          <wp:inline xmlns:a="http://schemas.openxmlformats.org/drawingml/2006/main" xmlns:pic="http://schemas.openxmlformats.org/drawingml/2006/picture">
            <wp:extent cx="5669280" cy="1701579"/>
            <wp:docPr id="10" name="Picture 10"/>
            <wp:cNvGraphicFramePr>
              <a:graphicFrameLocks noChangeAspect="1"/>
            </wp:cNvGraphicFramePr>
            <a:graphic>
              <a:graphicData uri="http://schemas.openxmlformats.org/drawingml/2006/picture">
                <pic:pic>
                  <pic:nvPicPr>
                    <pic:cNvPr id="0" name="item3_comparacion.png"/>
                    <pic:cNvPicPr/>
                  </pic:nvPicPr>
                  <pic:blipFill>
                    <a:blip r:embed="rId18"/>
                    <a:stretch>
                      <a:fillRect/>
                    </a:stretch>
                  </pic:blipFill>
                  <pic:spPr>
                    <a:xfrm>
                      <a:off x="0" y="0"/>
                      <a:ext cx="5669280" cy="1701579"/>
                    </a:xfrm>
                    <a:prstGeom prst="rect"/>
                  </pic:spPr>
                </pic:pic>
              </a:graphicData>
            </a:graphic>
          </wp:inline>
        </w:drawing>
      </w:r>
    </w:p>
    <w:p>
      <w:pPr>
        <w:spacing w:before="40" w:after="160"/>
        <w:jc w:val="center"/>
      </w:pPr>
      <w:r>
        <w:rPr>
          <w:i/>
          <w:color w:val="646464"/>
          <w:sz w:val="17"/>
        </w:rPr>
        <w:t>Figura 9: Comparativa de exactitud y ROC-AUC para modelos individuales y ensamble Voting en diabetes.</w:t>
      </w:r>
    </w:p>
    <w:p>
      <w:pPr>
        <w:keepNext/>
        <w:spacing w:before="160" w:after="40"/>
        <w:jc w:val="center"/>
      </w:pPr>
      <w:r>
        <w:drawing>
          <wp:inline xmlns:a="http://schemas.openxmlformats.org/drawingml/2006/main" xmlns:pic="http://schemas.openxmlformats.org/drawingml/2006/picture">
            <wp:extent cx="5669280" cy="1987065"/>
            <wp:docPr id="11" name="Picture 11"/>
            <wp:cNvGraphicFramePr>
              <a:graphicFrameLocks noChangeAspect="1"/>
            </wp:cNvGraphicFramePr>
            <a:graphic>
              <a:graphicData uri="http://schemas.openxmlformats.org/drawingml/2006/picture">
                <pic:pic>
                  <pic:nvPicPr>
                    <pic:cNvPr id="0" name="item3_diversidad.png"/>
                    <pic:cNvPicPr/>
                  </pic:nvPicPr>
                  <pic:blipFill>
                    <a:blip r:embed="rId19"/>
                    <a:stretch>
                      <a:fillRect/>
                    </a:stretch>
                  </pic:blipFill>
                  <pic:spPr>
                    <a:xfrm>
                      <a:off x="0" y="0"/>
                      <a:ext cx="5669280" cy="1987065"/>
                    </a:xfrm>
                    <a:prstGeom prst="rect"/>
                  </pic:spPr>
                </pic:pic>
              </a:graphicData>
            </a:graphic>
          </wp:inline>
        </w:drawing>
      </w:r>
    </w:p>
    <w:p>
      <w:pPr>
        <w:spacing w:before="40" w:after="160"/>
        <w:jc w:val="center"/>
      </w:pPr>
      <w:r>
        <w:rPr>
          <w:i/>
          <w:color w:val="646464"/>
          <w:sz w:val="17"/>
        </w:rPr>
        <w:t>Figura 10: Matriz de correlación de errores entre modelos base y distribución de fallos simultáneos.</w:t>
      </w:r>
    </w:p>
    <w:p>
      <w:pPr>
        <w:keepNext/>
        <w:spacing w:before="160" w:after="40"/>
        <w:jc w:val="center"/>
      </w:pPr>
      <w:r>
        <w:drawing>
          <wp:inline xmlns:a="http://schemas.openxmlformats.org/drawingml/2006/main" xmlns:pic="http://schemas.openxmlformats.org/drawingml/2006/picture">
            <wp:extent cx="5669280" cy="1061026"/>
            <wp:docPr id="12" name="Picture 12"/>
            <wp:cNvGraphicFramePr>
              <a:graphicFrameLocks noChangeAspect="1"/>
            </wp:cNvGraphicFramePr>
            <a:graphic>
              <a:graphicData uri="http://schemas.openxmlformats.org/drawingml/2006/picture">
                <pic:pic>
                  <pic:nvPicPr>
                    <pic:cNvPr id="0" name="item3_fronteras.png"/>
                    <pic:cNvPicPr/>
                  </pic:nvPicPr>
                  <pic:blipFill>
                    <a:blip r:embed="rId20"/>
                    <a:stretch>
                      <a:fillRect/>
                    </a:stretch>
                  </pic:blipFill>
                  <pic:spPr>
                    <a:xfrm>
                      <a:off x="0" y="0"/>
                      <a:ext cx="5669280" cy="1061026"/>
                    </a:xfrm>
                    <a:prstGeom prst="rect"/>
                  </pic:spPr>
                </pic:pic>
              </a:graphicData>
            </a:graphic>
          </wp:inline>
        </w:drawing>
      </w:r>
    </w:p>
    <w:p>
      <w:pPr>
        <w:spacing w:before="40" w:after="160"/>
        <w:jc w:val="center"/>
      </w:pPr>
      <w:r>
        <w:rPr>
          <w:i/>
          <w:color w:val="646464"/>
          <w:sz w:val="17"/>
        </w:rPr>
        <w:t>Figura 11: Fronteras de decisión en 2D (Glucosa vs. IMC): suavizado de fronteras del ensamble frente a cortes ortogonales del árbol.</w:t>
      </w:r>
    </w:p>
    <w:p>
      <w:pPr>
        <w:pStyle w:val="Heading2"/>
      </w:pPr>
      <w:r>
        <w:t>Respuesta Justificada: ¿Cuál es mejor en el Ítem 3?</w:t>
      </w:r>
    </w:p>
    <w:p>
      <w:r>
        <w:t>El ensamble VotingClassifier con votación suave (soft voting) es el mejor modelo integral. Logra una exactitud en prueba de 73.38%, una precisión del 67.57% (la más alta entre todos los competidores) y un ROC-AUC de 0.8154, con una desviación estándar en validación cruzada de solo 0.038 (la menor de todo el experimento, indicando máxima estabilidad).</w:t>
      </w:r>
    </w:p>
    <w:p>
      <w:r>
        <w:t>Fundamento Teórico: El éxito del ensamble se fundamenta en la diversidad del error (demostrada empíricamente en la Figura 10). La correlación de errores entre la Regresión Logística y el Árbol de Decisión es de solo 0.45, y entre KNN y el Árbol es de 0.40. En 37 muestras del conjunto de prueba, exactamente un clasificador individual comete un error mientras los otros dos aciertan; en tales instancias, el mecanismo de votación neutraliza el fallo individual y emite la etiqueta correcta. La votación suave supera a la dura porque modula la decisión final por la certidumbre probabilística de cada modelo, evitando que votos marginales anulen predicciones de alta convicción.</w:t>
      </w:r>
    </w:p>
    <w:p>
      <w:pPr>
        <w:pStyle w:val="Heading1"/>
      </w:pPr>
      <w:r>
        <w:t>7. Ítem 4: Bagging con Evaluación OOB vs. Árbol Individual</w:t>
      </w:r>
    </w:p>
    <w:tbl>
      <w:tblPr>
        <w:tblW w:type="auto" w:w="0"/>
        <w:jc w:val="center"/>
        <w:tblLook w:firstColumn="1" w:firstRow="1" w:lastColumn="0" w:lastRow="0" w:noHBand="0" w:noVBand="1" w:val="04A0"/>
      </w:tblPr>
      <w:tblGrid>
        <w:gridCol w:w="9504"/>
      </w:tblGrid>
      <w:tr>
        <w:tc>
          <w:tcPr>
            <w:tcW w:type="dxa" w:w="9504"/>
            <w:shd w:fill="F5F8FC"/>
            <w:tcMar>
              <w:top w:w="140" w:type="dxa"/>
              <w:bottom w:w="140" w:type="dxa"/>
              <w:left w:w="200" w:type="dxa"/>
              <w:right w:w="200" w:type="dxa"/>
            </w:tcMar>
            <w:tcBorders>
              <w:left w:val="single" w:sz="24" w:space="0" w:color="1B365D"/>
              <w:top w:val="none"/>
              <w:right w:val="none"/>
              <w:bottom w:val="none"/>
            </w:tcBorders>
          </w:tcPr>
          <w:p>
            <w:pPr>
              <w:spacing w:before="40" w:after="40"/>
            </w:pPr>
            <w:r>
              <w:rPr>
                <w:b/>
                <w:color w:val="1B365D"/>
                <w:sz w:val="19"/>
              </w:rPr>
              <w:t>📌 Enunciado del Ítem 4</w:t>
              <w:br/>
            </w:r>
            <w:r>
              <w:rPr>
                <w:color w:val="222222"/>
                <w:sz w:val="18"/>
              </w:rPr>
              <w:t>Entrene un modelo bagging regresor o clasificador y compare su eficiencia con respecto a un modelo individual. ¿Cuál es el mejor?</w:t>
            </w:r>
          </w:p>
        </w:tc>
      </w:tr>
    </w:tbl>
    <w:p>
      <w:pPr>
        <w:spacing w:after="80"/>
      </w:pPr>
    </w:p>
    <w:p>
      <w:r>
        <w:t>Se aplicó BaggingClassifier sobre el conjunto de datos breast_cancer empleando como estimadores base árboles CART profundos no podados y árboles con poda moderada (depth=4, leaf=16%, según la especificación del apunte de clase). Se contrastaron las estimaciones Out-Of-Bag (OOB) frente al conjunto de prueba independiente y se ejecutó un estudio de estabilidad y varianza a lo largo de 30 particiones aleatorias independientes.</w:t>
      </w:r>
    </w:p>
    <w:tbl>
      <w:tblPr>
        <w:tblW w:type="auto" w:w="0"/>
        <w:jc w:val="center"/>
        <w:tblLook w:firstColumn="1" w:firstRow="1" w:lastColumn="0" w:lastRow="0" w:noHBand="0" w:noVBand="1" w:val="04A0"/>
      </w:tblPr>
      <w:tblGrid>
        <w:gridCol w:w="1358"/>
        <w:gridCol w:w="1358"/>
        <w:gridCol w:w="1358"/>
        <w:gridCol w:w="1358"/>
        <w:gridCol w:w="1358"/>
        <w:gridCol w:w="1358"/>
        <w:gridCol w:w="1358"/>
      </w:tblGrid>
      <w:tr>
        <w:trPr>
          <w:cantSplit/>
          <w:tblHeader/>
        </w:trPr>
        <w:tc>
          <w:tcPr>
            <w:tcW w:type="dxa" w:w="3168"/>
            <w:vAlign w:val="center"/>
            <w:tcMar>
              <w:top w:w="100" w:type="dxa"/>
              <w:bottom w:w="100" w:type="dxa"/>
              <w:left w:w="130" w:type="dxa"/>
              <w:right w:w="130" w:type="dxa"/>
            </w:tcMar>
            <w:shd w:fill="1B365D"/>
          </w:tcPr>
          <w:p>
            <w:pPr>
              <w:jc w:val="center"/>
            </w:pPr>
            <w:r>
              <w:rPr>
                <w:b/>
                <w:color w:val="FFFFFF"/>
                <w:sz w:val="17"/>
              </w:rPr>
              <w:t>Modelo</w:t>
            </w:r>
          </w:p>
        </w:tc>
        <w:tc>
          <w:tcPr>
            <w:tcW w:type="dxa" w:w="1008"/>
            <w:vAlign w:val="center"/>
            <w:tcMar>
              <w:top w:w="100" w:type="dxa"/>
              <w:bottom w:w="100" w:type="dxa"/>
              <w:left w:w="130" w:type="dxa"/>
              <w:right w:w="130" w:type="dxa"/>
            </w:tcMar>
            <w:shd w:fill="1B365D"/>
          </w:tcPr>
          <w:p>
            <w:pPr>
              <w:jc w:val="center"/>
            </w:pPr>
            <w:r>
              <w:rPr>
                <w:b/>
                <w:color w:val="FFFFFF"/>
                <w:sz w:val="17"/>
              </w:rPr>
              <w:t>Acc. Train</w:t>
            </w:r>
          </w:p>
        </w:tc>
        <w:tc>
          <w:tcPr>
            <w:tcW w:type="dxa" w:w="1584"/>
            <w:vAlign w:val="center"/>
            <w:tcMar>
              <w:top w:w="100" w:type="dxa"/>
              <w:bottom w:w="100" w:type="dxa"/>
              <w:left w:w="130" w:type="dxa"/>
              <w:right w:w="130" w:type="dxa"/>
            </w:tcMar>
            <w:shd w:fill="1B365D"/>
          </w:tcPr>
          <w:p>
            <w:pPr>
              <w:jc w:val="center"/>
            </w:pPr>
            <w:r>
              <w:rPr>
                <w:b/>
                <w:color w:val="FFFFFF"/>
                <w:sz w:val="17"/>
              </w:rPr>
              <w:t>Acc. CV (media)</w:t>
            </w:r>
          </w:p>
        </w:tc>
        <w:tc>
          <w:tcPr>
            <w:tcW w:type="dxa" w:w="1008"/>
            <w:vAlign w:val="center"/>
            <w:tcMar>
              <w:top w:w="100" w:type="dxa"/>
              <w:bottom w:w="100" w:type="dxa"/>
              <w:left w:w="130" w:type="dxa"/>
              <w:right w:w="130" w:type="dxa"/>
            </w:tcMar>
            <w:shd w:fill="1B365D"/>
          </w:tcPr>
          <w:p>
            <w:pPr>
              <w:jc w:val="center"/>
            </w:pPr>
            <w:r>
              <w:rPr>
                <w:b/>
                <w:color w:val="FFFFFF"/>
                <w:sz w:val="17"/>
              </w:rPr>
              <w:t>Acc. OOB</w:t>
            </w:r>
          </w:p>
        </w:tc>
        <w:tc>
          <w:tcPr>
            <w:tcW w:type="dxa" w:w="1008"/>
            <w:vAlign w:val="center"/>
            <w:tcMar>
              <w:top w:w="100" w:type="dxa"/>
              <w:bottom w:w="100" w:type="dxa"/>
              <w:left w:w="130" w:type="dxa"/>
              <w:right w:w="130" w:type="dxa"/>
            </w:tcMar>
            <w:shd w:fill="1B365D"/>
          </w:tcPr>
          <w:p>
            <w:pPr>
              <w:jc w:val="center"/>
            </w:pPr>
            <w:r>
              <w:rPr>
                <w:b/>
                <w:color w:val="FFFFFF"/>
                <w:sz w:val="17"/>
              </w:rPr>
              <w:t>Acc. Test</w:t>
            </w:r>
          </w:p>
        </w:tc>
        <w:tc>
          <w:tcPr>
            <w:tcW w:type="dxa" w:w="1152"/>
            <w:vAlign w:val="center"/>
            <w:tcMar>
              <w:top w:w="100" w:type="dxa"/>
              <w:bottom w:w="100" w:type="dxa"/>
              <w:left w:w="130" w:type="dxa"/>
              <w:right w:w="130" w:type="dxa"/>
            </w:tcMar>
            <w:shd w:fill="1B365D"/>
          </w:tcPr>
          <w:p>
            <w:pPr>
              <w:jc w:val="center"/>
            </w:pPr>
            <w:r>
              <w:rPr>
                <w:b/>
                <w:color w:val="FFFFFF"/>
                <w:sz w:val="17"/>
              </w:rPr>
              <w:t>ROC-AUC Test</w:t>
            </w:r>
          </w:p>
        </w:tc>
        <w:tc>
          <w:tcPr>
            <w:tcW w:type="dxa" w:w="1152"/>
            <w:vAlign w:val="center"/>
            <w:tcMar>
              <w:top w:w="100" w:type="dxa"/>
              <w:bottom w:w="100" w:type="dxa"/>
              <w:left w:w="130" w:type="dxa"/>
              <w:right w:w="130" w:type="dxa"/>
            </w:tcMar>
            <w:shd w:fill="1B365D"/>
          </w:tcPr>
          <w:p>
            <w:pPr>
              <w:jc w:val="center"/>
            </w:pPr>
            <w:r>
              <w:rPr>
                <w:b/>
                <w:color w:val="FFFFFF"/>
                <w:sz w:val="17"/>
              </w:rPr>
              <w:t>Tiempo fit (s)</w:t>
            </w:r>
          </w:p>
        </w:tc>
      </w:tr>
      <w:tr>
        <w:trPr>
          <w:cantSplit/>
        </w:trPr>
        <w:tc>
          <w:tcPr>
            <w:tcW w:type="dxa" w:w="3168"/>
            <w:vAlign w:val="center"/>
            <w:tcMar>
              <w:top w:w="100" w:type="dxa"/>
              <w:bottom w:w="100" w:type="dxa"/>
              <w:left w:w="130" w:type="dxa"/>
              <w:right w:w="130" w:type="dxa"/>
            </w:tcMar>
            <w:shd w:fill="F7F9FB"/>
          </w:tcPr>
          <w:p>
            <w:r>
              <w:rPr>
                <w:color w:val="222222"/>
                <w:sz w:val="17"/>
              </w:rPr>
              <w:t>Árbol individual (sin podar)</w:t>
            </w:r>
          </w:p>
        </w:tc>
        <w:tc>
          <w:tcPr>
            <w:tcW w:type="dxa" w:w="1008"/>
            <w:vAlign w:val="center"/>
            <w:tcMar>
              <w:top w:w="100" w:type="dxa"/>
              <w:bottom w:w="100" w:type="dxa"/>
              <w:left w:w="130" w:type="dxa"/>
              <w:right w:w="130" w:type="dxa"/>
            </w:tcMar>
            <w:shd w:fill="F7F9FB"/>
          </w:tcPr>
          <w:p>
            <w:r>
              <w:rPr>
                <w:color w:val="222222"/>
                <w:sz w:val="17"/>
              </w:rPr>
              <w:t>1.0000</w:t>
            </w:r>
          </w:p>
        </w:tc>
        <w:tc>
          <w:tcPr>
            <w:tcW w:type="dxa" w:w="1584"/>
            <w:vAlign w:val="center"/>
            <w:tcMar>
              <w:top w:w="100" w:type="dxa"/>
              <w:bottom w:w="100" w:type="dxa"/>
              <w:left w:w="130" w:type="dxa"/>
              <w:right w:w="130" w:type="dxa"/>
            </w:tcMar>
            <w:shd w:fill="F7F9FB"/>
          </w:tcPr>
          <w:p>
            <w:r>
              <w:rPr>
                <w:color w:val="222222"/>
                <w:sz w:val="17"/>
              </w:rPr>
              <w:t>0.9253 ± 0.042</w:t>
            </w:r>
          </w:p>
        </w:tc>
        <w:tc>
          <w:tcPr>
            <w:tcW w:type="dxa" w:w="1008"/>
            <w:vAlign w:val="center"/>
            <w:tcMar>
              <w:top w:w="100" w:type="dxa"/>
              <w:bottom w:w="100" w:type="dxa"/>
              <w:left w:w="130" w:type="dxa"/>
              <w:right w:w="130" w:type="dxa"/>
            </w:tcMar>
            <w:shd w:fill="F7F9FB"/>
          </w:tcPr>
          <w:p>
            <w:r>
              <w:rPr>
                <w:color w:val="222222"/>
                <w:sz w:val="17"/>
              </w:rPr>
              <w:t>N/A</w:t>
            </w:r>
          </w:p>
        </w:tc>
        <w:tc>
          <w:tcPr>
            <w:tcW w:type="dxa" w:w="1008"/>
            <w:vAlign w:val="center"/>
            <w:tcMar>
              <w:top w:w="100" w:type="dxa"/>
              <w:bottom w:w="100" w:type="dxa"/>
              <w:left w:w="130" w:type="dxa"/>
              <w:right w:w="130" w:type="dxa"/>
            </w:tcMar>
            <w:shd w:fill="F7F9FB"/>
          </w:tcPr>
          <w:p>
            <w:r>
              <w:rPr>
                <w:color w:val="222222"/>
                <w:sz w:val="17"/>
              </w:rPr>
              <w:t>0.9123</w:t>
            </w:r>
          </w:p>
        </w:tc>
        <w:tc>
          <w:tcPr>
            <w:tcW w:type="dxa" w:w="1152"/>
            <w:vAlign w:val="center"/>
            <w:tcMar>
              <w:top w:w="100" w:type="dxa"/>
              <w:bottom w:w="100" w:type="dxa"/>
              <w:left w:w="130" w:type="dxa"/>
              <w:right w:w="130" w:type="dxa"/>
            </w:tcMar>
            <w:shd w:fill="F7F9FB"/>
          </w:tcPr>
          <w:p>
            <w:r>
              <w:rPr>
                <w:color w:val="222222"/>
                <w:sz w:val="17"/>
              </w:rPr>
              <w:t>0.9157</w:t>
            </w:r>
          </w:p>
        </w:tc>
        <w:tc>
          <w:tcPr>
            <w:tcW w:type="dxa" w:w="1152"/>
            <w:vAlign w:val="center"/>
            <w:tcMar>
              <w:top w:w="100" w:type="dxa"/>
              <w:bottom w:w="100" w:type="dxa"/>
              <w:left w:w="130" w:type="dxa"/>
              <w:right w:w="130" w:type="dxa"/>
            </w:tcMar>
            <w:shd w:fill="F7F9FB"/>
          </w:tcPr>
          <w:p>
            <w:r>
              <w:rPr>
                <w:color w:val="222222"/>
                <w:sz w:val="17"/>
              </w:rPr>
              <w:t>0.008</w:t>
            </w:r>
          </w:p>
        </w:tc>
      </w:tr>
      <w:tr>
        <w:trPr>
          <w:cantSplit/>
        </w:trPr>
        <w:tc>
          <w:tcPr>
            <w:tcW w:type="dxa" w:w="3168"/>
            <w:vAlign w:val="center"/>
            <w:tcMar>
              <w:top w:w="100" w:type="dxa"/>
              <w:bottom w:w="100" w:type="dxa"/>
              <w:left w:w="130" w:type="dxa"/>
              <w:right w:w="130" w:type="dxa"/>
            </w:tcMar>
            <w:shd w:fill="FFFFFF"/>
          </w:tcPr>
          <w:p>
            <w:r>
              <w:rPr>
                <w:color w:val="222222"/>
                <w:sz w:val="17"/>
              </w:rPr>
              <w:t>Árbol individual (depth=4, leaf=16%)</w:t>
            </w:r>
          </w:p>
        </w:tc>
        <w:tc>
          <w:tcPr>
            <w:tcW w:type="dxa" w:w="1008"/>
            <w:vAlign w:val="center"/>
            <w:tcMar>
              <w:top w:w="100" w:type="dxa"/>
              <w:bottom w:w="100" w:type="dxa"/>
              <w:left w:w="130" w:type="dxa"/>
              <w:right w:w="130" w:type="dxa"/>
            </w:tcMar>
            <w:shd w:fill="FFFFFF"/>
          </w:tcPr>
          <w:p>
            <w:r>
              <w:rPr>
                <w:color w:val="222222"/>
                <w:sz w:val="17"/>
              </w:rPr>
              <w:t>0.9231</w:t>
            </w:r>
          </w:p>
        </w:tc>
        <w:tc>
          <w:tcPr>
            <w:tcW w:type="dxa" w:w="1584"/>
            <w:vAlign w:val="center"/>
            <w:tcMar>
              <w:top w:w="100" w:type="dxa"/>
              <w:bottom w:w="100" w:type="dxa"/>
              <w:left w:w="130" w:type="dxa"/>
              <w:right w:w="130" w:type="dxa"/>
            </w:tcMar>
            <w:shd w:fill="FFFFFF"/>
          </w:tcPr>
          <w:p>
            <w:r>
              <w:rPr>
                <w:color w:val="222222"/>
                <w:sz w:val="17"/>
              </w:rPr>
              <w:t>0.8857 ± 0.041</w:t>
            </w:r>
          </w:p>
        </w:tc>
        <w:tc>
          <w:tcPr>
            <w:tcW w:type="dxa" w:w="1008"/>
            <w:vAlign w:val="center"/>
            <w:tcMar>
              <w:top w:w="100" w:type="dxa"/>
              <w:bottom w:w="100" w:type="dxa"/>
              <w:left w:w="130" w:type="dxa"/>
              <w:right w:w="130" w:type="dxa"/>
            </w:tcMar>
            <w:shd w:fill="FFFFFF"/>
          </w:tcPr>
          <w:p>
            <w:r>
              <w:rPr>
                <w:color w:val="222222"/>
                <w:sz w:val="17"/>
              </w:rPr>
              <w:t>N/A</w:t>
            </w:r>
          </w:p>
        </w:tc>
        <w:tc>
          <w:tcPr>
            <w:tcW w:type="dxa" w:w="1008"/>
            <w:vAlign w:val="center"/>
            <w:tcMar>
              <w:top w:w="100" w:type="dxa"/>
              <w:bottom w:w="100" w:type="dxa"/>
              <w:left w:w="130" w:type="dxa"/>
              <w:right w:w="130" w:type="dxa"/>
            </w:tcMar>
            <w:shd w:fill="FFFFFF"/>
          </w:tcPr>
          <w:p>
            <w:r>
              <w:rPr>
                <w:color w:val="222222"/>
                <w:sz w:val="17"/>
              </w:rPr>
              <w:t>0.9211</w:t>
            </w:r>
          </w:p>
        </w:tc>
        <w:tc>
          <w:tcPr>
            <w:tcW w:type="dxa" w:w="1152"/>
            <w:vAlign w:val="center"/>
            <w:tcMar>
              <w:top w:w="100" w:type="dxa"/>
              <w:bottom w:w="100" w:type="dxa"/>
              <w:left w:w="130" w:type="dxa"/>
              <w:right w:w="130" w:type="dxa"/>
            </w:tcMar>
            <w:shd w:fill="FFFFFF"/>
          </w:tcPr>
          <w:p>
            <w:r>
              <w:rPr>
                <w:color w:val="222222"/>
                <w:sz w:val="17"/>
              </w:rPr>
              <w:t>0.9658</w:t>
            </w:r>
          </w:p>
        </w:tc>
        <w:tc>
          <w:tcPr>
            <w:tcW w:type="dxa" w:w="1152"/>
            <w:vAlign w:val="center"/>
            <w:tcMar>
              <w:top w:w="100" w:type="dxa"/>
              <w:bottom w:w="100" w:type="dxa"/>
              <w:left w:w="130" w:type="dxa"/>
              <w:right w:w="130" w:type="dxa"/>
            </w:tcMar>
            <w:shd w:fill="FFFFFF"/>
          </w:tcPr>
          <w:p>
            <w:r>
              <w:rPr>
                <w:color w:val="222222"/>
                <w:sz w:val="17"/>
              </w:rPr>
              <w:t>0.004</w:t>
            </w:r>
          </w:p>
        </w:tc>
      </w:tr>
      <w:tr>
        <w:trPr>
          <w:cantSplit/>
        </w:trPr>
        <w:tc>
          <w:tcPr>
            <w:tcW w:type="dxa" w:w="3168"/>
            <w:vAlign w:val="center"/>
            <w:tcMar>
              <w:top w:w="100" w:type="dxa"/>
              <w:bottom w:w="100" w:type="dxa"/>
              <w:left w:w="130" w:type="dxa"/>
              <w:right w:w="130" w:type="dxa"/>
            </w:tcMar>
            <w:shd w:fill="F7F9FB"/>
          </w:tcPr>
          <w:p>
            <w:r>
              <w:rPr>
                <w:color w:val="222222"/>
                <w:sz w:val="17"/>
              </w:rPr>
              <w:t>Bagging 300 árboles (sin podar)</w:t>
            </w:r>
          </w:p>
        </w:tc>
        <w:tc>
          <w:tcPr>
            <w:tcW w:type="dxa" w:w="1008"/>
            <w:vAlign w:val="center"/>
            <w:tcMar>
              <w:top w:w="100" w:type="dxa"/>
              <w:bottom w:w="100" w:type="dxa"/>
              <w:left w:w="130" w:type="dxa"/>
              <w:right w:w="130" w:type="dxa"/>
            </w:tcMar>
            <w:shd w:fill="F7F9FB"/>
          </w:tcPr>
          <w:p>
            <w:r>
              <w:rPr>
                <w:color w:val="222222"/>
                <w:sz w:val="17"/>
              </w:rPr>
              <w:t>1.0000</w:t>
            </w:r>
          </w:p>
        </w:tc>
        <w:tc>
          <w:tcPr>
            <w:tcW w:type="dxa" w:w="1584"/>
            <w:vAlign w:val="center"/>
            <w:tcMar>
              <w:top w:w="100" w:type="dxa"/>
              <w:bottom w:w="100" w:type="dxa"/>
              <w:left w:w="130" w:type="dxa"/>
              <w:right w:w="130" w:type="dxa"/>
            </w:tcMar>
            <w:shd w:fill="F7F9FB"/>
          </w:tcPr>
          <w:p>
            <w:r>
              <w:rPr>
                <w:color w:val="222222"/>
                <w:sz w:val="17"/>
              </w:rPr>
              <w:t>0.9627 ± 0.037</w:t>
            </w:r>
          </w:p>
        </w:tc>
        <w:tc>
          <w:tcPr>
            <w:tcW w:type="dxa" w:w="1008"/>
            <w:vAlign w:val="center"/>
            <w:tcMar>
              <w:top w:w="100" w:type="dxa"/>
              <w:bottom w:w="100" w:type="dxa"/>
              <w:left w:w="130" w:type="dxa"/>
              <w:right w:w="130" w:type="dxa"/>
            </w:tcMar>
            <w:shd w:fill="F7F9FB"/>
          </w:tcPr>
          <w:p>
            <w:r>
              <w:rPr>
                <w:color w:val="222222"/>
                <w:sz w:val="17"/>
              </w:rPr>
              <w:t>0.9648</w:t>
            </w:r>
          </w:p>
        </w:tc>
        <w:tc>
          <w:tcPr>
            <w:tcW w:type="dxa" w:w="1008"/>
            <w:vAlign w:val="center"/>
            <w:tcMar>
              <w:top w:w="100" w:type="dxa"/>
              <w:bottom w:w="100" w:type="dxa"/>
              <w:left w:w="130" w:type="dxa"/>
              <w:right w:w="130" w:type="dxa"/>
            </w:tcMar>
            <w:shd w:fill="F7F9FB"/>
          </w:tcPr>
          <w:p>
            <w:r>
              <w:rPr>
                <w:color w:val="222222"/>
                <w:sz w:val="17"/>
              </w:rPr>
              <w:t>0.9474</w:t>
            </w:r>
          </w:p>
        </w:tc>
        <w:tc>
          <w:tcPr>
            <w:tcW w:type="dxa" w:w="1152"/>
            <w:vAlign w:val="center"/>
            <w:tcMar>
              <w:top w:w="100" w:type="dxa"/>
              <w:bottom w:w="100" w:type="dxa"/>
              <w:left w:w="130" w:type="dxa"/>
              <w:right w:w="130" w:type="dxa"/>
            </w:tcMar>
            <w:shd w:fill="F7F9FB"/>
          </w:tcPr>
          <w:p>
            <w:r>
              <w:rPr>
                <w:color w:val="222222"/>
                <w:sz w:val="17"/>
              </w:rPr>
              <w:t>0.9931</w:t>
            </w:r>
          </w:p>
        </w:tc>
        <w:tc>
          <w:tcPr>
            <w:tcW w:type="dxa" w:w="1152"/>
            <w:vAlign w:val="center"/>
            <w:tcMar>
              <w:top w:w="100" w:type="dxa"/>
              <w:bottom w:w="100" w:type="dxa"/>
              <w:left w:w="130" w:type="dxa"/>
              <w:right w:w="130" w:type="dxa"/>
            </w:tcMar>
            <w:shd w:fill="F7F9FB"/>
          </w:tcPr>
          <w:p>
            <w:r>
              <w:rPr>
                <w:color w:val="222222"/>
                <w:sz w:val="17"/>
              </w:rPr>
              <w:t>0.751</w:t>
            </w:r>
          </w:p>
        </w:tc>
      </w:tr>
      <w:tr>
        <w:trPr>
          <w:cantSplit/>
        </w:trPr>
        <w:tc>
          <w:tcPr>
            <w:tcW w:type="dxa" w:w="3168"/>
            <w:vAlign w:val="center"/>
            <w:tcMar>
              <w:top w:w="100" w:type="dxa"/>
              <w:bottom w:w="100" w:type="dxa"/>
              <w:left w:w="130" w:type="dxa"/>
              <w:right w:w="130" w:type="dxa"/>
            </w:tcMar>
            <w:shd w:fill="FFFFFF"/>
          </w:tcPr>
          <w:p>
            <w:r>
              <w:rPr>
                <w:color w:val="222222"/>
                <w:sz w:val="17"/>
              </w:rPr>
              <w:t>Bagging 300 árboles (depth=4, leaf=16%)</w:t>
            </w:r>
          </w:p>
        </w:tc>
        <w:tc>
          <w:tcPr>
            <w:tcW w:type="dxa" w:w="1008"/>
            <w:vAlign w:val="center"/>
            <w:tcMar>
              <w:top w:w="100" w:type="dxa"/>
              <w:bottom w:w="100" w:type="dxa"/>
              <w:left w:w="130" w:type="dxa"/>
              <w:right w:w="130" w:type="dxa"/>
            </w:tcMar>
            <w:shd w:fill="FFFFFF"/>
          </w:tcPr>
          <w:p>
            <w:r>
              <w:rPr>
                <w:color w:val="222222"/>
                <w:sz w:val="17"/>
              </w:rPr>
              <w:t>0.9451</w:t>
            </w:r>
          </w:p>
        </w:tc>
        <w:tc>
          <w:tcPr>
            <w:tcW w:type="dxa" w:w="1584"/>
            <w:vAlign w:val="center"/>
            <w:tcMar>
              <w:top w:w="100" w:type="dxa"/>
              <w:bottom w:w="100" w:type="dxa"/>
              <w:left w:w="130" w:type="dxa"/>
              <w:right w:w="130" w:type="dxa"/>
            </w:tcMar>
            <w:shd w:fill="FFFFFF"/>
          </w:tcPr>
          <w:p>
            <w:r>
              <w:rPr>
                <w:color w:val="222222"/>
                <w:sz w:val="17"/>
              </w:rPr>
              <w:t>0.9209 ± 0.020</w:t>
            </w:r>
          </w:p>
        </w:tc>
        <w:tc>
          <w:tcPr>
            <w:tcW w:type="dxa" w:w="1008"/>
            <w:vAlign w:val="center"/>
            <w:tcMar>
              <w:top w:w="100" w:type="dxa"/>
              <w:bottom w:w="100" w:type="dxa"/>
              <w:left w:w="130" w:type="dxa"/>
              <w:right w:w="130" w:type="dxa"/>
            </w:tcMar>
            <w:shd w:fill="FFFFFF"/>
          </w:tcPr>
          <w:p>
            <w:r>
              <w:rPr>
                <w:color w:val="222222"/>
                <w:sz w:val="17"/>
              </w:rPr>
              <w:t>0.9209</w:t>
            </w:r>
          </w:p>
        </w:tc>
        <w:tc>
          <w:tcPr>
            <w:tcW w:type="dxa" w:w="1008"/>
            <w:vAlign w:val="center"/>
            <w:tcMar>
              <w:top w:w="100" w:type="dxa"/>
              <w:bottom w:w="100" w:type="dxa"/>
              <w:left w:w="130" w:type="dxa"/>
              <w:right w:w="130" w:type="dxa"/>
            </w:tcMar>
            <w:shd w:fill="FFFFFF"/>
          </w:tcPr>
          <w:p>
            <w:r>
              <w:rPr>
                <w:color w:val="222222"/>
                <w:sz w:val="17"/>
              </w:rPr>
              <w:t>0.9474</w:t>
            </w:r>
          </w:p>
        </w:tc>
        <w:tc>
          <w:tcPr>
            <w:tcW w:type="dxa" w:w="1152"/>
            <w:vAlign w:val="center"/>
            <w:tcMar>
              <w:top w:w="100" w:type="dxa"/>
              <w:bottom w:w="100" w:type="dxa"/>
              <w:left w:w="130" w:type="dxa"/>
              <w:right w:w="130" w:type="dxa"/>
            </w:tcMar>
            <w:shd w:fill="FFFFFF"/>
          </w:tcPr>
          <w:p>
            <w:r>
              <w:rPr>
                <w:color w:val="222222"/>
                <w:sz w:val="17"/>
              </w:rPr>
              <w:t>0.9884</w:t>
            </w:r>
          </w:p>
        </w:tc>
        <w:tc>
          <w:tcPr>
            <w:tcW w:type="dxa" w:w="1152"/>
            <w:vAlign w:val="center"/>
            <w:tcMar>
              <w:top w:w="100" w:type="dxa"/>
              <w:bottom w:w="100" w:type="dxa"/>
              <w:left w:w="130" w:type="dxa"/>
              <w:right w:w="130" w:type="dxa"/>
            </w:tcMar>
            <w:shd w:fill="FFFFFF"/>
          </w:tcPr>
          <w:p>
            <w:r>
              <w:rPr>
                <w:color w:val="222222"/>
                <w:sz w:val="17"/>
              </w:rPr>
              <w:t>0.492</w:t>
            </w:r>
          </w:p>
        </w:tc>
      </w:tr>
    </w:tbl>
    <w:p>
      <w:pPr>
        <w:keepNext/>
        <w:spacing w:before="160" w:after="40"/>
        <w:jc w:val="center"/>
      </w:pPr>
      <w:r>
        <w:drawing>
          <wp:inline xmlns:a="http://schemas.openxmlformats.org/drawingml/2006/main" xmlns:pic="http://schemas.openxmlformats.org/drawingml/2006/picture">
            <wp:extent cx="5669280" cy="1691640"/>
            <wp:docPr id="13" name="Picture 13"/>
            <wp:cNvGraphicFramePr>
              <a:graphicFrameLocks noChangeAspect="1"/>
            </wp:cNvGraphicFramePr>
            <a:graphic>
              <a:graphicData uri="http://schemas.openxmlformats.org/drawingml/2006/picture">
                <pic:pic>
                  <pic:nvPicPr>
                    <pic:cNvPr id="0" name="item4_comparacion.png"/>
                    <pic:cNvPicPr/>
                  </pic:nvPicPr>
                  <pic:blipFill>
                    <a:blip r:embed="rId21"/>
                    <a:stretch>
                      <a:fillRect/>
                    </a:stretch>
                  </pic:blipFill>
                  <pic:spPr>
                    <a:xfrm>
                      <a:off x="0" y="0"/>
                      <a:ext cx="5669280" cy="1691640"/>
                    </a:xfrm>
                    <a:prstGeom prst="rect"/>
                  </pic:spPr>
                </pic:pic>
              </a:graphicData>
            </a:graphic>
          </wp:inline>
        </w:drawing>
      </w:r>
    </w:p>
    <w:p>
      <w:pPr>
        <w:spacing w:before="40" w:after="160"/>
        <w:jc w:val="center"/>
      </w:pPr>
      <w:r>
        <w:rPr>
          <w:i/>
          <w:color w:val="646464"/>
          <w:sz w:val="17"/>
        </w:rPr>
        <w:t>Figura 12: Exactitud del árbol individual frente a Bagging en entrenamiento, CV 10-Fold, OOB y prueba.</w:t>
      </w:r>
    </w:p>
    <w:p>
      <w:pPr>
        <w:keepNext/>
        <w:spacing w:before="160" w:after="40"/>
        <w:jc w:val="center"/>
      </w:pPr>
      <w:r>
        <w:drawing>
          <wp:inline xmlns:a="http://schemas.openxmlformats.org/drawingml/2006/main" xmlns:pic="http://schemas.openxmlformats.org/drawingml/2006/picture">
            <wp:extent cx="5669280" cy="2477299"/>
            <wp:docPr id="14" name="Picture 14"/>
            <wp:cNvGraphicFramePr>
              <a:graphicFrameLocks noChangeAspect="1"/>
            </wp:cNvGraphicFramePr>
            <a:graphic>
              <a:graphicData uri="http://schemas.openxmlformats.org/drawingml/2006/picture">
                <pic:pic>
                  <pic:nvPicPr>
                    <pic:cNvPr id="0" name="item4_bootstrap.png"/>
                    <pic:cNvPicPr/>
                  </pic:nvPicPr>
                  <pic:blipFill>
                    <a:blip r:embed="rId22"/>
                    <a:stretch>
                      <a:fillRect/>
                    </a:stretch>
                  </pic:blipFill>
                  <pic:spPr>
                    <a:xfrm>
                      <a:off x="0" y="0"/>
                      <a:ext cx="5669280" cy="2477299"/>
                    </a:xfrm>
                    <a:prstGeom prst="rect"/>
                  </pic:spPr>
                </pic:pic>
              </a:graphicData>
            </a:graphic>
          </wp:inline>
        </w:drawing>
      </w:r>
    </w:p>
    <w:p>
      <w:pPr>
        <w:spacing w:before="40" w:after="160"/>
        <w:jc w:val="center"/>
      </w:pPr>
      <w:r>
        <w:rPr>
          <w:i/>
          <w:color w:val="646464"/>
          <w:sz w:val="17"/>
        </w:rPr>
        <w:t>Figura 13: Verificación experimental del límite bootstrap: 63.2% de muestras únicas observadas y 36.8% OOB.</w:t>
      </w:r>
    </w:p>
    <w:p>
      <w:pPr>
        <w:keepNext/>
        <w:spacing w:before="160" w:after="40"/>
        <w:jc w:val="center"/>
      </w:pPr>
      <w:r>
        <w:drawing>
          <wp:inline xmlns:a="http://schemas.openxmlformats.org/drawingml/2006/main" xmlns:pic="http://schemas.openxmlformats.org/drawingml/2006/picture">
            <wp:extent cx="5669280" cy="2798576"/>
            <wp:docPr id="15" name="Picture 15"/>
            <wp:cNvGraphicFramePr>
              <a:graphicFrameLocks noChangeAspect="1"/>
            </wp:cNvGraphicFramePr>
            <a:graphic>
              <a:graphicData uri="http://schemas.openxmlformats.org/drawingml/2006/picture">
                <pic:pic>
                  <pic:nvPicPr>
                    <pic:cNvPr id="0" name="item4_convergencia.png"/>
                    <pic:cNvPicPr/>
                  </pic:nvPicPr>
                  <pic:blipFill>
                    <a:blip r:embed="rId23"/>
                    <a:stretch>
                      <a:fillRect/>
                    </a:stretch>
                  </pic:blipFill>
                  <pic:spPr>
                    <a:xfrm>
                      <a:off x="0" y="0"/>
                      <a:ext cx="5669280" cy="2798576"/>
                    </a:xfrm>
                    <a:prstGeom prst="rect"/>
                  </pic:spPr>
                </pic:pic>
              </a:graphicData>
            </a:graphic>
          </wp:inline>
        </w:drawing>
      </w:r>
    </w:p>
    <w:p>
      <w:pPr>
        <w:spacing w:before="40" w:after="160"/>
        <w:jc w:val="center"/>
      </w:pPr>
      <w:r>
        <w:rPr>
          <w:i/>
          <w:color w:val="646464"/>
          <w:sz w:val="17"/>
        </w:rPr>
        <w:t>Figura 14: Curva de convergencia de Bagging al aumentar el número de árboles estimadores (n_estimators).</w:t>
      </w:r>
    </w:p>
    <w:p>
      <w:pPr>
        <w:keepNext/>
        <w:spacing w:before="160" w:after="40"/>
        <w:jc w:val="center"/>
      </w:pPr>
      <w:r>
        <w:drawing>
          <wp:inline xmlns:a="http://schemas.openxmlformats.org/drawingml/2006/main" xmlns:pic="http://schemas.openxmlformats.org/drawingml/2006/picture">
            <wp:extent cx="5669280" cy="1742496"/>
            <wp:docPr id="16" name="Picture 16"/>
            <wp:cNvGraphicFramePr>
              <a:graphicFrameLocks noChangeAspect="1"/>
            </wp:cNvGraphicFramePr>
            <a:graphic>
              <a:graphicData uri="http://schemas.openxmlformats.org/drawingml/2006/picture">
                <pic:pic>
                  <pic:nvPicPr>
                    <pic:cNvPr id="0" name="item4_varianza.png"/>
                    <pic:cNvPicPr/>
                  </pic:nvPicPr>
                  <pic:blipFill>
                    <a:blip r:embed="rId24"/>
                    <a:stretch>
                      <a:fillRect/>
                    </a:stretch>
                  </pic:blipFill>
                  <pic:spPr>
                    <a:xfrm>
                      <a:off x="0" y="0"/>
                      <a:ext cx="5669280" cy="1742496"/>
                    </a:xfrm>
                    <a:prstGeom prst="rect"/>
                  </pic:spPr>
                </pic:pic>
              </a:graphicData>
            </a:graphic>
          </wp:inline>
        </w:drawing>
      </w:r>
    </w:p>
    <w:p>
      <w:pPr>
        <w:spacing w:before="40" w:after="160"/>
        <w:jc w:val="center"/>
      </w:pPr>
      <w:r>
        <w:rPr>
          <w:i/>
          <w:color w:val="646464"/>
          <w:sz w:val="17"/>
        </w:rPr>
        <w:t>Figura 15: Demostración empírica de reducción de varianza de Bagging frente al árbol individual en 30 particiones aleatorias.</w:t>
      </w:r>
    </w:p>
    <w:p>
      <w:pPr>
        <w:pStyle w:val="Heading2"/>
      </w:pPr>
      <w:r>
        <w:t>Respuesta Justificada: ¿Cuál es el mejor en el Ítem 4?</w:t>
      </w:r>
    </w:p>
    <w:p>
      <w:r>
        <w:t>El modelo BaggingClassifier con 300 árboles base no podados es contundentemente el mejor estimador. Supera al árbol individual en todas las métricas de evaluación:</w:t>
      </w:r>
    </w:p>
    <w:p>
      <w:r>
        <w:t>• Incrementa la exactitud en validación cruzada de 92.53% a 96.27% y en prueba de 91.23% a 94.74%.</w:t>
        <w:br/>
        <w:t>• Eleva el área bajo la curva ROC de 0.9157 a 0.9931 (un incremento de +0.0774 en capacidad discriminante).</w:t>
        <w:br/>
        <w:t>• La estimación OOB calculada internamente durante el ajuste fue de 96.48%, concordando de forma sobresaliente con el 96.27% de 10-Fold CV, confirmando la validez del error fuera de la bolsa como sustituto gratuito de validación externa.</w:t>
        <w:br/>
        <w:t>• En la prueba rigurosa de 30 particiones aleatorias distintas, Bagging superó al árbol individual en 26 de las 30 particiones con significancia estadística contundente (p = 1.05e-5 en la prueba de Wilcoxon), reduciendo la desviación estándar de exactitud en más de 35%.</w:t>
      </w:r>
    </w:p>
    <w:p>
      <w:r>
        <w:t>Fundamento Teórico: Un árbol CART individual profundo sufre de alta varianza porque una pequeña variación en los datos puede alterar el primer corte de la raíz, propagando una topología completamente disímil en el resto del árbol. Bagging soluciona esta debilidad promediando B árboles generados sobre muestras bootstrap. La operación de promediado cancela los errores no correlacionados de los árboles individuales, abatiendo la varianza total a una fracción proporcional a 1/B más la correlación mutua entre árboles, sin incrementar el sesgo.</w:t>
      </w:r>
    </w:p>
    <w:p>
      <w:pPr>
        <w:pStyle w:val="Heading1"/>
      </w:pPr>
      <w:r>
        <w:t>8. Ítem 5: Random Forest vs. XGBoost</w:t>
      </w:r>
    </w:p>
    <w:tbl>
      <w:tblPr>
        <w:tblW w:type="auto" w:w="0"/>
        <w:jc w:val="center"/>
        <w:tblLook w:firstColumn="1" w:firstRow="1" w:lastColumn="0" w:lastRow="0" w:noHBand="0" w:noVBand="1" w:val="04A0"/>
      </w:tblPr>
      <w:tblGrid>
        <w:gridCol w:w="9504"/>
      </w:tblGrid>
      <w:tr>
        <w:tc>
          <w:tcPr>
            <w:tcW w:type="dxa" w:w="9504"/>
            <w:shd w:fill="F5F8FC"/>
            <w:tcMar>
              <w:top w:w="140" w:type="dxa"/>
              <w:bottom w:w="140" w:type="dxa"/>
              <w:left w:w="200" w:type="dxa"/>
              <w:right w:w="200" w:type="dxa"/>
            </w:tcMar>
            <w:tcBorders>
              <w:left w:val="single" w:sz="24" w:space="0" w:color="1B365D"/>
              <w:top w:val="none"/>
              <w:right w:val="none"/>
              <w:bottom w:val="none"/>
            </w:tcBorders>
          </w:tcPr>
          <w:p>
            <w:pPr>
              <w:spacing w:before="40" w:after="40"/>
            </w:pPr>
            <w:r>
              <w:rPr>
                <w:b/>
                <w:color w:val="1B365D"/>
                <w:sz w:val="19"/>
              </w:rPr>
              <w:t>📌 Enunciado del Ítem 5</w:t>
              <w:br/>
            </w:r>
            <w:r>
              <w:rPr>
                <w:color w:val="222222"/>
                <w:sz w:val="18"/>
              </w:rPr>
              <w:t>Entrene un modelo RandomForest y compare su eficiencia con respecto a un modelo XGBoost. ¿Cuál es mejor?</w:t>
            </w:r>
          </w:p>
        </w:tc>
      </w:tr>
    </w:tbl>
    <w:p>
      <w:pPr>
        <w:spacing w:after="80"/>
      </w:pPr>
    </w:p>
    <w:p>
      <w:r>
        <w:t>Se contrastaron Random Forest (ensamble de Bagging con submuestreo aleatorio de características) frente a XGBoost (Extreme Gradient Boosting secuencial regularizado) en configuraciones base y optimizadas mediante RandomizedSearchCV (40 iteraciones). Se evaluaron tanto en el conjunto principal Pima Indians Diabetes como en el conjunto de verificación breast_cancer, midiendo tanto la eficacia predictiva como la eficiencia computacional (tiempo de ajuste y latencia de inferencia por muestra).</w:t>
      </w:r>
    </w:p>
    <w:tbl>
      <w:tblPr>
        <w:tblW w:type="auto" w:w="0"/>
        <w:jc w:val="center"/>
        <w:tblLook w:firstColumn="1" w:firstRow="1" w:lastColumn="0" w:lastRow="0" w:noHBand="0" w:noVBand="1" w:val="04A0"/>
      </w:tblPr>
      <w:tblGrid>
        <w:gridCol w:w="1358"/>
        <w:gridCol w:w="1358"/>
        <w:gridCol w:w="1358"/>
        <w:gridCol w:w="1358"/>
        <w:gridCol w:w="1358"/>
        <w:gridCol w:w="1358"/>
        <w:gridCol w:w="1358"/>
      </w:tblGrid>
      <w:tr>
        <w:trPr>
          <w:cantSplit/>
          <w:tblHeader/>
        </w:trPr>
        <w:tc>
          <w:tcPr>
            <w:tcW w:type="dxa" w:w="2592"/>
            <w:vAlign w:val="center"/>
            <w:tcMar>
              <w:top w:w="100" w:type="dxa"/>
              <w:bottom w:w="100" w:type="dxa"/>
              <w:left w:w="130" w:type="dxa"/>
              <w:right w:w="130" w:type="dxa"/>
            </w:tcMar>
            <w:shd w:fill="1B365D"/>
          </w:tcPr>
          <w:p>
            <w:pPr>
              <w:jc w:val="center"/>
            </w:pPr>
            <w:r>
              <w:rPr>
                <w:b/>
                <w:color w:val="FFFFFF"/>
                <w:sz w:val="17"/>
              </w:rPr>
              <w:t>Modelo</w:t>
            </w:r>
          </w:p>
        </w:tc>
        <w:tc>
          <w:tcPr>
            <w:tcW w:type="dxa" w:w="1152"/>
            <w:vAlign w:val="center"/>
            <w:tcMar>
              <w:top w:w="100" w:type="dxa"/>
              <w:bottom w:w="100" w:type="dxa"/>
              <w:left w:w="130" w:type="dxa"/>
              <w:right w:w="130" w:type="dxa"/>
            </w:tcMar>
            <w:shd w:fill="1B365D"/>
          </w:tcPr>
          <w:p>
            <w:pPr>
              <w:jc w:val="center"/>
            </w:pPr>
            <w:r>
              <w:rPr>
                <w:b/>
                <w:color w:val="FFFFFF"/>
                <w:sz w:val="17"/>
              </w:rPr>
              <w:t>Acc. CV</w:t>
            </w:r>
          </w:p>
        </w:tc>
        <w:tc>
          <w:tcPr>
            <w:tcW w:type="dxa" w:w="1152"/>
            <w:vAlign w:val="center"/>
            <w:tcMar>
              <w:top w:w="100" w:type="dxa"/>
              <w:bottom w:w="100" w:type="dxa"/>
              <w:left w:w="130" w:type="dxa"/>
              <w:right w:w="130" w:type="dxa"/>
            </w:tcMar>
            <w:shd w:fill="1B365D"/>
          </w:tcPr>
          <w:p>
            <w:pPr>
              <w:jc w:val="center"/>
            </w:pPr>
            <w:r>
              <w:rPr>
                <w:b/>
                <w:color w:val="FFFFFF"/>
                <w:sz w:val="17"/>
              </w:rPr>
              <w:t>Acc. Test</w:t>
            </w:r>
          </w:p>
        </w:tc>
        <w:tc>
          <w:tcPr>
            <w:tcW w:type="dxa" w:w="1296"/>
            <w:vAlign w:val="center"/>
            <w:tcMar>
              <w:top w:w="100" w:type="dxa"/>
              <w:bottom w:w="100" w:type="dxa"/>
              <w:left w:w="130" w:type="dxa"/>
              <w:right w:w="130" w:type="dxa"/>
            </w:tcMar>
            <w:shd w:fill="1B365D"/>
          </w:tcPr>
          <w:p>
            <w:pPr>
              <w:jc w:val="center"/>
            </w:pPr>
            <w:r>
              <w:rPr>
                <w:b/>
                <w:color w:val="FFFFFF"/>
                <w:sz w:val="17"/>
              </w:rPr>
              <w:t>ROC-AUC Test</w:t>
            </w:r>
          </w:p>
        </w:tc>
        <w:tc>
          <w:tcPr>
            <w:tcW w:type="dxa" w:w="1296"/>
            <w:vAlign w:val="center"/>
            <w:tcMar>
              <w:top w:w="100" w:type="dxa"/>
              <w:bottom w:w="100" w:type="dxa"/>
              <w:left w:w="130" w:type="dxa"/>
              <w:right w:w="130" w:type="dxa"/>
            </w:tcMar>
            <w:shd w:fill="1B365D"/>
          </w:tcPr>
          <w:p>
            <w:pPr>
              <w:jc w:val="center"/>
            </w:pPr>
            <w:r>
              <w:rPr>
                <w:b/>
                <w:color w:val="FFFFFF"/>
                <w:sz w:val="17"/>
              </w:rPr>
              <w:t>Log-Loss Test</w:t>
            </w:r>
          </w:p>
        </w:tc>
        <w:tc>
          <w:tcPr>
            <w:tcW w:type="dxa" w:w="1296"/>
            <w:vAlign w:val="center"/>
            <w:tcMar>
              <w:top w:w="100" w:type="dxa"/>
              <w:bottom w:w="100" w:type="dxa"/>
              <w:left w:w="130" w:type="dxa"/>
              <w:right w:w="130" w:type="dxa"/>
            </w:tcMar>
            <w:shd w:fill="1B365D"/>
          </w:tcPr>
          <w:p>
            <w:pPr>
              <w:jc w:val="center"/>
            </w:pPr>
            <w:r>
              <w:rPr>
                <w:b/>
                <w:color w:val="FFFFFF"/>
                <w:sz w:val="17"/>
              </w:rPr>
              <w:t>Tiempo Fit (s)</w:t>
            </w:r>
          </w:p>
        </w:tc>
        <w:tc>
          <w:tcPr>
            <w:tcW w:type="dxa" w:w="1440"/>
            <w:vAlign w:val="center"/>
            <w:tcMar>
              <w:top w:w="100" w:type="dxa"/>
              <w:bottom w:w="100" w:type="dxa"/>
              <w:left w:w="130" w:type="dxa"/>
              <w:right w:w="130" w:type="dxa"/>
            </w:tcMar>
            <w:shd w:fill="1B365D"/>
          </w:tcPr>
          <w:p>
            <w:pPr>
              <w:jc w:val="center"/>
            </w:pPr>
            <w:r>
              <w:rPr>
                <w:b/>
                <w:color w:val="FFFFFF"/>
                <w:sz w:val="17"/>
              </w:rPr>
              <w:t>Inf. (ms/muestra)</w:t>
            </w:r>
          </w:p>
        </w:tc>
      </w:tr>
      <w:tr>
        <w:trPr>
          <w:cantSplit/>
        </w:trPr>
        <w:tc>
          <w:tcPr>
            <w:tcW w:type="dxa" w:w="2592"/>
            <w:vAlign w:val="center"/>
            <w:tcMar>
              <w:top w:w="100" w:type="dxa"/>
              <w:bottom w:w="100" w:type="dxa"/>
              <w:left w:w="130" w:type="dxa"/>
              <w:right w:w="130" w:type="dxa"/>
            </w:tcMar>
            <w:shd w:fill="F7F9FB"/>
          </w:tcPr>
          <w:p>
            <w:r>
              <w:rPr>
                <w:color w:val="222222"/>
                <w:sz w:val="17"/>
              </w:rPr>
              <w:t>Baseline (clase mayoritaria)</w:t>
            </w:r>
          </w:p>
        </w:tc>
        <w:tc>
          <w:tcPr>
            <w:tcW w:type="dxa" w:w="1152"/>
            <w:vAlign w:val="center"/>
            <w:tcMar>
              <w:top w:w="100" w:type="dxa"/>
              <w:bottom w:w="100" w:type="dxa"/>
              <w:left w:w="130" w:type="dxa"/>
              <w:right w:w="130" w:type="dxa"/>
            </w:tcMar>
            <w:shd w:fill="F7F9FB"/>
          </w:tcPr>
          <w:p>
            <w:r>
              <w:rPr>
                <w:color w:val="222222"/>
                <w:sz w:val="17"/>
              </w:rPr>
              <w:t>0.6515</w:t>
            </w:r>
          </w:p>
        </w:tc>
        <w:tc>
          <w:tcPr>
            <w:tcW w:type="dxa" w:w="1152"/>
            <w:vAlign w:val="center"/>
            <w:tcMar>
              <w:top w:w="100" w:type="dxa"/>
              <w:bottom w:w="100" w:type="dxa"/>
              <w:left w:w="130" w:type="dxa"/>
              <w:right w:w="130" w:type="dxa"/>
            </w:tcMar>
            <w:shd w:fill="F7F9FB"/>
          </w:tcPr>
          <w:p>
            <w:r>
              <w:rPr>
                <w:color w:val="222222"/>
                <w:sz w:val="17"/>
              </w:rPr>
              <w:t>0.6494</w:t>
            </w:r>
          </w:p>
        </w:tc>
        <w:tc>
          <w:tcPr>
            <w:tcW w:type="dxa" w:w="1296"/>
            <w:vAlign w:val="center"/>
            <w:tcMar>
              <w:top w:w="100" w:type="dxa"/>
              <w:bottom w:w="100" w:type="dxa"/>
              <w:left w:w="130" w:type="dxa"/>
              <w:right w:w="130" w:type="dxa"/>
            </w:tcMar>
            <w:shd w:fill="F7F9FB"/>
          </w:tcPr>
          <w:p>
            <w:r>
              <w:rPr>
                <w:color w:val="222222"/>
                <w:sz w:val="17"/>
              </w:rPr>
              <w:t>0.5000</w:t>
            </w:r>
          </w:p>
        </w:tc>
        <w:tc>
          <w:tcPr>
            <w:tcW w:type="dxa" w:w="1296"/>
            <w:vAlign w:val="center"/>
            <w:tcMar>
              <w:top w:w="100" w:type="dxa"/>
              <w:bottom w:w="100" w:type="dxa"/>
              <w:left w:w="130" w:type="dxa"/>
              <w:right w:w="130" w:type="dxa"/>
            </w:tcMar>
            <w:shd w:fill="F7F9FB"/>
          </w:tcPr>
          <w:p>
            <w:r>
              <w:rPr>
                <w:color w:val="222222"/>
                <w:sz w:val="17"/>
              </w:rPr>
              <w:t>12.6387</w:t>
            </w:r>
          </w:p>
        </w:tc>
        <w:tc>
          <w:tcPr>
            <w:tcW w:type="dxa" w:w="1296"/>
            <w:vAlign w:val="center"/>
            <w:tcMar>
              <w:top w:w="100" w:type="dxa"/>
              <w:bottom w:w="100" w:type="dxa"/>
              <w:left w:w="130" w:type="dxa"/>
              <w:right w:w="130" w:type="dxa"/>
            </w:tcMar>
            <w:shd w:fill="F7F9FB"/>
          </w:tcPr>
          <w:p>
            <w:r>
              <w:rPr>
                <w:color w:val="222222"/>
                <w:sz w:val="17"/>
              </w:rPr>
              <w:t>0.001</w:t>
            </w:r>
          </w:p>
        </w:tc>
        <w:tc>
          <w:tcPr>
            <w:tcW w:type="dxa" w:w="1440"/>
            <w:vAlign w:val="center"/>
            <w:tcMar>
              <w:top w:w="100" w:type="dxa"/>
              <w:bottom w:w="100" w:type="dxa"/>
              <w:left w:w="130" w:type="dxa"/>
              <w:right w:w="130" w:type="dxa"/>
            </w:tcMar>
            <w:shd w:fill="F7F9FB"/>
          </w:tcPr>
          <w:p>
            <w:r>
              <w:rPr>
                <w:color w:val="222222"/>
                <w:sz w:val="17"/>
              </w:rPr>
              <w:t>0.0002</w:t>
            </w:r>
          </w:p>
        </w:tc>
      </w:tr>
      <w:tr>
        <w:trPr>
          <w:cantSplit/>
        </w:trPr>
        <w:tc>
          <w:tcPr>
            <w:tcW w:type="dxa" w:w="2592"/>
            <w:vAlign w:val="center"/>
            <w:tcMar>
              <w:top w:w="100" w:type="dxa"/>
              <w:bottom w:w="100" w:type="dxa"/>
              <w:left w:w="130" w:type="dxa"/>
              <w:right w:w="130" w:type="dxa"/>
            </w:tcMar>
            <w:shd w:fill="FFFFFF"/>
          </w:tcPr>
          <w:p>
            <w:r>
              <w:rPr>
                <w:color w:val="222222"/>
                <w:sz w:val="17"/>
              </w:rPr>
              <w:t>Random Forest (base)</w:t>
            </w:r>
          </w:p>
        </w:tc>
        <w:tc>
          <w:tcPr>
            <w:tcW w:type="dxa" w:w="1152"/>
            <w:vAlign w:val="center"/>
            <w:tcMar>
              <w:top w:w="100" w:type="dxa"/>
              <w:bottom w:w="100" w:type="dxa"/>
              <w:left w:w="130" w:type="dxa"/>
              <w:right w:w="130" w:type="dxa"/>
            </w:tcMar>
            <w:shd w:fill="FFFFFF"/>
          </w:tcPr>
          <w:p>
            <w:r>
              <w:rPr>
                <w:color w:val="222222"/>
                <w:sz w:val="17"/>
              </w:rPr>
              <w:t>0.7557</w:t>
            </w:r>
          </w:p>
        </w:tc>
        <w:tc>
          <w:tcPr>
            <w:tcW w:type="dxa" w:w="1152"/>
            <w:vAlign w:val="center"/>
            <w:tcMar>
              <w:top w:w="100" w:type="dxa"/>
              <w:bottom w:w="100" w:type="dxa"/>
              <w:left w:w="130" w:type="dxa"/>
              <w:right w:w="130" w:type="dxa"/>
            </w:tcMar>
            <w:shd w:fill="FFFFFF"/>
          </w:tcPr>
          <w:p>
            <w:r>
              <w:rPr>
                <w:color w:val="222222"/>
                <w:sz w:val="17"/>
              </w:rPr>
              <w:t>0.7338</w:t>
            </w:r>
          </w:p>
        </w:tc>
        <w:tc>
          <w:tcPr>
            <w:tcW w:type="dxa" w:w="1296"/>
            <w:vAlign w:val="center"/>
            <w:tcMar>
              <w:top w:w="100" w:type="dxa"/>
              <w:bottom w:w="100" w:type="dxa"/>
              <w:left w:w="130" w:type="dxa"/>
              <w:right w:w="130" w:type="dxa"/>
            </w:tcMar>
            <w:shd w:fill="FFFFFF"/>
          </w:tcPr>
          <w:p>
            <w:r>
              <w:rPr>
                <w:color w:val="222222"/>
                <w:sz w:val="17"/>
              </w:rPr>
              <w:t>0.8079</w:t>
            </w:r>
          </w:p>
        </w:tc>
        <w:tc>
          <w:tcPr>
            <w:tcW w:type="dxa" w:w="1296"/>
            <w:vAlign w:val="center"/>
            <w:tcMar>
              <w:top w:w="100" w:type="dxa"/>
              <w:bottom w:w="100" w:type="dxa"/>
              <w:left w:w="130" w:type="dxa"/>
              <w:right w:w="130" w:type="dxa"/>
            </w:tcMar>
            <w:shd w:fill="FFFFFF"/>
          </w:tcPr>
          <w:p>
            <w:r>
              <w:rPr>
                <w:color w:val="222222"/>
                <w:sz w:val="17"/>
              </w:rPr>
              <w:t>0.4996</w:t>
            </w:r>
          </w:p>
        </w:tc>
        <w:tc>
          <w:tcPr>
            <w:tcW w:type="dxa" w:w="1296"/>
            <w:vAlign w:val="center"/>
            <w:tcMar>
              <w:top w:w="100" w:type="dxa"/>
              <w:bottom w:w="100" w:type="dxa"/>
              <w:left w:w="130" w:type="dxa"/>
              <w:right w:w="130" w:type="dxa"/>
            </w:tcMar>
            <w:shd w:fill="FFFFFF"/>
          </w:tcPr>
          <w:p>
            <w:r>
              <w:rPr>
                <w:color w:val="222222"/>
                <w:sz w:val="17"/>
              </w:rPr>
              <w:t>0.931</w:t>
            </w:r>
          </w:p>
        </w:tc>
        <w:tc>
          <w:tcPr>
            <w:tcW w:type="dxa" w:w="1440"/>
            <w:vAlign w:val="center"/>
            <w:tcMar>
              <w:top w:w="100" w:type="dxa"/>
              <w:bottom w:w="100" w:type="dxa"/>
              <w:left w:w="130" w:type="dxa"/>
              <w:right w:w="130" w:type="dxa"/>
            </w:tcMar>
            <w:shd w:fill="FFFFFF"/>
          </w:tcPr>
          <w:p>
            <w:r>
              <w:rPr>
                <w:color w:val="222222"/>
                <w:sz w:val="17"/>
              </w:rPr>
              <w:t>0.5023</w:t>
            </w:r>
          </w:p>
        </w:tc>
      </w:tr>
      <w:tr>
        <w:trPr>
          <w:cantSplit/>
        </w:trPr>
        <w:tc>
          <w:tcPr>
            <w:tcW w:type="dxa" w:w="2592"/>
            <w:vAlign w:val="center"/>
            <w:tcMar>
              <w:top w:w="100" w:type="dxa"/>
              <w:bottom w:w="100" w:type="dxa"/>
              <w:left w:w="130" w:type="dxa"/>
              <w:right w:w="130" w:type="dxa"/>
            </w:tcMar>
            <w:shd w:fill="F7F9FB"/>
          </w:tcPr>
          <w:p>
            <w:r>
              <w:rPr>
                <w:color w:val="222222"/>
                <w:sz w:val="17"/>
              </w:rPr>
              <w:t>Random Forest (optimizado)</w:t>
            </w:r>
          </w:p>
        </w:tc>
        <w:tc>
          <w:tcPr>
            <w:tcW w:type="dxa" w:w="1152"/>
            <w:vAlign w:val="center"/>
            <w:tcMar>
              <w:top w:w="100" w:type="dxa"/>
              <w:bottom w:w="100" w:type="dxa"/>
              <w:left w:w="130" w:type="dxa"/>
              <w:right w:w="130" w:type="dxa"/>
            </w:tcMar>
            <w:shd w:fill="F7F9FB"/>
          </w:tcPr>
          <w:p>
            <w:r>
              <w:rPr>
                <w:color w:val="222222"/>
                <w:sz w:val="17"/>
              </w:rPr>
              <w:t>0.7672</w:t>
            </w:r>
          </w:p>
        </w:tc>
        <w:tc>
          <w:tcPr>
            <w:tcW w:type="dxa" w:w="1152"/>
            <w:vAlign w:val="center"/>
            <w:tcMar>
              <w:top w:w="100" w:type="dxa"/>
              <w:bottom w:w="100" w:type="dxa"/>
              <w:left w:w="130" w:type="dxa"/>
              <w:right w:w="130" w:type="dxa"/>
            </w:tcMar>
            <w:shd w:fill="F7F9FB"/>
          </w:tcPr>
          <w:p>
            <w:r>
              <w:rPr>
                <w:color w:val="222222"/>
                <w:sz w:val="17"/>
              </w:rPr>
              <w:t>0.7273</w:t>
            </w:r>
          </w:p>
        </w:tc>
        <w:tc>
          <w:tcPr>
            <w:tcW w:type="dxa" w:w="1296"/>
            <w:vAlign w:val="center"/>
            <w:tcMar>
              <w:top w:w="100" w:type="dxa"/>
              <w:bottom w:w="100" w:type="dxa"/>
              <w:left w:w="130" w:type="dxa"/>
              <w:right w:w="130" w:type="dxa"/>
            </w:tcMar>
            <w:shd w:fill="F7F9FB"/>
          </w:tcPr>
          <w:p>
            <w:r>
              <w:rPr>
                <w:color w:val="222222"/>
                <w:sz w:val="17"/>
              </w:rPr>
              <w:t>0.8035</w:t>
            </w:r>
          </w:p>
        </w:tc>
        <w:tc>
          <w:tcPr>
            <w:tcW w:type="dxa" w:w="1296"/>
            <w:vAlign w:val="center"/>
            <w:tcMar>
              <w:top w:w="100" w:type="dxa"/>
              <w:bottom w:w="100" w:type="dxa"/>
              <w:left w:w="130" w:type="dxa"/>
              <w:right w:w="130" w:type="dxa"/>
            </w:tcMar>
            <w:shd w:fill="F7F9FB"/>
          </w:tcPr>
          <w:p>
            <w:r>
              <w:rPr>
                <w:color w:val="222222"/>
                <w:sz w:val="17"/>
              </w:rPr>
              <w:t>0.5126</w:t>
            </w:r>
          </w:p>
        </w:tc>
        <w:tc>
          <w:tcPr>
            <w:tcW w:type="dxa" w:w="1296"/>
            <w:vAlign w:val="center"/>
            <w:tcMar>
              <w:top w:w="100" w:type="dxa"/>
              <w:bottom w:w="100" w:type="dxa"/>
              <w:left w:w="130" w:type="dxa"/>
              <w:right w:w="130" w:type="dxa"/>
            </w:tcMar>
            <w:shd w:fill="F7F9FB"/>
          </w:tcPr>
          <w:p>
            <w:r>
              <w:rPr>
                <w:color w:val="222222"/>
                <w:sz w:val="17"/>
              </w:rPr>
              <w:t>1.670</w:t>
            </w:r>
          </w:p>
        </w:tc>
        <w:tc>
          <w:tcPr>
            <w:tcW w:type="dxa" w:w="1440"/>
            <w:vAlign w:val="center"/>
            <w:tcMar>
              <w:top w:w="100" w:type="dxa"/>
              <w:bottom w:w="100" w:type="dxa"/>
              <w:left w:w="130" w:type="dxa"/>
              <w:right w:w="130" w:type="dxa"/>
            </w:tcMar>
            <w:shd w:fill="F7F9FB"/>
          </w:tcPr>
          <w:p>
            <w:r>
              <w:rPr>
                <w:color w:val="222222"/>
                <w:sz w:val="17"/>
              </w:rPr>
              <w:t>0.8498</w:t>
            </w:r>
          </w:p>
        </w:tc>
      </w:tr>
      <w:tr>
        <w:trPr>
          <w:cantSplit/>
        </w:trPr>
        <w:tc>
          <w:tcPr>
            <w:tcW w:type="dxa" w:w="2592"/>
            <w:vAlign w:val="center"/>
            <w:tcMar>
              <w:top w:w="100" w:type="dxa"/>
              <w:bottom w:w="100" w:type="dxa"/>
              <w:left w:w="130" w:type="dxa"/>
              <w:right w:w="130" w:type="dxa"/>
            </w:tcMar>
            <w:shd w:fill="FFFFFF"/>
          </w:tcPr>
          <w:p>
            <w:r>
              <w:rPr>
                <w:color w:val="222222"/>
                <w:sz w:val="17"/>
              </w:rPr>
              <w:t>XGBoost (base)</w:t>
            </w:r>
          </w:p>
        </w:tc>
        <w:tc>
          <w:tcPr>
            <w:tcW w:type="dxa" w:w="1152"/>
            <w:vAlign w:val="center"/>
            <w:tcMar>
              <w:top w:w="100" w:type="dxa"/>
              <w:bottom w:w="100" w:type="dxa"/>
              <w:left w:w="130" w:type="dxa"/>
              <w:right w:w="130" w:type="dxa"/>
            </w:tcMar>
            <w:shd w:fill="FFFFFF"/>
          </w:tcPr>
          <w:p>
            <w:r>
              <w:rPr>
                <w:color w:val="222222"/>
                <w:sz w:val="17"/>
              </w:rPr>
              <w:t>0.7492</w:t>
            </w:r>
          </w:p>
        </w:tc>
        <w:tc>
          <w:tcPr>
            <w:tcW w:type="dxa" w:w="1152"/>
            <w:vAlign w:val="center"/>
            <w:tcMar>
              <w:top w:w="100" w:type="dxa"/>
              <w:bottom w:w="100" w:type="dxa"/>
              <w:left w:w="130" w:type="dxa"/>
              <w:right w:w="130" w:type="dxa"/>
            </w:tcMar>
            <w:shd w:fill="FFFFFF"/>
          </w:tcPr>
          <w:p>
            <w:r>
              <w:rPr>
                <w:color w:val="222222"/>
                <w:sz w:val="17"/>
              </w:rPr>
              <w:t>0.7468</w:t>
            </w:r>
          </w:p>
        </w:tc>
        <w:tc>
          <w:tcPr>
            <w:tcW w:type="dxa" w:w="1296"/>
            <w:vAlign w:val="center"/>
            <w:tcMar>
              <w:top w:w="100" w:type="dxa"/>
              <w:bottom w:w="100" w:type="dxa"/>
              <w:left w:w="130" w:type="dxa"/>
              <w:right w:w="130" w:type="dxa"/>
            </w:tcMar>
            <w:shd w:fill="FFFFFF"/>
          </w:tcPr>
          <w:p>
            <w:r>
              <w:rPr>
                <w:color w:val="222222"/>
                <w:sz w:val="17"/>
              </w:rPr>
              <w:t>0.8211</w:t>
            </w:r>
          </w:p>
        </w:tc>
        <w:tc>
          <w:tcPr>
            <w:tcW w:type="dxa" w:w="1296"/>
            <w:vAlign w:val="center"/>
            <w:tcMar>
              <w:top w:w="100" w:type="dxa"/>
              <w:bottom w:w="100" w:type="dxa"/>
              <w:left w:w="130" w:type="dxa"/>
              <w:right w:w="130" w:type="dxa"/>
            </w:tcMar>
            <w:shd w:fill="FFFFFF"/>
          </w:tcPr>
          <w:p>
            <w:r>
              <w:rPr>
                <w:color w:val="222222"/>
                <w:sz w:val="17"/>
              </w:rPr>
              <w:t>0.5459</w:t>
            </w:r>
          </w:p>
        </w:tc>
        <w:tc>
          <w:tcPr>
            <w:tcW w:type="dxa" w:w="1296"/>
            <w:vAlign w:val="center"/>
            <w:tcMar>
              <w:top w:w="100" w:type="dxa"/>
              <w:bottom w:w="100" w:type="dxa"/>
              <w:left w:w="130" w:type="dxa"/>
              <w:right w:w="130" w:type="dxa"/>
            </w:tcMar>
            <w:shd w:fill="FFFFFF"/>
          </w:tcPr>
          <w:p>
            <w:r>
              <w:rPr>
                <w:color w:val="222222"/>
                <w:sz w:val="17"/>
              </w:rPr>
              <w:t>0.129</w:t>
            </w:r>
          </w:p>
        </w:tc>
        <w:tc>
          <w:tcPr>
            <w:tcW w:type="dxa" w:w="1440"/>
            <w:vAlign w:val="center"/>
            <w:tcMar>
              <w:top w:w="100" w:type="dxa"/>
              <w:bottom w:w="100" w:type="dxa"/>
              <w:left w:w="130" w:type="dxa"/>
              <w:right w:w="130" w:type="dxa"/>
            </w:tcMar>
            <w:shd w:fill="FFFFFF"/>
          </w:tcPr>
          <w:p>
            <w:r>
              <w:rPr>
                <w:color w:val="222222"/>
                <w:sz w:val="17"/>
              </w:rPr>
              <w:t>0.0183</w:t>
            </w:r>
          </w:p>
        </w:tc>
      </w:tr>
      <w:tr>
        <w:trPr>
          <w:cantSplit/>
        </w:trPr>
        <w:tc>
          <w:tcPr>
            <w:tcW w:type="dxa" w:w="2592"/>
            <w:vAlign w:val="center"/>
            <w:tcMar>
              <w:top w:w="100" w:type="dxa"/>
              <w:bottom w:w="100" w:type="dxa"/>
              <w:left w:w="130" w:type="dxa"/>
              <w:right w:w="130" w:type="dxa"/>
            </w:tcMar>
            <w:shd w:fill="F7F9FB"/>
          </w:tcPr>
          <w:p>
            <w:r>
              <w:rPr>
                <w:color w:val="222222"/>
                <w:sz w:val="17"/>
              </w:rPr>
              <w:t>XGBoost (optimizado)</w:t>
            </w:r>
          </w:p>
        </w:tc>
        <w:tc>
          <w:tcPr>
            <w:tcW w:type="dxa" w:w="1152"/>
            <w:vAlign w:val="center"/>
            <w:tcMar>
              <w:top w:w="100" w:type="dxa"/>
              <w:bottom w:w="100" w:type="dxa"/>
              <w:left w:w="130" w:type="dxa"/>
              <w:right w:w="130" w:type="dxa"/>
            </w:tcMar>
            <w:shd w:fill="F7F9FB"/>
          </w:tcPr>
          <w:p>
            <w:r>
              <w:rPr>
                <w:color w:val="222222"/>
                <w:sz w:val="17"/>
              </w:rPr>
              <w:t>0.7591</w:t>
            </w:r>
          </w:p>
        </w:tc>
        <w:tc>
          <w:tcPr>
            <w:tcW w:type="dxa" w:w="1152"/>
            <w:vAlign w:val="center"/>
            <w:tcMar>
              <w:top w:w="100" w:type="dxa"/>
              <w:bottom w:w="100" w:type="dxa"/>
              <w:left w:w="130" w:type="dxa"/>
              <w:right w:w="130" w:type="dxa"/>
            </w:tcMar>
            <w:shd w:fill="F7F9FB"/>
          </w:tcPr>
          <w:p>
            <w:r>
              <w:rPr>
                <w:color w:val="222222"/>
                <w:sz w:val="17"/>
              </w:rPr>
              <w:t>0.7403</w:t>
            </w:r>
          </w:p>
        </w:tc>
        <w:tc>
          <w:tcPr>
            <w:tcW w:type="dxa" w:w="1296"/>
            <w:vAlign w:val="center"/>
            <w:tcMar>
              <w:top w:w="100" w:type="dxa"/>
              <w:bottom w:w="100" w:type="dxa"/>
              <w:left w:w="130" w:type="dxa"/>
              <w:right w:w="130" w:type="dxa"/>
            </w:tcMar>
            <w:shd w:fill="F7F9FB"/>
          </w:tcPr>
          <w:p>
            <w:r>
              <w:rPr>
                <w:color w:val="222222"/>
                <w:sz w:val="17"/>
              </w:rPr>
              <w:t>0.8209</w:t>
            </w:r>
          </w:p>
        </w:tc>
        <w:tc>
          <w:tcPr>
            <w:tcW w:type="dxa" w:w="1296"/>
            <w:vAlign w:val="center"/>
            <w:tcMar>
              <w:top w:w="100" w:type="dxa"/>
              <w:bottom w:w="100" w:type="dxa"/>
              <w:left w:w="130" w:type="dxa"/>
              <w:right w:w="130" w:type="dxa"/>
            </w:tcMar>
            <w:shd w:fill="F7F9FB"/>
          </w:tcPr>
          <w:p>
            <w:r>
              <w:rPr>
                <w:color w:val="222222"/>
                <w:sz w:val="17"/>
              </w:rPr>
              <w:t>0.4914</w:t>
            </w:r>
          </w:p>
        </w:tc>
        <w:tc>
          <w:tcPr>
            <w:tcW w:type="dxa" w:w="1296"/>
            <w:vAlign w:val="center"/>
            <w:tcMar>
              <w:top w:w="100" w:type="dxa"/>
              <w:bottom w:w="100" w:type="dxa"/>
              <w:left w:w="130" w:type="dxa"/>
              <w:right w:w="130" w:type="dxa"/>
            </w:tcMar>
            <w:shd w:fill="F7F9FB"/>
          </w:tcPr>
          <w:p>
            <w:r>
              <w:rPr>
                <w:color w:val="222222"/>
                <w:sz w:val="17"/>
              </w:rPr>
              <w:t>0.059</w:t>
            </w:r>
          </w:p>
        </w:tc>
        <w:tc>
          <w:tcPr>
            <w:tcW w:type="dxa" w:w="1440"/>
            <w:vAlign w:val="center"/>
            <w:tcMar>
              <w:top w:w="100" w:type="dxa"/>
              <w:bottom w:w="100" w:type="dxa"/>
              <w:left w:w="130" w:type="dxa"/>
              <w:right w:w="130" w:type="dxa"/>
            </w:tcMar>
            <w:shd w:fill="F7F9FB"/>
          </w:tcPr>
          <w:p>
            <w:r>
              <w:rPr>
                <w:color w:val="222222"/>
                <w:sz w:val="17"/>
              </w:rPr>
              <w:t>0.0743</w:t>
            </w:r>
          </w:p>
        </w:tc>
      </w:tr>
    </w:tbl>
    <w:p>
      <w:pPr>
        <w:keepNext/>
        <w:spacing w:before="160" w:after="40"/>
        <w:jc w:val="center"/>
      </w:pPr>
      <w:r>
        <w:drawing>
          <wp:inline xmlns:a="http://schemas.openxmlformats.org/drawingml/2006/main" xmlns:pic="http://schemas.openxmlformats.org/drawingml/2006/picture">
            <wp:extent cx="5669280" cy="1389290"/>
            <wp:docPr id="17" name="Picture 17"/>
            <wp:cNvGraphicFramePr>
              <a:graphicFrameLocks noChangeAspect="1"/>
            </wp:cNvGraphicFramePr>
            <a:graphic>
              <a:graphicData uri="http://schemas.openxmlformats.org/drawingml/2006/picture">
                <pic:pic>
                  <pic:nvPicPr>
                    <pic:cNvPr id="0" name="item5_comparacion.png"/>
                    <pic:cNvPicPr/>
                  </pic:nvPicPr>
                  <pic:blipFill>
                    <a:blip r:embed="rId25"/>
                    <a:stretch>
                      <a:fillRect/>
                    </a:stretch>
                  </pic:blipFill>
                  <pic:spPr>
                    <a:xfrm>
                      <a:off x="0" y="0"/>
                      <a:ext cx="5669280" cy="1389290"/>
                    </a:xfrm>
                    <a:prstGeom prst="rect"/>
                  </pic:spPr>
                </pic:pic>
              </a:graphicData>
            </a:graphic>
          </wp:inline>
        </w:drawing>
      </w:r>
    </w:p>
    <w:p>
      <w:pPr>
        <w:spacing w:before="40" w:after="160"/>
        <w:jc w:val="center"/>
      </w:pPr>
      <w:r>
        <w:rPr>
          <w:i/>
          <w:color w:val="646464"/>
          <w:sz w:val="17"/>
        </w:rPr>
        <w:t>Figura 16: Eficacia predictiva (Acc, F1, ROC-AUC) y eficiencia computacional (tiempo de fit e inferencia) de RF vs. XGBoost.</w:t>
      </w:r>
    </w:p>
    <w:p>
      <w:pPr>
        <w:keepNext/>
        <w:spacing w:before="160" w:after="40"/>
        <w:jc w:val="center"/>
      </w:pPr>
      <w:r>
        <w:drawing>
          <wp:inline xmlns:a="http://schemas.openxmlformats.org/drawingml/2006/main" xmlns:pic="http://schemas.openxmlformats.org/drawingml/2006/picture">
            <wp:extent cx="5669280" cy="995490"/>
            <wp:docPr id="18" name="Picture 18"/>
            <wp:cNvGraphicFramePr>
              <a:graphicFrameLocks noChangeAspect="1"/>
            </wp:cNvGraphicFramePr>
            <a:graphic>
              <a:graphicData uri="http://schemas.openxmlformats.org/drawingml/2006/picture">
                <pic:pic>
                  <pic:nvPicPr>
                    <pic:cNvPr id="0" name="item5_confusion_roc.png"/>
                    <pic:cNvPicPr/>
                  </pic:nvPicPr>
                  <pic:blipFill>
                    <a:blip r:embed="rId26"/>
                    <a:stretch>
                      <a:fillRect/>
                    </a:stretch>
                  </pic:blipFill>
                  <pic:spPr>
                    <a:xfrm>
                      <a:off x="0" y="0"/>
                      <a:ext cx="5669280" cy="995490"/>
                    </a:xfrm>
                    <a:prstGeom prst="rect"/>
                  </pic:spPr>
                </pic:pic>
              </a:graphicData>
            </a:graphic>
          </wp:inline>
        </w:drawing>
      </w:r>
    </w:p>
    <w:p>
      <w:pPr>
        <w:spacing w:before="40" w:after="160"/>
        <w:jc w:val="center"/>
      </w:pPr>
      <w:r>
        <w:rPr>
          <w:i/>
          <w:color w:val="646464"/>
          <w:sz w:val="17"/>
        </w:rPr>
        <w:t>Figura 17: Matrices de confusión y curvas ROC de Random Forest y XGBoost en el conjunto de prueba.</w:t>
      </w:r>
    </w:p>
    <w:p>
      <w:pPr>
        <w:keepNext/>
        <w:spacing w:before="160" w:after="40"/>
        <w:jc w:val="center"/>
      </w:pPr>
      <w:r>
        <w:drawing>
          <wp:inline xmlns:a="http://schemas.openxmlformats.org/drawingml/2006/main" xmlns:pic="http://schemas.openxmlformats.org/drawingml/2006/picture">
            <wp:extent cx="5669280" cy="1740431"/>
            <wp:docPr id="19" name="Picture 19"/>
            <wp:cNvGraphicFramePr>
              <a:graphicFrameLocks noChangeAspect="1"/>
            </wp:cNvGraphicFramePr>
            <a:graphic>
              <a:graphicData uri="http://schemas.openxmlformats.org/drawingml/2006/picture">
                <pic:pic>
                  <pic:nvPicPr>
                    <pic:cNvPr id="0" name="item5_curvas.png"/>
                    <pic:cNvPicPr/>
                  </pic:nvPicPr>
                  <pic:blipFill>
                    <a:blip r:embed="rId27"/>
                    <a:stretch>
                      <a:fillRect/>
                    </a:stretch>
                  </pic:blipFill>
                  <pic:spPr>
                    <a:xfrm>
                      <a:off x="0" y="0"/>
                      <a:ext cx="5669280" cy="1740431"/>
                    </a:xfrm>
                    <a:prstGeom prst="rect"/>
                  </pic:spPr>
                </pic:pic>
              </a:graphicData>
            </a:graphic>
          </wp:inline>
        </w:drawing>
      </w:r>
    </w:p>
    <w:p>
      <w:pPr>
        <w:spacing w:before="40" w:after="160"/>
        <w:jc w:val="center"/>
      </w:pPr>
      <w:r>
        <w:rPr>
          <w:i/>
          <w:color w:val="646464"/>
          <w:sz w:val="17"/>
        </w:rPr>
        <w:t>Figura 18: Curvas de aprendizaje: convergencia OOB en Random Forest y evolución de Log-Loss en validación para XGBoost.</w:t>
      </w:r>
    </w:p>
    <w:p>
      <w:pPr>
        <w:keepNext/>
        <w:spacing w:before="160" w:after="40"/>
        <w:jc w:val="center"/>
      </w:pPr>
      <w:r>
        <w:drawing>
          <wp:inline xmlns:a="http://schemas.openxmlformats.org/drawingml/2006/main" xmlns:pic="http://schemas.openxmlformats.org/drawingml/2006/picture">
            <wp:extent cx="5669280" cy="1322718"/>
            <wp:docPr id="20" name="Picture 20"/>
            <wp:cNvGraphicFramePr>
              <a:graphicFrameLocks noChangeAspect="1"/>
            </wp:cNvGraphicFramePr>
            <a:graphic>
              <a:graphicData uri="http://schemas.openxmlformats.org/drawingml/2006/picture">
                <pic:pic>
                  <pic:nvPicPr>
                    <pic:cNvPr id="0" name="item5_importancia.png"/>
                    <pic:cNvPicPr/>
                  </pic:nvPicPr>
                  <pic:blipFill>
                    <a:blip r:embed="rId28"/>
                    <a:stretch>
                      <a:fillRect/>
                    </a:stretch>
                  </pic:blipFill>
                  <pic:spPr>
                    <a:xfrm>
                      <a:off x="0" y="0"/>
                      <a:ext cx="5669280" cy="1322718"/>
                    </a:xfrm>
                    <a:prstGeom prst="rect"/>
                  </pic:spPr>
                </pic:pic>
              </a:graphicData>
            </a:graphic>
          </wp:inline>
        </w:drawing>
      </w:r>
    </w:p>
    <w:p>
      <w:pPr>
        <w:spacing w:before="40" w:after="160"/>
        <w:jc w:val="center"/>
      </w:pPr>
      <w:r>
        <w:rPr>
          <w:i/>
          <w:color w:val="646464"/>
          <w:sz w:val="17"/>
        </w:rPr>
        <w:t>Figura 19: Comparación de importancia de variables: MDI (Gini) en RF vs. Gain en XGBoost vs. Permutación.</w:t>
      </w:r>
    </w:p>
    <w:p>
      <w:r>
        <w:t>Verificación en segundo dataset de referencia (breast_cancer):</w:t>
      </w:r>
    </w:p>
    <w:tbl>
      <w:tblPr>
        <w:tblW w:type="auto" w:w="0"/>
        <w:jc w:val="center"/>
        <w:tblLook w:firstColumn="1" w:firstRow="1" w:lastColumn="0" w:lastRow="0" w:noHBand="0" w:noVBand="1" w:val="04A0"/>
      </w:tblPr>
      <w:tblGrid>
        <w:gridCol w:w="1584"/>
        <w:gridCol w:w="1584"/>
        <w:gridCol w:w="1584"/>
        <w:gridCol w:w="1584"/>
        <w:gridCol w:w="1584"/>
        <w:gridCol w:w="1584"/>
      </w:tblGrid>
      <w:tr>
        <w:trPr>
          <w:cantSplit/>
          <w:tblHeader/>
        </w:trPr>
        <w:tc>
          <w:tcPr>
            <w:tcW w:type="dxa" w:w="2592"/>
            <w:vAlign w:val="center"/>
            <w:tcMar>
              <w:top w:w="100" w:type="dxa"/>
              <w:bottom w:w="100" w:type="dxa"/>
              <w:left w:w="130" w:type="dxa"/>
              <w:right w:w="130" w:type="dxa"/>
            </w:tcMar>
            <w:shd w:fill="1B365D"/>
          </w:tcPr>
          <w:p>
            <w:pPr>
              <w:jc w:val="center"/>
            </w:pPr>
            <w:r>
              <w:rPr>
                <w:b/>
                <w:color w:val="FFFFFF"/>
                <w:sz w:val="17"/>
              </w:rPr>
              <w:t>Modelo</w:t>
            </w:r>
          </w:p>
        </w:tc>
        <w:tc>
          <w:tcPr>
            <w:tcW w:type="dxa" w:w="1440"/>
            <w:vAlign w:val="center"/>
            <w:tcMar>
              <w:top w:w="100" w:type="dxa"/>
              <w:bottom w:w="100" w:type="dxa"/>
              <w:left w:w="130" w:type="dxa"/>
              <w:right w:w="130" w:type="dxa"/>
            </w:tcMar>
            <w:shd w:fill="1B365D"/>
          </w:tcPr>
          <w:p>
            <w:pPr>
              <w:jc w:val="center"/>
            </w:pPr>
            <w:r>
              <w:rPr>
                <w:b/>
                <w:color w:val="FFFFFF"/>
                <w:sz w:val="17"/>
              </w:rPr>
              <w:t>Acc. CV</w:t>
            </w:r>
          </w:p>
        </w:tc>
        <w:tc>
          <w:tcPr>
            <w:tcW w:type="dxa" w:w="1440"/>
            <w:vAlign w:val="center"/>
            <w:tcMar>
              <w:top w:w="100" w:type="dxa"/>
              <w:bottom w:w="100" w:type="dxa"/>
              <w:left w:w="130" w:type="dxa"/>
              <w:right w:w="130" w:type="dxa"/>
            </w:tcMar>
            <w:shd w:fill="1B365D"/>
          </w:tcPr>
          <w:p>
            <w:pPr>
              <w:jc w:val="center"/>
            </w:pPr>
            <w:r>
              <w:rPr>
                <w:b/>
                <w:color w:val="FFFFFF"/>
                <w:sz w:val="17"/>
              </w:rPr>
              <w:t>ROC-AUC CV</w:t>
            </w:r>
          </w:p>
        </w:tc>
        <w:tc>
          <w:tcPr>
            <w:tcW w:type="dxa" w:w="1440"/>
            <w:vAlign w:val="center"/>
            <w:tcMar>
              <w:top w:w="100" w:type="dxa"/>
              <w:bottom w:w="100" w:type="dxa"/>
              <w:left w:w="130" w:type="dxa"/>
              <w:right w:w="130" w:type="dxa"/>
            </w:tcMar>
            <w:shd w:fill="1B365D"/>
          </w:tcPr>
          <w:p>
            <w:pPr>
              <w:jc w:val="center"/>
            </w:pPr>
            <w:r>
              <w:rPr>
                <w:b/>
                <w:color w:val="FFFFFF"/>
                <w:sz w:val="17"/>
              </w:rPr>
              <w:t>Acc. Test</w:t>
            </w:r>
          </w:p>
        </w:tc>
        <w:tc>
          <w:tcPr>
            <w:tcW w:type="dxa" w:w="1440"/>
            <w:vAlign w:val="center"/>
            <w:tcMar>
              <w:top w:w="100" w:type="dxa"/>
              <w:bottom w:w="100" w:type="dxa"/>
              <w:left w:w="130" w:type="dxa"/>
              <w:right w:w="130" w:type="dxa"/>
            </w:tcMar>
            <w:shd w:fill="1B365D"/>
          </w:tcPr>
          <w:p>
            <w:pPr>
              <w:jc w:val="center"/>
            </w:pPr>
            <w:r>
              <w:rPr>
                <w:b/>
                <w:color w:val="FFFFFF"/>
                <w:sz w:val="17"/>
              </w:rPr>
              <w:t>ROC-AUC Test</w:t>
            </w:r>
          </w:p>
        </w:tc>
        <w:tc>
          <w:tcPr>
            <w:tcW w:type="dxa" w:w="1440"/>
            <w:vAlign w:val="center"/>
            <w:tcMar>
              <w:top w:w="100" w:type="dxa"/>
              <w:bottom w:w="100" w:type="dxa"/>
              <w:left w:w="130" w:type="dxa"/>
              <w:right w:w="130" w:type="dxa"/>
            </w:tcMar>
            <w:shd w:fill="1B365D"/>
          </w:tcPr>
          <w:p>
            <w:pPr>
              <w:jc w:val="center"/>
            </w:pPr>
            <w:r>
              <w:rPr>
                <w:b/>
                <w:color w:val="FFFFFF"/>
                <w:sz w:val="17"/>
              </w:rPr>
              <w:t>Tiempo Fit (s)</w:t>
            </w:r>
          </w:p>
        </w:tc>
      </w:tr>
      <w:tr>
        <w:trPr>
          <w:cantSplit/>
        </w:trPr>
        <w:tc>
          <w:tcPr>
            <w:tcW w:type="dxa" w:w="2592"/>
            <w:vAlign w:val="center"/>
            <w:tcMar>
              <w:top w:w="100" w:type="dxa"/>
              <w:bottom w:w="100" w:type="dxa"/>
              <w:left w:w="130" w:type="dxa"/>
              <w:right w:w="130" w:type="dxa"/>
            </w:tcMar>
            <w:shd w:fill="F7F9FB"/>
          </w:tcPr>
          <w:p>
            <w:r>
              <w:rPr>
                <w:color w:val="222222"/>
                <w:sz w:val="17"/>
              </w:rPr>
              <w:t>Random Forest</w:t>
            </w:r>
          </w:p>
        </w:tc>
        <w:tc>
          <w:tcPr>
            <w:tcW w:type="dxa" w:w="1440"/>
            <w:vAlign w:val="center"/>
            <w:tcMar>
              <w:top w:w="100" w:type="dxa"/>
              <w:bottom w:w="100" w:type="dxa"/>
              <w:left w:w="130" w:type="dxa"/>
              <w:right w:w="130" w:type="dxa"/>
            </w:tcMar>
            <w:shd w:fill="F7F9FB"/>
          </w:tcPr>
          <w:p>
            <w:r>
              <w:rPr>
                <w:color w:val="222222"/>
                <w:sz w:val="17"/>
              </w:rPr>
              <w:t>0.9628</w:t>
            </w:r>
          </w:p>
        </w:tc>
        <w:tc>
          <w:tcPr>
            <w:tcW w:type="dxa" w:w="1440"/>
            <w:vAlign w:val="center"/>
            <w:tcMar>
              <w:top w:w="100" w:type="dxa"/>
              <w:bottom w:w="100" w:type="dxa"/>
              <w:left w:w="130" w:type="dxa"/>
              <w:right w:w="130" w:type="dxa"/>
            </w:tcMar>
            <w:shd w:fill="F7F9FB"/>
          </w:tcPr>
          <w:p>
            <w:r>
              <w:rPr>
                <w:color w:val="222222"/>
                <w:sz w:val="17"/>
              </w:rPr>
              <w:t>0.9891</w:t>
            </w:r>
          </w:p>
        </w:tc>
        <w:tc>
          <w:tcPr>
            <w:tcW w:type="dxa" w:w="1440"/>
            <w:vAlign w:val="center"/>
            <w:tcMar>
              <w:top w:w="100" w:type="dxa"/>
              <w:bottom w:w="100" w:type="dxa"/>
              <w:left w:w="130" w:type="dxa"/>
              <w:right w:w="130" w:type="dxa"/>
            </w:tcMar>
            <w:shd w:fill="F7F9FB"/>
          </w:tcPr>
          <w:p>
            <w:r>
              <w:rPr>
                <w:color w:val="222222"/>
                <w:sz w:val="17"/>
              </w:rPr>
              <w:t>0.9474</w:t>
            </w:r>
          </w:p>
        </w:tc>
        <w:tc>
          <w:tcPr>
            <w:tcW w:type="dxa" w:w="1440"/>
            <w:vAlign w:val="center"/>
            <w:tcMar>
              <w:top w:w="100" w:type="dxa"/>
              <w:bottom w:w="100" w:type="dxa"/>
              <w:left w:w="130" w:type="dxa"/>
              <w:right w:w="130" w:type="dxa"/>
            </w:tcMar>
            <w:shd w:fill="F7F9FB"/>
          </w:tcPr>
          <w:p>
            <w:r>
              <w:rPr>
                <w:color w:val="222222"/>
                <w:sz w:val="17"/>
              </w:rPr>
              <w:t>0.9937</w:t>
            </w:r>
          </w:p>
        </w:tc>
        <w:tc>
          <w:tcPr>
            <w:tcW w:type="dxa" w:w="1440"/>
            <w:vAlign w:val="center"/>
            <w:tcMar>
              <w:top w:w="100" w:type="dxa"/>
              <w:bottom w:w="100" w:type="dxa"/>
              <w:left w:w="130" w:type="dxa"/>
              <w:right w:w="130" w:type="dxa"/>
            </w:tcMar>
            <w:shd w:fill="F7F9FB"/>
          </w:tcPr>
          <w:p>
            <w:r>
              <w:rPr>
                <w:color w:val="222222"/>
                <w:sz w:val="17"/>
              </w:rPr>
              <w:t>0.518</w:t>
            </w:r>
          </w:p>
        </w:tc>
      </w:tr>
      <w:tr>
        <w:trPr>
          <w:cantSplit/>
        </w:trPr>
        <w:tc>
          <w:tcPr>
            <w:tcW w:type="dxa" w:w="2592"/>
            <w:vAlign w:val="center"/>
            <w:tcMar>
              <w:top w:w="100" w:type="dxa"/>
              <w:bottom w:w="100" w:type="dxa"/>
              <w:left w:w="130" w:type="dxa"/>
              <w:right w:w="130" w:type="dxa"/>
            </w:tcMar>
            <w:shd w:fill="FFFFFF"/>
          </w:tcPr>
          <w:p>
            <w:r>
              <w:rPr>
                <w:color w:val="222222"/>
                <w:sz w:val="17"/>
              </w:rPr>
              <w:t>XGBoost</w:t>
            </w:r>
          </w:p>
        </w:tc>
        <w:tc>
          <w:tcPr>
            <w:tcW w:type="dxa" w:w="1440"/>
            <w:vAlign w:val="center"/>
            <w:tcMar>
              <w:top w:w="100" w:type="dxa"/>
              <w:bottom w:w="100" w:type="dxa"/>
              <w:left w:w="130" w:type="dxa"/>
              <w:right w:w="130" w:type="dxa"/>
            </w:tcMar>
            <w:shd w:fill="FFFFFF"/>
          </w:tcPr>
          <w:p>
            <w:r>
              <w:rPr>
                <w:color w:val="222222"/>
                <w:sz w:val="17"/>
              </w:rPr>
              <w:t>0.9714</w:t>
            </w:r>
          </w:p>
        </w:tc>
        <w:tc>
          <w:tcPr>
            <w:tcW w:type="dxa" w:w="1440"/>
            <w:vAlign w:val="center"/>
            <w:tcMar>
              <w:top w:w="100" w:type="dxa"/>
              <w:bottom w:w="100" w:type="dxa"/>
              <w:left w:w="130" w:type="dxa"/>
              <w:right w:w="130" w:type="dxa"/>
            </w:tcMar>
            <w:shd w:fill="FFFFFF"/>
          </w:tcPr>
          <w:p>
            <w:r>
              <w:rPr>
                <w:color w:val="222222"/>
                <w:sz w:val="17"/>
              </w:rPr>
              <w:t>0.9939</w:t>
            </w:r>
          </w:p>
        </w:tc>
        <w:tc>
          <w:tcPr>
            <w:tcW w:type="dxa" w:w="1440"/>
            <w:vAlign w:val="center"/>
            <w:tcMar>
              <w:top w:w="100" w:type="dxa"/>
              <w:bottom w:w="100" w:type="dxa"/>
              <w:left w:w="130" w:type="dxa"/>
              <w:right w:w="130" w:type="dxa"/>
            </w:tcMar>
            <w:shd w:fill="FFFFFF"/>
          </w:tcPr>
          <w:p>
            <w:r>
              <w:rPr>
                <w:color w:val="222222"/>
                <w:sz w:val="17"/>
              </w:rPr>
              <w:t>0.9561</w:t>
            </w:r>
          </w:p>
        </w:tc>
        <w:tc>
          <w:tcPr>
            <w:tcW w:type="dxa" w:w="1440"/>
            <w:vAlign w:val="center"/>
            <w:tcMar>
              <w:top w:w="100" w:type="dxa"/>
              <w:bottom w:w="100" w:type="dxa"/>
              <w:left w:w="130" w:type="dxa"/>
              <w:right w:w="130" w:type="dxa"/>
            </w:tcMar>
            <w:shd w:fill="FFFFFF"/>
          </w:tcPr>
          <w:p>
            <w:r>
              <w:rPr>
                <w:color w:val="222222"/>
                <w:sz w:val="17"/>
              </w:rPr>
              <w:t>0.9947</w:t>
            </w:r>
          </w:p>
        </w:tc>
        <w:tc>
          <w:tcPr>
            <w:tcW w:type="dxa" w:w="1440"/>
            <w:vAlign w:val="center"/>
            <w:tcMar>
              <w:top w:w="100" w:type="dxa"/>
              <w:bottom w:w="100" w:type="dxa"/>
              <w:left w:w="130" w:type="dxa"/>
              <w:right w:w="130" w:type="dxa"/>
            </w:tcMar>
            <w:shd w:fill="FFFFFF"/>
          </w:tcPr>
          <w:p>
            <w:r>
              <w:rPr>
                <w:color w:val="222222"/>
                <w:sz w:val="17"/>
              </w:rPr>
              <w:t>0.221</w:t>
            </w:r>
          </w:p>
        </w:tc>
      </w:tr>
    </w:tbl>
    <w:p>
      <w:pPr>
        <w:pStyle w:val="Heading2"/>
      </w:pPr>
      <w:r>
        <w:t>Respuesta Justificada: ¿Cuál es mejor en el Ítem 5?</w:t>
      </w:r>
    </w:p>
    <w:p>
      <w:r>
        <w:t>En un balance integral que evalúa capacidad de generalización probabilística, calidad de calibración y eficiencia computacional, XGBoost es el mejor modelo, especialmente en entornos de producción y despliegue real:</w:t>
      </w:r>
    </w:p>
    <w:p>
      <w:r>
        <w:t>1. Mayor Eficacia y Calibración: En el dataset de diabetes, XGBoost alcanza un ROC-AUC de prueba de 0.8209 frente a 0.8035 de Random Forest y logra el menor Log-Loss (0.4914 vs. 0.5126), evidenciando probabilidades mejor calibradas. En breast_cancer, XGBoost supera a Random Forest tanto en exactitud de prueba (97.37% vs 95.61%) como en ROC-AUC (0.9947 vs 0.9921).</w:t>
        <w:br/>
        <w:t>2. Velocidad de Inferencia Sobresaliente: La latencia de inferencia de XGBoost optimizado es de solo 0.041 ms por muestra, siendo aproximadamente 23 veces más rápido que Random Forest (0.950 ms por muestra). Esto se debe a que XGBoost emplea árboles podados de baja profundidad (max_depth=3) mientras que Random Forest evalúa 300 árboles profundos.</w:t>
        <w:br/>
        <w:t>3. Eficiencia de Entrenamiento y Faltantes: El tiempo de ajuste de XGBoost optimizado fue de 0.17 s frente a 1.54 s de Random Forest (~9x más veloz), incorporando además soporte nativo para valores faltantes (aprende la dirección de ramificación óptima por defecto para NaN).</w:t>
      </w:r>
    </w:p>
    <w:p>
      <w:r>
        <w:t>Matiz Práctico: Random Forest conserva una ventaja notable en facilidad de uso (out-of-the-box): con su configuración base por defecto es prácticamente inmune al sobreajuste catastrófico y no requiere sintonizar tasas de aprendizaje ni regularizadores. Sin embargo, cuando se dispone de ajuste sistemático, XGBoost maximiza el rendimiento y minimiza el coste computacional.</w:t>
      </w:r>
    </w:p>
    <w:p>
      <w:pPr>
        <w:pStyle w:val="Heading1"/>
      </w:pPr>
      <w:r>
        <w:t>9. Respuestas Consolidadas a las Preguntas de la Tarea</w:t>
      </w:r>
    </w:p>
    <w:p>
      <w:r>
        <w:t>A continuación se presenta la síntesis ejecutiva que responde puntualmente a cada una de las interrogantes planteadas en la guía de la tarea:</w:t>
      </w:r>
    </w:p>
    <w:tbl>
      <w:tblPr>
        <w:tblW w:type="auto" w:w="0"/>
        <w:jc w:val="center"/>
        <w:tblLook w:firstColumn="1" w:firstRow="1" w:lastColumn="0" w:lastRow="0" w:noHBand="0" w:noVBand="1" w:val="04A0"/>
      </w:tblPr>
      <w:tblGrid>
        <w:gridCol w:w="2376"/>
        <w:gridCol w:w="2376"/>
        <w:gridCol w:w="2376"/>
        <w:gridCol w:w="2376"/>
      </w:tblGrid>
      <w:tr>
        <w:trPr>
          <w:cantSplit/>
          <w:tblHeader/>
        </w:trPr>
        <w:tc>
          <w:tcPr>
            <w:tcW w:type="dxa" w:w="1152"/>
            <w:vAlign w:val="center"/>
            <w:tcMar>
              <w:top w:w="100" w:type="dxa"/>
              <w:bottom w:w="100" w:type="dxa"/>
              <w:left w:w="130" w:type="dxa"/>
              <w:right w:w="130" w:type="dxa"/>
            </w:tcMar>
            <w:shd w:fill="1B365D"/>
          </w:tcPr>
          <w:p>
            <w:pPr>
              <w:jc w:val="center"/>
            </w:pPr>
            <w:r>
              <w:rPr>
                <w:b/>
                <w:color w:val="FFFFFF"/>
                <w:sz w:val="17"/>
              </w:rPr>
              <w:t>Ítem</w:t>
            </w:r>
          </w:p>
        </w:tc>
        <w:tc>
          <w:tcPr>
            <w:tcW w:type="dxa" w:w="2592"/>
            <w:vAlign w:val="center"/>
            <w:tcMar>
              <w:top w:w="100" w:type="dxa"/>
              <w:bottom w:w="100" w:type="dxa"/>
              <w:left w:w="130" w:type="dxa"/>
              <w:right w:w="130" w:type="dxa"/>
            </w:tcMar>
            <w:shd w:fill="1B365D"/>
          </w:tcPr>
          <w:p>
            <w:pPr>
              <w:jc w:val="center"/>
            </w:pPr>
            <w:r>
              <w:rPr>
                <w:b/>
                <w:color w:val="FFFFFF"/>
                <w:sz w:val="17"/>
              </w:rPr>
              <w:t>Modelos Comparados</w:t>
            </w:r>
          </w:p>
        </w:tc>
        <w:tc>
          <w:tcPr>
            <w:tcW w:type="dxa" w:w="2160"/>
            <w:vAlign w:val="center"/>
            <w:tcMar>
              <w:top w:w="100" w:type="dxa"/>
              <w:bottom w:w="100" w:type="dxa"/>
              <w:left w:w="130" w:type="dxa"/>
              <w:right w:w="130" w:type="dxa"/>
            </w:tcMar>
            <w:shd w:fill="1B365D"/>
          </w:tcPr>
          <w:p>
            <w:pPr>
              <w:jc w:val="center"/>
            </w:pPr>
            <w:r>
              <w:rPr>
                <w:b/>
                <w:color w:val="FFFFFF"/>
                <w:sz w:val="17"/>
              </w:rPr>
              <w:t>Modelo Ganador</w:t>
            </w:r>
          </w:p>
        </w:tc>
        <w:tc>
          <w:tcPr>
            <w:tcW w:type="dxa" w:w="3888"/>
            <w:vAlign w:val="center"/>
            <w:tcMar>
              <w:top w:w="100" w:type="dxa"/>
              <w:bottom w:w="100" w:type="dxa"/>
              <w:left w:w="130" w:type="dxa"/>
              <w:right w:w="130" w:type="dxa"/>
            </w:tcMar>
            <w:shd w:fill="1B365D"/>
          </w:tcPr>
          <w:p>
            <w:pPr>
              <w:jc w:val="center"/>
            </w:pPr>
            <w:r>
              <w:rPr>
                <w:b/>
                <w:color w:val="FFFFFF"/>
                <w:sz w:val="17"/>
              </w:rPr>
              <w:t>Justificación Científica / Métrica Clave</w:t>
            </w:r>
          </w:p>
        </w:tc>
      </w:tr>
      <w:tr>
        <w:trPr>
          <w:cantSplit/>
        </w:trPr>
        <w:tc>
          <w:tcPr>
            <w:tcW w:type="dxa" w:w="1152"/>
            <w:vAlign w:val="center"/>
            <w:tcMar>
              <w:top w:w="100" w:type="dxa"/>
              <w:bottom w:w="100" w:type="dxa"/>
              <w:left w:w="130" w:type="dxa"/>
              <w:right w:w="130" w:type="dxa"/>
            </w:tcMar>
            <w:shd w:fill="F7F9FB"/>
          </w:tcPr>
          <w:p>
            <w:r>
              <w:rPr>
                <w:color w:val="222222"/>
                <w:sz w:val="17"/>
              </w:rPr>
              <w:t>Ítem 1</w:t>
            </w:r>
          </w:p>
        </w:tc>
        <w:tc>
          <w:tcPr>
            <w:tcW w:type="dxa" w:w="2592"/>
            <w:vAlign w:val="center"/>
            <w:tcMar>
              <w:top w:w="100" w:type="dxa"/>
              <w:bottom w:w="100" w:type="dxa"/>
              <w:left w:w="130" w:type="dxa"/>
              <w:right w:w="130" w:type="dxa"/>
            </w:tcMar>
            <w:shd w:fill="F7F9FB"/>
          </w:tcPr>
          <w:p>
            <w:r>
              <w:rPr>
                <w:color w:val="222222"/>
                <w:sz w:val="17"/>
              </w:rPr>
              <w:t>CART Gini vs. CART Entropía vs. Regresión Logística</w:t>
            </w:r>
          </w:p>
        </w:tc>
        <w:tc>
          <w:tcPr>
            <w:tcW w:type="dxa" w:w="2160"/>
            <w:vAlign w:val="center"/>
            <w:tcMar>
              <w:top w:w="100" w:type="dxa"/>
              <w:bottom w:w="100" w:type="dxa"/>
              <w:left w:w="130" w:type="dxa"/>
              <w:right w:w="130" w:type="dxa"/>
            </w:tcMar>
            <w:shd w:fill="F7F9FB"/>
          </w:tcPr>
          <w:p>
            <w:r>
              <w:rPr>
                <w:color w:val="222222"/>
                <w:sz w:val="17"/>
              </w:rPr>
              <w:t>Regresión Logística</w:t>
            </w:r>
          </w:p>
        </w:tc>
        <w:tc>
          <w:tcPr>
            <w:tcW w:type="dxa" w:w="3888"/>
            <w:vAlign w:val="center"/>
            <w:tcMar>
              <w:top w:w="100" w:type="dxa"/>
              <w:bottom w:w="100" w:type="dxa"/>
              <w:left w:w="130" w:type="dxa"/>
              <w:right w:w="130" w:type="dxa"/>
            </w:tcMar>
            <w:shd w:fill="F7F9FB"/>
          </w:tcPr>
          <w:p>
            <w:r>
              <w:rPr>
                <w:color w:val="222222"/>
                <w:sz w:val="17"/>
              </w:rPr>
              <w:t>CV Acc: 98.24% vs. 93.62% (Gini). ROC-AUC: 0.9954 vs. 0.9263. Fronteras lineales suaves ideales para 30 variables continuas correlacionadas.</w:t>
            </w:r>
          </w:p>
        </w:tc>
      </w:tr>
      <w:tr>
        <w:trPr>
          <w:cantSplit/>
        </w:trPr>
        <w:tc>
          <w:tcPr>
            <w:tcW w:type="dxa" w:w="1152"/>
            <w:vAlign w:val="center"/>
            <w:tcMar>
              <w:top w:w="100" w:type="dxa"/>
              <w:bottom w:w="100" w:type="dxa"/>
              <w:left w:w="130" w:type="dxa"/>
              <w:right w:w="130" w:type="dxa"/>
            </w:tcMar>
            <w:shd w:fill="FFFFFF"/>
          </w:tcPr>
          <w:p>
            <w:r>
              <w:rPr>
                <w:color w:val="222222"/>
                <w:sz w:val="17"/>
              </w:rPr>
              <w:t>Ítem 2</w:t>
            </w:r>
          </w:p>
        </w:tc>
        <w:tc>
          <w:tcPr>
            <w:tcW w:type="dxa" w:w="2592"/>
            <w:vAlign w:val="center"/>
            <w:tcMar>
              <w:top w:w="100" w:type="dxa"/>
              <w:bottom w:w="100" w:type="dxa"/>
              <w:left w:w="130" w:type="dxa"/>
              <w:right w:w="130" w:type="dxa"/>
            </w:tcMar>
            <w:shd w:fill="FFFFFF"/>
          </w:tcPr>
          <w:p>
            <w:r>
              <w:rPr>
                <w:color w:val="222222"/>
                <w:sz w:val="17"/>
              </w:rPr>
              <w:t>CART (varios hiperparámetros) vs. Regresión Lineal</w:t>
            </w:r>
          </w:p>
        </w:tc>
        <w:tc>
          <w:tcPr>
            <w:tcW w:type="dxa" w:w="2160"/>
            <w:vAlign w:val="center"/>
            <w:tcMar>
              <w:top w:w="100" w:type="dxa"/>
              <w:bottom w:w="100" w:type="dxa"/>
              <w:left w:w="130" w:type="dxa"/>
              <w:right w:w="130" w:type="dxa"/>
            </w:tcMar>
            <w:shd w:fill="FFFFFF"/>
          </w:tcPr>
          <w:p>
            <w:r>
              <w:rPr>
                <w:color w:val="222222"/>
                <w:sz w:val="17"/>
              </w:rPr>
              <w:t>CART-3 (depth=5, leaf=5) / CART-5 (GridSearch)</w:t>
            </w:r>
          </w:p>
        </w:tc>
        <w:tc>
          <w:tcPr>
            <w:tcW w:type="dxa" w:w="3888"/>
            <w:vAlign w:val="center"/>
            <w:tcMar>
              <w:top w:w="100" w:type="dxa"/>
              <w:bottom w:w="100" w:type="dxa"/>
              <w:left w:w="130" w:type="dxa"/>
              <w:right w:w="130" w:type="dxa"/>
            </w:tcMar>
            <w:shd w:fill="FFFFFF"/>
          </w:tcPr>
          <w:p>
            <w:r>
              <w:rPr>
                <w:color w:val="222222"/>
                <w:sz w:val="17"/>
              </w:rPr>
              <w:t>RMSE Test: 2.71 mpg vs. 2.89 mpg (Lineal). R²: 0.864 vs. 0.845. El árbol podado captura relaciones no lineales sin sobreajustar.</w:t>
            </w:r>
          </w:p>
        </w:tc>
      </w:tr>
      <w:tr>
        <w:trPr>
          <w:cantSplit/>
        </w:trPr>
        <w:tc>
          <w:tcPr>
            <w:tcW w:type="dxa" w:w="1152"/>
            <w:vAlign w:val="center"/>
            <w:tcMar>
              <w:top w:w="100" w:type="dxa"/>
              <w:bottom w:w="100" w:type="dxa"/>
              <w:left w:w="130" w:type="dxa"/>
              <w:right w:w="130" w:type="dxa"/>
            </w:tcMar>
            <w:shd w:fill="F7F9FB"/>
          </w:tcPr>
          <w:p>
            <w:r>
              <w:rPr>
                <w:color w:val="222222"/>
                <w:sz w:val="17"/>
              </w:rPr>
              <w:t>Ítem 3</w:t>
            </w:r>
          </w:p>
        </w:tc>
        <w:tc>
          <w:tcPr>
            <w:tcW w:type="dxa" w:w="2592"/>
            <w:vAlign w:val="center"/>
            <w:tcMar>
              <w:top w:w="100" w:type="dxa"/>
              <w:bottom w:w="100" w:type="dxa"/>
              <w:left w:w="130" w:type="dxa"/>
              <w:right w:w="130" w:type="dxa"/>
            </w:tcMar>
            <w:shd w:fill="F7F9FB"/>
          </w:tcPr>
          <w:p>
            <w:r>
              <w:rPr>
                <w:color w:val="222222"/>
                <w:sz w:val="17"/>
              </w:rPr>
              <w:t>VotingClassifier (Hard / Soft) vs. Modelos Individuales</w:t>
            </w:r>
          </w:p>
        </w:tc>
        <w:tc>
          <w:tcPr>
            <w:tcW w:type="dxa" w:w="2160"/>
            <w:vAlign w:val="center"/>
            <w:tcMar>
              <w:top w:w="100" w:type="dxa"/>
              <w:bottom w:w="100" w:type="dxa"/>
              <w:left w:w="130" w:type="dxa"/>
              <w:right w:w="130" w:type="dxa"/>
            </w:tcMar>
            <w:shd w:fill="F7F9FB"/>
          </w:tcPr>
          <w:p>
            <w:r>
              <w:rPr>
                <w:color w:val="222222"/>
                <w:sz w:val="17"/>
              </w:rPr>
              <w:t>VotingClassifier (Soft)</w:t>
            </w:r>
          </w:p>
        </w:tc>
        <w:tc>
          <w:tcPr>
            <w:tcW w:type="dxa" w:w="3888"/>
            <w:vAlign w:val="center"/>
            <w:tcMar>
              <w:top w:w="100" w:type="dxa"/>
              <w:bottom w:w="100" w:type="dxa"/>
              <w:left w:w="130" w:type="dxa"/>
              <w:right w:w="130" w:type="dxa"/>
            </w:tcMar>
            <w:shd w:fill="F7F9FB"/>
          </w:tcPr>
          <w:p>
            <w:r>
              <w:rPr>
                <w:color w:val="222222"/>
                <w:sz w:val="17"/>
              </w:rPr>
              <w:t>Test Acc: 73.38%, Precisión: 67.57%, ROC-AUC: 0.8154, menor std CV (0.038). Compensa errores poco correlacionados entre LR, KNN y Árbol.</w:t>
            </w:r>
          </w:p>
        </w:tc>
      </w:tr>
      <w:tr>
        <w:trPr>
          <w:cantSplit/>
        </w:trPr>
        <w:tc>
          <w:tcPr>
            <w:tcW w:type="dxa" w:w="1152"/>
            <w:vAlign w:val="center"/>
            <w:tcMar>
              <w:top w:w="100" w:type="dxa"/>
              <w:bottom w:w="100" w:type="dxa"/>
              <w:left w:w="130" w:type="dxa"/>
              <w:right w:w="130" w:type="dxa"/>
            </w:tcMar>
            <w:shd w:fill="FFFFFF"/>
          </w:tcPr>
          <w:p>
            <w:r>
              <w:rPr>
                <w:color w:val="222222"/>
                <w:sz w:val="17"/>
              </w:rPr>
              <w:t>Ítem 4</w:t>
            </w:r>
          </w:p>
        </w:tc>
        <w:tc>
          <w:tcPr>
            <w:tcW w:type="dxa" w:w="2592"/>
            <w:vAlign w:val="center"/>
            <w:tcMar>
              <w:top w:w="100" w:type="dxa"/>
              <w:bottom w:w="100" w:type="dxa"/>
              <w:left w:w="130" w:type="dxa"/>
              <w:right w:w="130" w:type="dxa"/>
            </w:tcMar>
            <w:shd w:fill="FFFFFF"/>
          </w:tcPr>
          <w:p>
            <w:r>
              <w:rPr>
                <w:color w:val="222222"/>
                <w:sz w:val="17"/>
              </w:rPr>
              <w:t>BaggingClassifier (con OOB) vs. Árbol Individual</w:t>
            </w:r>
          </w:p>
        </w:tc>
        <w:tc>
          <w:tcPr>
            <w:tcW w:type="dxa" w:w="2160"/>
            <w:vAlign w:val="center"/>
            <w:tcMar>
              <w:top w:w="100" w:type="dxa"/>
              <w:bottom w:w="100" w:type="dxa"/>
              <w:left w:w="130" w:type="dxa"/>
              <w:right w:w="130" w:type="dxa"/>
            </w:tcMar>
            <w:shd w:fill="FFFFFF"/>
          </w:tcPr>
          <w:p>
            <w:r>
              <w:rPr>
                <w:color w:val="222222"/>
                <w:sz w:val="17"/>
              </w:rPr>
              <w:t>Bagging (300 árboles base)</w:t>
            </w:r>
          </w:p>
        </w:tc>
        <w:tc>
          <w:tcPr>
            <w:tcW w:type="dxa" w:w="3888"/>
            <w:vAlign w:val="center"/>
            <w:tcMar>
              <w:top w:w="100" w:type="dxa"/>
              <w:bottom w:w="100" w:type="dxa"/>
              <w:left w:w="130" w:type="dxa"/>
              <w:right w:w="130" w:type="dxa"/>
            </w:tcMar>
            <w:shd w:fill="FFFFFF"/>
          </w:tcPr>
          <w:p>
            <w:r>
              <w:rPr>
                <w:color w:val="222222"/>
                <w:sz w:val="17"/>
              </w:rPr>
              <w:t>CV Acc: 96.27% vs. 92.53%. ROC-AUC: 0.9931 vs. 0.9157. OOB (96.48%) valida el test. Reduce drásticamente la varianza en 26 de 30 particiones.</w:t>
            </w:r>
          </w:p>
        </w:tc>
      </w:tr>
      <w:tr>
        <w:trPr>
          <w:cantSplit/>
        </w:trPr>
        <w:tc>
          <w:tcPr>
            <w:tcW w:type="dxa" w:w="1152"/>
            <w:vAlign w:val="center"/>
            <w:tcMar>
              <w:top w:w="100" w:type="dxa"/>
              <w:bottom w:w="100" w:type="dxa"/>
              <w:left w:w="130" w:type="dxa"/>
              <w:right w:w="130" w:type="dxa"/>
            </w:tcMar>
            <w:shd w:fill="F7F9FB"/>
          </w:tcPr>
          <w:p>
            <w:r>
              <w:rPr>
                <w:color w:val="222222"/>
                <w:sz w:val="17"/>
              </w:rPr>
              <w:t>Ítem 5</w:t>
            </w:r>
          </w:p>
        </w:tc>
        <w:tc>
          <w:tcPr>
            <w:tcW w:type="dxa" w:w="2592"/>
            <w:vAlign w:val="center"/>
            <w:tcMar>
              <w:top w:w="100" w:type="dxa"/>
              <w:bottom w:w="100" w:type="dxa"/>
              <w:left w:w="130" w:type="dxa"/>
              <w:right w:w="130" w:type="dxa"/>
            </w:tcMar>
            <w:shd w:fill="F7F9FB"/>
          </w:tcPr>
          <w:p>
            <w:r>
              <w:rPr>
                <w:color w:val="222222"/>
                <w:sz w:val="17"/>
              </w:rPr>
              <w:t>RandomForest vs. XGBoost</w:t>
            </w:r>
          </w:p>
        </w:tc>
        <w:tc>
          <w:tcPr>
            <w:tcW w:type="dxa" w:w="2160"/>
            <w:vAlign w:val="center"/>
            <w:tcMar>
              <w:top w:w="100" w:type="dxa"/>
              <w:bottom w:w="100" w:type="dxa"/>
              <w:left w:w="130" w:type="dxa"/>
              <w:right w:w="130" w:type="dxa"/>
            </w:tcMar>
            <w:shd w:fill="F7F9FB"/>
          </w:tcPr>
          <w:p>
            <w:r>
              <w:rPr>
                <w:color w:val="222222"/>
                <w:sz w:val="17"/>
              </w:rPr>
              <w:t>XGBoost (Optimizado)</w:t>
            </w:r>
          </w:p>
        </w:tc>
        <w:tc>
          <w:tcPr>
            <w:tcW w:type="dxa" w:w="3888"/>
            <w:vAlign w:val="center"/>
            <w:tcMar>
              <w:top w:w="100" w:type="dxa"/>
              <w:bottom w:w="100" w:type="dxa"/>
              <w:left w:w="130" w:type="dxa"/>
              <w:right w:w="130" w:type="dxa"/>
            </w:tcMar>
            <w:shd w:fill="F7F9FB"/>
          </w:tcPr>
          <w:p>
            <w:r>
              <w:rPr>
                <w:color w:val="222222"/>
                <w:sz w:val="17"/>
              </w:rPr>
              <w:t>Mayor ROC-AUC (0.8209 vs 0.8035), menor Log-Loss (0.4914 vs 0.5126), inferencia 23x más rápida (0.04 ms/muestra) y menor tiempo de ajuste.</w:t>
            </w:r>
          </w:p>
        </w:tc>
      </w:tr>
    </w:tbl>
    <w:p>
      <w:pPr>
        <w:pStyle w:val="Heading1"/>
      </w:pPr>
      <w:r>
        <w:t>10. Conclusiones Generales</w:t>
      </w:r>
    </w:p>
    <w:p>
      <w:r>
        <w:t>1. Los árboles de decisión CART son herramientas sumamente interpretables y no requieren escalamiento previo de variables, pero sufre de alta varianza intrínseca cuando crecen sin restricciones. La poda mediante hiperparámetros (max_depth, min_samples_leaf) es indispensable para evitar la memorización de ruido muestral.</w:t>
        <w:br/>
        <w:t>2. No existe un modelo universalmente superior (teorema No Free Lunch): en espacios de variables continuas de alta correlación lineal (breast_cancer), la Regresión Logística supera a los árboles individuales; mientras que en relaciones fuertemente no lineales (auto_mpg), los árboles podados superan a la regresión lineal tradicional.</w:t>
        <w:br/>
        <w:t>3. Los ensambles heterogéneos (VotingClassifier) son eficaces cuando los modelos base poseen sesgos inductivos disímiles y errores poco correlacionados, logrando una frontera de decisión más suave y una menor varianza entre pliegues de validación.</w:t>
        <w:br/>
        <w:t>4. Bagging mitiga el talón de Aquiles de los árboles (su inestabilidad estocástica) promediando estimadores sobre muestras bootstrap. Se demostró analítica y experimentalmente que la fracción OOB (~36.8%) permite evaluar el error de generalización de manera rigurosa y sin coste adicional.</w:t>
        <w:br/>
        <w:t>5. En el duelo entre familias de ensamble avanzado, Random Forest ofrece máxima robustez frente a configuraciones por defecto, mientras que XGBoost optimizado alcanza la mayor capacidad predictiva y una eficiencia computacional notablemente superior (inferencia ultrarrápida con árboles compactos).</w:t>
      </w:r>
    </w:p>
    <w:p>
      <w:pPr>
        <w:pStyle w:val="Heading1"/>
      </w:pPr>
      <w:r>
        <w:t>11. Referencias Bibliográficas</w:t>
      </w:r>
    </w:p>
    <w:p>
      <w:pPr>
        <w:ind w:left="432" w:hanging="432"/>
      </w:pPr>
      <w:r>
        <w:rPr>
          <w:sz w:val="18"/>
        </w:rPr>
        <w:t>Breiman, L., Friedman, J., Stone, C. J., &amp; Olshen, R. A. (1984). Classification and Regression Trees. Chapman and Hall/CRC.</w:t>
      </w:r>
    </w:p>
    <w:p>
      <w:pPr>
        <w:ind w:left="432" w:hanging="432"/>
      </w:pPr>
      <w:r>
        <w:rPr>
          <w:sz w:val="18"/>
        </w:rPr>
        <w:t>Breiman, L. (1996). Bagging predictors. Machine Learning, 24(2), 123-140.</w:t>
      </w:r>
    </w:p>
    <w:p>
      <w:pPr>
        <w:ind w:left="432" w:hanging="432"/>
      </w:pPr>
      <w:r>
        <w:rPr>
          <w:sz w:val="18"/>
        </w:rPr>
        <w:t>Breiman, L. (2001). Random Forests. Machine Learning, 45(1), 5-32.</w:t>
      </w:r>
    </w:p>
    <w:p>
      <w:pPr>
        <w:ind w:left="432" w:hanging="432"/>
      </w:pPr>
      <w:r>
        <w:rPr>
          <w:sz w:val="18"/>
        </w:rPr>
        <w:t>Chen, T., &amp; Guestrin, C. (2016). XGBoost: A scalable tree boosting system. In Proceedings of the 22nd ACM SIGKDD International Conference on Knowledge Discovery and Data Mining (pp. 785-794).</w:t>
      </w:r>
    </w:p>
    <w:p>
      <w:pPr>
        <w:ind w:left="432" w:hanging="432"/>
      </w:pPr>
      <w:r>
        <w:rPr>
          <w:sz w:val="18"/>
        </w:rPr>
        <w:t>Hastie, T., Tibshirani, R., &amp; Friedman, J. (2009). The Elements of Statistical Learning: Data Mining, Inference, and Prediction. Springer Science &amp; Business Media.</w:t>
      </w:r>
    </w:p>
    <w:p>
      <w:pPr>
        <w:ind w:left="432" w:hanging="432"/>
      </w:pPr>
      <w:r>
        <w:rPr>
          <w:sz w:val="18"/>
        </w:rPr>
        <w:t>Kawerk, E. (2019). Machine Learning with Tree-Based Models in Python. DataCamp. Adaptado por Mayenka Fernández Chambi para el curso de Aprendizaje de Máquina, Universidad Nacional del Altiplano.</w:t>
      </w:r>
    </w:p>
    <w:p>
      <w:pPr>
        <w:ind w:left="432" w:hanging="432"/>
      </w:pPr>
      <w:r>
        <w:rPr>
          <w:sz w:val="18"/>
        </w:rPr>
        <w:t>Pedregosa, F., et al. (2011). Scikit-learn: Machine learning in Python. Journal of Machine Learning Research, 12, 2825-2830.</w:t>
      </w:r>
    </w:p>
    <w:sectPr w:rsidR="00FC693F" w:rsidRPr="0006063C" w:rsidSect="00034616">
      <w:pgSz w:w="12240" w:h="15840"/>
      <w:pgMar w:top="1368" w:right="1368" w:bottom="136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Liberation Sans" w:hAnsi="Liberation San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