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00" w:after="40"/>
        <w:jc w:val="center"/>
        <w:rPr/>
      </w:pPr>
      <w:r>
        <w:rPr>
          <w:b/>
          <w:color w:val="1B365D"/>
          <w:sz w:val="30"/>
        </w:rPr>
        <w:t>UNIVERSIDAD NACIONAL DEL ALTIPLANO</w:t>
      </w:r>
    </w:p>
    <w:p>
      <w:pPr>
        <w:pStyle w:val="Normal"/>
        <w:spacing w:before="0" w:after="40"/>
        <w:jc w:val="center"/>
        <w:rPr/>
      </w:pPr>
      <w:r>
        <w:rPr>
          <w:b/>
          <w:color w:val="2C3E50"/>
          <w:sz w:val="24"/>
        </w:rPr>
        <w:t>FACULTAD DE INGENIERÍA MECÁNICA ELÉCTRICA, ELECTRÓNICA Y SISTEMAS</w:t>
      </w:r>
    </w:p>
    <w:p>
      <w:pPr>
        <w:pStyle w:val="Normal"/>
        <w:spacing w:before="0" w:after="360"/>
        <w:jc w:val="center"/>
        <w:rPr/>
      </w:pPr>
      <w:r>
        <w:rPr>
          <w:b/>
          <w:color w:val="2C3E50"/>
          <w:sz w:val="24"/>
        </w:rPr>
        <w:t>ESCUELA PROFESIONAL DE INGENIERÍA DE SISTEMAS</w:t>
      </w:r>
    </w:p>
    <w:p>
      <w:pPr>
        <w:pStyle w:val="Normal"/>
        <w:spacing w:before="0" w:after="440"/>
        <w:jc w:val="center"/>
        <w:rPr/>
      </w:pPr>
      <w:r>
        <w:rPr/>
        <w:drawing>
          <wp:inline distT="0" distB="0" distL="0" distR="0">
            <wp:extent cx="2194560" cy="23742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2194560" cy="2374265"/>
                    </a:xfrm>
                    <a:prstGeom prst="rect">
                      <a:avLst/>
                    </a:prstGeom>
                    <a:noFill/>
                  </pic:spPr>
                </pic:pic>
              </a:graphicData>
            </a:graphic>
          </wp:inline>
        </w:drawing>
      </w:r>
    </w:p>
    <w:p>
      <w:pPr>
        <w:pStyle w:val="Normal"/>
        <w:spacing w:before="0" w:after="120"/>
        <w:jc w:val="center"/>
        <w:rPr/>
      </w:pPr>
      <w:r>
        <w:rPr>
          <w:b/>
          <w:color w:val="1B365D"/>
          <w:sz w:val="28"/>
        </w:rPr>
        <w:t>INFORME DE LABORATORIO: TAREA DE EJECUCIÓN 03</w:t>
        <w:br/>
      </w:r>
      <w:r>
        <w:rPr>
          <w:b/>
          <w:color w:val="2C3E50"/>
          <w:sz w:val="25"/>
        </w:rPr>
        <w:t>APLICACIÓN DE MODELOS CART Y ENSAMBLADOS EN APRENDIZAJE AUTOMÁTICO</w:t>
      </w:r>
    </w:p>
    <w:p>
      <w:pPr>
        <w:pStyle w:val="Normal"/>
        <w:spacing w:before="520" w:after="40"/>
        <w:jc w:val="center"/>
        <w:rPr/>
      </w:pPr>
      <w:r>
        <w:rPr>
          <w:b/>
          <w:sz w:val="21"/>
        </w:rPr>
        <w:t>CURSO: APRENDIZAJE MAQUINA (SEMESTRE IX - 2026-II)</w:t>
      </w:r>
    </w:p>
    <w:p>
      <w:pPr>
        <w:pStyle w:val="Normal"/>
        <w:spacing w:before="0" w:after="40"/>
        <w:jc w:val="center"/>
        <w:rPr/>
      </w:pPr>
      <w:r>
        <w:rPr>
          <w:sz w:val="20"/>
        </w:rPr>
        <w:t>PRESENTADO POR:</w:t>
      </w:r>
    </w:p>
    <w:p>
      <w:pPr>
        <w:pStyle w:val="Normal"/>
        <w:spacing w:before="0" w:after="720"/>
        <w:jc w:val="center"/>
        <w:rPr/>
      </w:pPr>
      <w:r>
        <w:rPr>
          <w:b/>
          <w:color w:val="1B365D"/>
          <w:sz w:val="24"/>
        </w:rPr>
        <w:t>MAMANI ZAPANA EDWARD</w:t>
      </w:r>
    </w:p>
    <w:p>
      <w:pPr>
        <w:pStyle w:val="Normal"/>
        <w:spacing w:before="0" w:after="0"/>
        <w:jc w:val="center"/>
        <w:rPr/>
      </w:pPr>
      <w:r>
        <w:rPr>
          <w:b/>
          <w:sz w:val="21"/>
        </w:rPr>
        <w:t>PUNO – PERÚ</w:t>
        <w:br/>
        <w:t>2026</w:t>
      </w:r>
    </w:p>
    <w:p>
      <w:pPr>
        <w:pStyle w:val="Normal"/>
        <w:rPr/>
      </w:pPr>
      <w:r>
        <w:rPr/>
      </w:r>
    </w:p>
    <w:sdt>
      <w:sdtPr>
        <w:docPartObj>
          <w:docPartGallery w:val="Table of Contents"/>
          <w:docPartUnique w:val="true"/>
        </w:docPartObj>
      </w:sdtPr>
      <w:sdtContent>
        <w:p>
          <w:pPr>
            <w:pStyle w:val="TOCHeading"/>
            <w:rPr/>
          </w:pPr>
          <w:r>
            <w:br w:type="page"/>
          </w:r>
          <w:r>
            <w:rPr/>
            <w:t>ÍNDICE DE CONTENIDO</w:t>
          </w:r>
        </w:p>
        <w:p>
          <w:pPr>
            <w:pStyle w:val="TOC1"/>
            <w:tabs>
              <w:tab w:val="clear" w:pos="9504"/>
              <w:tab w:val="right" w:pos="9503" w:leader="dot"/>
            </w:tabs>
            <w:rPr/>
          </w:pPr>
          <w:r>
            <w:fldChar w:fldCharType="begin"/>
          </w:r>
          <w:r>
            <w:rPr>
              <w:rStyle w:val="Enlacedelndice"/>
              <w:webHidden/>
            </w:rPr>
            <w:instrText xml:space="preserve"> TOC \z \o "1-3" \u \h</w:instrText>
          </w:r>
          <w:r>
            <w:rPr>
              <w:rStyle w:val="Enlacedelndice"/>
              <w:webHidden/>
            </w:rPr>
            <w:fldChar w:fldCharType="separate"/>
          </w:r>
          <w:hyperlink w:anchor="__RefHeading___Toc1037_3384329428" w:tooltip="1. Introducción, Objetivos y Presentación del Repositorio GitHub">
            <w:r>
              <w:rPr>
                <w:rStyle w:val="Enlacedelndice"/>
                <w:webHidden/>
              </w:rPr>
              <w:t>1. Introducción, Objetivos y Presentación del Repositorio GitHub</w:t>
              <w:tab/>
              <w:t>3</w:t>
            </w:r>
          </w:hyperlink>
        </w:p>
        <w:p>
          <w:pPr>
            <w:pStyle w:val="TOC2"/>
            <w:tabs>
              <w:tab w:val="clear" w:pos="9221"/>
              <w:tab w:val="right" w:pos="9503" w:leader="dot"/>
            </w:tabs>
            <w:rPr/>
          </w:pPr>
          <w:hyperlink w:anchor="__RefHeading___Toc1039_3384329428" w:tooltip="1.1. Presentación del Repositorio Oficial en GitHub">
            <w:r>
              <w:rPr>
                <w:rStyle w:val="Enlacedelndice"/>
                <w:webHidden/>
              </w:rPr>
              <w:t>1.1. Presentación del Repositorio Oficial en GitHub</w:t>
              <w:tab/>
              <w:t>3</w:t>
            </w:r>
          </w:hyperlink>
        </w:p>
        <w:p>
          <w:pPr>
            <w:pStyle w:val="TOC2"/>
            <w:tabs>
              <w:tab w:val="clear" w:pos="9221"/>
              <w:tab w:val="right" w:pos="9503" w:leader="dot"/>
            </w:tabs>
            <w:rPr/>
          </w:pPr>
          <w:hyperlink w:anchor="__RefHeading___Toc1041_3384329428" w:tooltip="1.2. Estructura del Repositorio">
            <w:r>
              <w:rPr>
                <w:rStyle w:val="Enlacedelndice"/>
                <w:webHidden/>
              </w:rPr>
              <w:t>1.2. Estructura del Repositorio</w:t>
              <w:tab/>
              <w:t>4</w:t>
            </w:r>
          </w:hyperlink>
        </w:p>
        <w:p>
          <w:pPr>
            <w:pStyle w:val="TOC1"/>
            <w:tabs>
              <w:tab w:val="clear" w:pos="9504"/>
              <w:tab w:val="right" w:pos="9503" w:leader="dot"/>
            </w:tabs>
            <w:rPr/>
          </w:pPr>
          <w:hyperlink w:anchor="__RefHeading___Toc1043_3384329428" w:tooltip="2. Metodología de Experimentación y Tratamiento de Datos">
            <w:r>
              <w:rPr>
                <w:rStyle w:val="Enlacedelndice"/>
                <w:webHidden/>
              </w:rPr>
              <w:t>2. Metodología de Experimentación y Tratamiento de Datos</w:t>
              <w:tab/>
              <w:t>4</w:t>
            </w:r>
          </w:hyperlink>
        </w:p>
        <w:p>
          <w:pPr>
            <w:pStyle w:val="TOC1"/>
            <w:tabs>
              <w:tab w:val="clear" w:pos="9504"/>
              <w:tab w:val="right" w:pos="9503" w:leader="dot"/>
            </w:tabs>
            <w:rPr/>
          </w:pPr>
          <w:hyperlink w:anchor="__RefHeading___Toc1045_3384329428" w:tooltip="3. Ítem 1: Criterios CART (Gini vs. Entropía) vs. Regresor Logístico">
            <w:r>
              <w:rPr>
                <w:rStyle w:val="Enlacedelndice"/>
                <w:webHidden/>
              </w:rPr>
              <w:t>3. Ítem 1: Criterios CART (Gini vs. Entropía) vs. Regresor Logístico</w:t>
              <w:tab/>
              <w:t>5</w:t>
            </w:r>
          </w:hyperlink>
        </w:p>
        <w:p>
          <w:pPr>
            <w:pStyle w:val="TOC2"/>
            <w:tabs>
              <w:tab w:val="clear" w:pos="9221"/>
              <w:tab w:val="right" w:pos="9503" w:leader="dot"/>
            </w:tabs>
            <w:rPr/>
          </w:pPr>
          <w:hyperlink w:anchor="__RefHeading___Toc1047_3384329428" w:tooltip="Respuesta Justificada: ¿Cuál es mejor en el Ítem 1?">
            <w:r>
              <w:rPr>
                <w:rStyle w:val="Enlacedelndice"/>
                <w:webHidden/>
              </w:rPr>
              <w:t>Respuesta Justificada: ¿Cuál es mejor en el Ítem 1?</w:t>
              <w:tab/>
              <w:t>6</w:t>
            </w:r>
          </w:hyperlink>
        </w:p>
        <w:p>
          <w:pPr>
            <w:pStyle w:val="TOC1"/>
            <w:tabs>
              <w:tab w:val="clear" w:pos="9504"/>
              <w:tab w:val="right" w:pos="9503" w:leader="dot"/>
            </w:tabs>
            <w:rPr/>
          </w:pPr>
          <w:hyperlink w:anchor="__RefHeading___Toc1049_3384329428" w:tooltip="4. Ítem 2: Hiperparámetros en Árboles de Regresión vs. Regresor Lineal">
            <w:r>
              <w:rPr>
                <w:rStyle w:val="Enlacedelndice"/>
                <w:webHidden/>
              </w:rPr>
              <w:t>4. Ítem 2: Hiperparámetros en Árboles de Regresión vs. Regresor Lineal</w:t>
              <w:tab/>
              <w:t>7</w:t>
            </w:r>
          </w:hyperlink>
        </w:p>
        <w:p>
          <w:pPr>
            <w:pStyle w:val="TOC2"/>
            <w:tabs>
              <w:tab w:val="clear" w:pos="9221"/>
              <w:tab w:val="right" w:pos="9503" w:leader="dot"/>
            </w:tabs>
            <w:rPr/>
          </w:pPr>
          <w:hyperlink w:anchor="__RefHeading___Toc1051_3384329428" w:tooltip="Respuesta Justificada: ¿Cuál es el mejor en el Ítem 2?">
            <w:r>
              <w:rPr>
                <w:rStyle w:val="Enlacedelndice"/>
                <w:webHidden/>
              </w:rPr>
              <w:t>Respuesta Justificada: ¿Cuál es el mejor en el Ítem 2?</w:t>
              <w:tab/>
              <w:t>9</w:t>
            </w:r>
          </w:hyperlink>
        </w:p>
        <w:p>
          <w:pPr>
            <w:pStyle w:val="TOC1"/>
            <w:tabs>
              <w:tab w:val="clear" w:pos="9504"/>
              <w:tab w:val="right" w:pos="9503" w:leader="dot"/>
            </w:tabs>
            <w:rPr/>
          </w:pPr>
          <w:hyperlink w:anchor="__RefHeading___Toc1053_3384329428" w:tooltip="5. Ítem 3: Ensamble VotingClassifier vs. Modelos Individuales">
            <w:r>
              <w:rPr>
                <w:rStyle w:val="Enlacedelndice"/>
                <w:webHidden/>
              </w:rPr>
              <w:t>5. Ítem 3: Ensamble VotingClassifier vs. Modelos Individuales</w:t>
              <w:tab/>
              <w:t>9</w:t>
            </w:r>
          </w:hyperlink>
        </w:p>
        <w:p>
          <w:pPr>
            <w:pStyle w:val="TOC2"/>
            <w:tabs>
              <w:tab w:val="clear" w:pos="9221"/>
              <w:tab w:val="right" w:pos="9503" w:leader="dot"/>
            </w:tabs>
            <w:rPr/>
          </w:pPr>
          <w:hyperlink w:anchor="__RefHeading___Toc1055_3384329428" w:tooltip="Respuesta Justificada: ¿Cuál es mejor en el Ítem 3?">
            <w:r>
              <w:rPr>
                <w:rStyle w:val="Enlacedelndice"/>
                <w:webHidden/>
              </w:rPr>
              <w:t>Respuesta Justificada: ¿Cuál es mejor en el Ítem 3?</w:t>
              <w:tab/>
              <w:t>11</w:t>
            </w:r>
          </w:hyperlink>
        </w:p>
        <w:p>
          <w:pPr>
            <w:pStyle w:val="TOC1"/>
            <w:tabs>
              <w:tab w:val="clear" w:pos="9504"/>
              <w:tab w:val="right" w:pos="9503" w:leader="dot"/>
            </w:tabs>
            <w:rPr/>
          </w:pPr>
          <w:hyperlink w:anchor="__RefHeading___Toc1057_3384329428" w:tooltip="6. Ítem 4: Bagging con Evaluación OOB vs. Árbol Individual">
            <w:r>
              <w:rPr>
                <w:rStyle w:val="Enlacedelndice"/>
                <w:webHidden/>
              </w:rPr>
              <w:t>6. Ítem 4: Bagging con Evaluación OOB vs. Árbol Individual</w:t>
              <w:tab/>
              <w:t>11</w:t>
            </w:r>
          </w:hyperlink>
        </w:p>
        <w:p>
          <w:pPr>
            <w:pStyle w:val="TOC2"/>
            <w:tabs>
              <w:tab w:val="clear" w:pos="9221"/>
              <w:tab w:val="right" w:pos="9503" w:leader="dot"/>
            </w:tabs>
            <w:rPr/>
          </w:pPr>
          <w:hyperlink w:anchor="__RefHeading___Toc1059_3384329428" w:tooltip="Respuesta Justificada: ¿Cuál es el mejor en el Ítem 4?">
            <w:r>
              <w:rPr>
                <w:rStyle w:val="Enlacedelndice"/>
                <w:webHidden/>
              </w:rPr>
              <w:t>Respuesta Justificada: ¿Cuál es el mejor en el Ítem 4?</w:t>
              <w:tab/>
              <w:t>13</w:t>
            </w:r>
          </w:hyperlink>
        </w:p>
        <w:p>
          <w:pPr>
            <w:pStyle w:val="TOC1"/>
            <w:tabs>
              <w:tab w:val="clear" w:pos="9504"/>
              <w:tab w:val="right" w:pos="9503" w:leader="dot"/>
            </w:tabs>
            <w:rPr/>
          </w:pPr>
          <w:hyperlink w:anchor="__RefHeading___Toc1061_3384329428" w:tooltip="7. Ítem 5: Random Forest vs. XGBoost">
            <w:r>
              <w:rPr>
                <w:rStyle w:val="Enlacedelndice"/>
                <w:webHidden/>
              </w:rPr>
              <w:t>7. Ítem 5: Random Forest vs. XGBoost</w:t>
              <w:tab/>
              <w:t>14</w:t>
            </w:r>
          </w:hyperlink>
        </w:p>
        <w:p>
          <w:pPr>
            <w:pStyle w:val="TOC2"/>
            <w:tabs>
              <w:tab w:val="clear" w:pos="9221"/>
              <w:tab w:val="right" w:pos="9503" w:leader="dot"/>
            </w:tabs>
            <w:rPr/>
          </w:pPr>
          <w:hyperlink w:anchor="__RefHeading___Toc1063_3384329428" w:tooltip="Respuesta Justificada: ¿Cuál es mejor en el Ítem 5?">
            <w:r>
              <w:rPr>
                <w:rStyle w:val="Enlacedelndice"/>
                <w:webHidden/>
              </w:rPr>
              <w:t>Respuesta Justificada: ¿Cuál es mejor en el Ítem 5?</w:t>
              <w:tab/>
              <w:t>15</w:t>
            </w:r>
          </w:hyperlink>
        </w:p>
        <w:p>
          <w:pPr>
            <w:pStyle w:val="TOC1"/>
            <w:tabs>
              <w:tab w:val="clear" w:pos="9504"/>
              <w:tab w:val="right" w:pos="9503" w:leader="dot"/>
            </w:tabs>
            <w:rPr/>
          </w:pPr>
          <w:hyperlink w:anchor="__RefHeading___Toc1065_3384329428" w:tooltip="8. Respuestas Consolidadas a las Preguntas de la Tarea">
            <w:r>
              <w:rPr>
                <w:rStyle w:val="Enlacedelndice"/>
                <w:webHidden/>
              </w:rPr>
              <w:t>8. Respuestas Consolidadas a las Preguntas de la Tarea</w:t>
              <w:tab/>
              <w:t>16</w:t>
            </w:r>
          </w:hyperlink>
        </w:p>
        <w:p>
          <w:pPr>
            <w:pStyle w:val="TOC1"/>
            <w:tabs>
              <w:tab w:val="clear" w:pos="9504"/>
              <w:tab w:val="right" w:pos="9503" w:leader="dot"/>
            </w:tabs>
            <w:rPr/>
          </w:pPr>
          <w:hyperlink w:anchor="__RefHeading___Toc1067_3384329428" w:tooltip="9. Conclusiones Generales">
            <w:r>
              <w:rPr>
                <w:rStyle w:val="Enlacedelndice"/>
                <w:webHidden/>
              </w:rPr>
              <w:t>9. Conclusiones Generales</w:t>
              <w:tab/>
              <w:t>16</w:t>
            </w:r>
          </w:hyperlink>
        </w:p>
        <w:p>
          <w:pPr>
            <w:pStyle w:val="TOC1"/>
            <w:tabs>
              <w:tab w:val="clear" w:pos="9504"/>
              <w:tab w:val="right" w:pos="9503" w:leader="dot"/>
            </w:tabs>
            <w:rPr/>
          </w:pPr>
          <w:hyperlink w:anchor="__RefHeading___Toc1069_3384329428" w:tooltip="10. Referencias Bibliográficas">
            <w:r>
              <w:rPr>
                <w:rStyle w:val="Enlacedelndice"/>
                <w:webHidden/>
              </w:rPr>
              <w:t>10. Referencias Bibliográficas</w:t>
              <w:tab/>
              <w:t>17</w:t>
            </w:r>
          </w:hyperlink>
          <w:r>
            <w:rPr>
              <w:rStyle w:val="Enlacedelndice"/>
            </w:rPr>
            <w:fldChar w:fldCharType="end"/>
          </w:r>
        </w:p>
      </w:sdtContent>
    </w:sdt>
    <w:p>
      <w:pPr>
        <w:pStyle w:val="Normal"/>
        <w:rPr/>
      </w:pPr>
      <w:r>
        <w:rPr/>
      </w:r>
      <w:r>
        <w:br w:type="page"/>
      </w:r>
    </w:p>
    <w:p>
      <w:pPr>
        <w:pStyle w:val="Heading1"/>
        <w:spacing w:before="0" w:after="0"/>
        <w:rPr/>
      </w:pPr>
      <w:bookmarkStart w:id="0" w:name="__RefHeading___Toc1037_3384329428"/>
      <w:bookmarkEnd w:id="0"/>
      <w:r>
        <w:rPr/>
        <w:t>1. Introducción, Objetivos y Presentación del Repositorio GitHub</w:t>
      </w:r>
    </w:p>
    <w:p>
      <w:pPr>
        <w:pStyle w:val="Normal"/>
        <w:rPr/>
      </w:pPr>
      <w:r>
        <w:rPr/>
        <w:t>El presente informe documenta de manera exhaustiva el desarrollo, evaluación empírica y análisis técnico comparativo de la Tarea de Ejecución 03 del curso de Aprendizaje de Máquina (Semestre IX - 2026-II) de la Escuela Profesional de Ingeniería de Sistemas de la Universidad Nacional del Altiplano. La práctica aborda el estudio de los modelos basados en árboles de decisión (Classification and Regression Trees - CART) y las principales familias de aprendizaje por ensambles: clasificadores por votación (Voting), agregación bootstrap (Bagging) con evaluación fuera de la bolsa (Out-Of-Bag - OOB), Bosques Aleatorios (Random Forests) y Potenciación del Gradiente Extremo (XGBoost).</w:t>
      </w:r>
    </w:p>
    <w:p>
      <w:pPr>
        <w:pStyle w:val="Normal"/>
        <w:rPr/>
      </w:pPr>
      <w:r>
        <w:rPr/>
        <w:t>El objetivo general es contrastar de manera sistemática la capacidad predictiva, el equilibrio sesgo-varianza, la estabilidad estocástica y la eficiencia computacional de estimadores individuales frente a metamodelos ensamblados, utilizando conjuntos de datos estándar y desafiantes de Scikit-Learn y repositorios abiertos.</w:t>
      </w:r>
    </w:p>
    <w:p>
      <w:pPr>
        <w:pStyle w:val="Heading2"/>
        <w:rPr/>
      </w:pPr>
      <w:bookmarkStart w:id="1" w:name="__RefHeading___Toc1039_3384329428"/>
      <w:bookmarkEnd w:id="1"/>
      <w:r>
        <w:rPr/>
        <w:t>1.1. Presentación del Repositorio Oficial en GitHub</w:t>
      </w:r>
    </w:p>
    <w:p>
      <w:pPr>
        <w:pStyle w:val="Normal"/>
        <w:rPr/>
      </w:pPr>
      <w:r>
        <w:rPr/>
        <w:t>Todo el código fuente, conjuntos de datos, scripts de automatización, artefactos JSON con métricas completas, figuras de alta resolución y los cinco cuadernos interactivos (.ipynb) se encuentran alojados y publicados de manera abierta en el siguiente repositorio de GitHub:</w:t>
      </w:r>
    </w:p>
    <w:tbl>
      <w:tblPr>
        <w:tblW w:w="9504" w:type="dxa"/>
        <w:jc w:val="center"/>
        <w:tblInd w:w="0" w:type="dxa"/>
        <w:tblLayout w:type="fixed"/>
        <w:tblCellMar>
          <w:top w:w="140" w:type="dxa"/>
          <w:start w:w="200" w:type="dxa"/>
          <w:bottom w:w="140" w:type="dxa"/>
          <w:end w:w="200" w:type="dxa"/>
        </w:tblCellMar>
        <w:tblLook w:noHBand="0" w:noVBand="1" w:firstColumn="1" w:lastRow="0" w:lastColumn="0" w:firstRow="1" w:val="04a0"/>
      </w:tblPr>
      <w:tblGrid>
        <w:gridCol w:w="9504"/>
      </w:tblGrid>
      <w:tr>
        <w:trPr/>
        <w:tc>
          <w:tcPr>
            <w:tcW w:w="9504" w:type="dxa"/>
            <w:tcBorders>
              <w:start w:val="single" w:sz="24" w:space="0" w:color="1B365D"/>
            </w:tcBorders>
            <w:shd w:fill="EBF3FB" w:val="clear"/>
          </w:tcPr>
          <w:p>
            <w:pPr>
              <w:pStyle w:val="Normal"/>
              <w:spacing w:before="40" w:after="40"/>
              <w:rPr/>
            </w:pPr>
            <w:r>
              <w:rPr>
                <w:b/>
                <w:color w:val="1B365D"/>
                <w:sz w:val="19"/>
              </w:rPr>
              <w:t>Repositorio Oficial del Proyecto</w:t>
              <w:br/>
            </w:r>
            <w:r>
              <w:rPr>
                <w:color w:val="222222"/>
                <w:sz w:val="18"/>
              </w:rPr>
              <w:t>URL Pública: https://github.com/Edwardmamani/ML-UNAP-Tarea-Ejecucion-03</w:t>
              <w:br/>
              <w:t>Autor / Usuario: Edwardmamani</w:t>
              <w:br/>
              <w:t>Rama principal: main | Licencia: MIT</w:t>
              <w:br/>
              <w:t>Cuadernos interactivos documentados y reproducibles en formato Jupyter (.ipynb).</w:t>
            </w:r>
          </w:p>
        </w:tc>
      </w:tr>
    </w:tbl>
    <w:p>
      <w:pPr>
        <w:pStyle w:val="Normal"/>
        <w:spacing w:before="0" w:after="80"/>
        <w:rPr/>
      </w:pPr>
      <w:r>
        <w:rPr/>
      </w:r>
    </w:p>
    <w:p>
      <w:pPr>
        <w:pStyle w:val="Normal"/>
        <w:rPr/>
      </w:pPr>
      <w:r>
        <w:rPr/>
        <w:t>A continuación se presenta la tabla de acceso a cada uno de los cuadernos desarrollados para cada ítem en el repositorio:</w:t>
      </w:r>
    </w:p>
    <w:tbl>
      <w:tblPr>
        <w:tblW w:w="9504" w:type="dxa"/>
        <w:jc w:val="center"/>
        <w:tblInd w:w="0" w:type="dxa"/>
        <w:tblLayout w:type="fixed"/>
        <w:tblCellMar>
          <w:top w:w="100" w:type="dxa"/>
          <w:start w:w="130" w:type="dxa"/>
          <w:bottom w:w="100" w:type="dxa"/>
          <w:end w:w="130" w:type="dxa"/>
        </w:tblCellMar>
        <w:tblLook w:noHBand="0" w:noVBand="1" w:firstColumn="1" w:lastRow="0" w:lastColumn="0" w:firstRow="1" w:val="04a0"/>
      </w:tblPr>
      <w:tblGrid>
        <w:gridCol w:w="3168"/>
        <w:gridCol w:w="3168"/>
        <w:gridCol w:w="3168"/>
      </w:tblGrid>
      <w:tr>
        <w:trPr>
          <w:tblHeader w:val="true"/>
          <w:cantSplit/>
        </w:trPr>
        <w:tc>
          <w:tcPr>
            <w:tcW w:w="3168" w:type="dxa"/>
            <w:tcBorders/>
            <w:shd w:fill="1B365D" w:val="clear"/>
            <w:vAlign w:val="center"/>
          </w:tcPr>
          <w:p>
            <w:pPr>
              <w:pStyle w:val="Normal"/>
              <w:spacing w:before="0" w:after="80"/>
              <w:jc w:val="center"/>
              <w:rPr/>
            </w:pPr>
            <w:r>
              <w:rPr>
                <w:b/>
                <w:color w:val="FFFFFF"/>
                <w:sz w:val="17"/>
              </w:rPr>
              <w:t>Ítem</w:t>
            </w:r>
          </w:p>
        </w:tc>
        <w:tc>
          <w:tcPr>
            <w:tcW w:w="3168" w:type="dxa"/>
            <w:tcBorders/>
            <w:shd w:fill="1B365D" w:val="clear"/>
            <w:vAlign w:val="center"/>
          </w:tcPr>
          <w:p>
            <w:pPr>
              <w:pStyle w:val="Normal"/>
              <w:spacing w:before="0" w:after="80"/>
              <w:jc w:val="center"/>
              <w:rPr/>
            </w:pPr>
            <w:r>
              <w:rPr>
                <w:b/>
                <w:color w:val="FFFFFF"/>
                <w:sz w:val="17"/>
              </w:rPr>
              <w:t>Nombre del Cuaderno (.ipynb)</w:t>
            </w:r>
          </w:p>
        </w:tc>
        <w:tc>
          <w:tcPr>
            <w:tcW w:w="3168" w:type="dxa"/>
            <w:tcBorders/>
            <w:shd w:fill="1B365D" w:val="clear"/>
            <w:vAlign w:val="center"/>
          </w:tcPr>
          <w:p>
            <w:pPr>
              <w:pStyle w:val="Normal"/>
              <w:spacing w:before="0" w:after="80"/>
              <w:jc w:val="center"/>
              <w:rPr/>
            </w:pPr>
            <w:r>
              <w:rPr>
                <w:b/>
                <w:color w:val="FFFFFF"/>
                <w:sz w:val="17"/>
              </w:rPr>
              <w:t>Enlace en Repositorio GitHub</w:t>
            </w:r>
          </w:p>
        </w:tc>
      </w:tr>
      <w:tr>
        <w:trPr>
          <w:cantSplit/>
        </w:trPr>
        <w:tc>
          <w:tcPr>
            <w:tcW w:w="3168" w:type="dxa"/>
            <w:tcBorders/>
            <w:shd w:fill="F7F9FB" w:val="clear"/>
            <w:vAlign w:val="center"/>
          </w:tcPr>
          <w:p>
            <w:pPr>
              <w:pStyle w:val="Normal"/>
              <w:widowControl/>
              <w:bidi w:val="0"/>
              <w:spacing w:lineRule="auto" w:line="276" w:before="0" w:after="80"/>
              <w:jc w:val="start"/>
              <w:rPr/>
            </w:pPr>
            <w:r>
              <w:rPr>
                <w:color w:val="222222"/>
                <w:sz w:val="17"/>
              </w:rPr>
              <w:t>Ítem 1</w:t>
            </w:r>
          </w:p>
        </w:tc>
        <w:tc>
          <w:tcPr>
            <w:tcW w:w="3168" w:type="dxa"/>
            <w:tcBorders/>
            <w:shd w:fill="F7F9FB" w:val="clear"/>
            <w:vAlign w:val="center"/>
          </w:tcPr>
          <w:p>
            <w:pPr>
              <w:pStyle w:val="Normal"/>
              <w:widowControl/>
              <w:bidi w:val="0"/>
              <w:spacing w:lineRule="auto" w:line="276" w:before="0" w:after="80"/>
              <w:jc w:val="start"/>
              <w:rPr/>
            </w:pPr>
            <w:r>
              <w:rPr>
                <w:color w:val="222222"/>
                <w:sz w:val="17"/>
              </w:rPr>
              <w:t>Item_01_Arboles_Gini_Entropia_vs_RegresionLogistica.ipynb</w:t>
            </w:r>
          </w:p>
        </w:tc>
        <w:tc>
          <w:tcPr>
            <w:tcW w:w="3168" w:type="dxa"/>
            <w:tcBorders/>
            <w:shd w:fill="F7F9FB" w:val="clear"/>
            <w:vAlign w:val="center"/>
          </w:tcPr>
          <w:p>
            <w:pPr>
              <w:pStyle w:val="Normal"/>
              <w:widowControl/>
              <w:bidi w:val="0"/>
              <w:spacing w:lineRule="auto" w:line="276" w:before="0" w:after="80"/>
              <w:jc w:val="start"/>
              <w:rPr/>
            </w:pPr>
            <w:r>
              <w:rPr>
                <w:color w:val="222222"/>
                <w:sz w:val="17"/>
              </w:rPr>
              <w:t>https://github.com/Edwardmamani/ML-UNAP-Tarea-Ejecucion-03/blob/main/notebooks/Item_01_Arboles_Gini_Entropia_vs_RegresionLogistica.ipynb</w:t>
            </w:r>
          </w:p>
        </w:tc>
      </w:tr>
      <w:tr>
        <w:trPr>
          <w:cantSplit/>
        </w:trPr>
        <w:tc>
          <w:tcPr>
            <w:tcW w:w="3168" w:type="dxa"/>
            <w:tcBorders/>
            <w:shd w:fill="FFFFFF" w:val="clear"/>
            <w:vAlign w:val="center"/>
          </w:tcPr>
          <w:p>
            <w:pPr>
              <w:pStyle w:val="Normal"/>
              <w:widowControl/>
              <w:bidi w:val="0"/>
              <w:spacing w:lineRule="auto" w:line="276" w:before="0" w:after="80"/>
              <w:jc w:val="start"/>
              <w:rPr/>
            </w:pPr>
            <w:r>
              <w:rPr>
                <w:color w:val="222222"/>
                <w:sz w:val="17"/>
              </w:rPr>
              <w:t>Ítem 2</w:t>
            </w:r>
          </w:p>
        </w:tc>
        <w:tc>
          <w:tcPr>
            <w:tcW w:w="3168" w:type="dxa"/>
            <w:tcBorders/>
            <w:shd w:fill="FFFFFF" w:val="clear"/>
            <w:vAlign w:val="center"/>
          </w:tcPr>
          <w:p>
            <w:pPr>
              <w:pStyle w:val="Normal"/>
              <w:widowControl/>
              <w:bidi w:val="0"/>
              <w:spacing w:lineRule="auto" w:line="276" w:before="0" w:after="80"/>
              <w:jc w:val="start"/>
              <w:rPr/>
            </w:pPr>
            <w:r>
              <w:rPr>
                <w:color w:val="222222"/>
                <w:sz w:val="17"/>
              </w:rPr>
              <w:t>Item_02_Arboles_Regresion_Hiperparametros_vs_RegresionLineal.ipynb</w:t>
            </w:r>
          </w:p>
        </w:tc>
        <w:tc>
          <w:tcPr>
            <w:tcW w:w="3168" w:type="dxa"/>
            <w:tcBorders/>
            <w:shd w:fill="FFFFFF" w:val="clear"/>
            <w:vAlign w:val="center"/>
          </w:tcPr>
          <w:p>
            <w:pPr>
              <w:pStyle w:val="Normal"/>
              <w:widowControl/>
              <w:bidi w:val="0"/>
              <w:spacing w:lineRule="auto" w:line="276" w:before="0" w:after="80"/>
              <w:jc w:val="start"/>
              <w:rPr/>
            </w:pPr>
            <w:r>
              <w:rPr>
                <w:color w:val="222222"/>
                <w:sz w:val="17"/>
              </w:rPr>
              <w:t>https://github.com/Edwardmamani/ML-UNAP-Tarea-Ejecucion-03/blob/main/notebooks/Item_02_Arboles_Regresion_Hiperparametros_vs_RegresionLineal.ipynb</w:t>
            </w:r>
          </w:p>
        </w:tc>
      </w:tr>
      <w:tr>
        <w:trPr>
          <w:cantSplit/>
        </w:trPr>
        <w:tc>
          <w:tcPr>
            <w:tcW w:w="3168" w:type="dxa"/>
            <w:tcBorders/>
            <w:shd w:fill="F7F9FB" w:val="clear"/>
            <w:vAlign w:val="center"/>
          </w:tcPr>
          <w:p>
            <w:pPr>
              <w:pStyle w:val="Normal"/>
              <w:widowControl/>
              <w:bidi w:val="0"/>
              <w:spacing w:lineRule="auto" w:line="276" w:before="0" w:after="80"/>
              <w:jc w:val="start"/>
              <w:rPr/>
            </w:pPr>
            <w:r>
              <w:rPr>
                <w:color w:val="222222"/>
                <w:sz w:val="17"/>
              </w:rPr>
              <w:t>Ítem 3</w:t>
            </w:r>
          </w:p>
        </w:tc>
        <w:tc>
          <w:tcPr>
            <w:tcW w:w="3168" w:type="dxa"/>
            <w:tcBorders/>
            <w:shd w:fill="F7F9FB" w:val="clear"/>
            <w:vAlign w:val="center"/>
          </w:tcPr>
          <w:p>
            <w:pPr>
              <w:pStyle w:val="Normal"/>
              <w:widowControl/>
              <w:bidi w:val="0"/>
              <w:spacing w:lineRule="auto" w:line="276" w:before="0" w:after="80"/>
              <w:jc w:val="start"/>
              <w:rPr/>
            </w:pPr>
            <w:r>
              <w:rPr>
                <w:color w:val="222222"/>
                <w:sz w:val="17"/>
              </w:rPr>
              <w:t>Item_03_Ensemble_VotingClassifier_vs_Individuales.ipynb</w:t>
            </w:r>
          </w:p>
        </w:tc>
        <w:tc>
          <w:tcPr>
            <w:tcW w:w="3168" w:type="dxa"/>
            <w:tcBorders/>
            <w:shd w:fill="F7F9FB" w:val="clear"/>
            <w:vAlign w:val="center"/>
          </w:tcPr>
          <w:p>
            <w:pPr>
              <w:pStyle w:val="Normal"/>
              <w:widowControl/>
              <w:bidi w:val="0"/>
              <w:spacing w:lineRule="auto" w:line="276" w:before="0" w:after="80"/>
              <w:jc w:val="start"/>
              <w:rPr/>
            </w:pPr>
            <w:r>
              <w:rPr>
                <w:color w:val="222222"/>
                <w:sz w:val="17"/>
              </w:rPr>
              <w:t>https://github.com/Edwardmamani/ML-UNAP-Tarea-Ejecucion-03/blob/main/notebooks/Item_03_Ensemble_VotingClassifier_vs_Individuales.ipynb</w:t>
            </w:r>
          </w:p>
        </w:tc>
      </w:tr>
      <w:tr>
        <w:trPr>
          <w:cantSplit/>
        </w:trPr>
        <w:tc>
          <w:tcPr>
            <w:tcW w:w="3168" w:type="dxa"/>
            <w:tcBorders/>
            <w:shd w:fill="FFFFFF" w:val="clear"/>
            <w:vAlign w:val="center"/>
          </w:tcPr>
          <w:p>
            <w:pPr>
              <w:pStyle w:val="Normal"/>
              <w:widowControl/>
              <w:bidi w:val="0"/>
              <w:spacing w:lineRule="auto" w:line="276" w:before="0" w:after="80"/>
              <w:jc w:val="start"/>
              <w:rPr/>
            </w:pPr>
            <w:r>
              <w:rPr>
                <w:color w:val="222222"/>
                <w:sz w:val="17"/>
              </w:rPr>
              <w:t>Ítem 4</w:t>
            </w:r>
          </w:p>
        </w:tc>
        <w:tc>
          <w:tcPr>
            <w:tcW w:w="3168" w:type="dxa"/>
            <w:tcBorders/>
            <w:shd w:fill="FFFFFF" w:val="clear"/>
            <w:vAlign w:val="center"/>
          </w:tcPr>
          <w:p>
            <w:pPr>
              <w:pStyle w:val="Normal"/>
              <w:widowControl/>
              <w:bidi w:val="0"/>
              <w:spacing w:lineRule="auto" w:line="276" w:before="0" w:after="80"/>
              <w:jc w:val="start"/>
              <w:rPr/>
            </w:pPr>
            <w:r>
              <w:rPr>
                <w:color w:val="222222"/>
                <w:sz w:val="17"/>
              </w:rPr>
              <w:t>Item_04_Bagging_Classifier_OOB_vs_ArbolIndividual.ipynb</w:t>
            </w:r>
          </w:p>
        </w:tc>
        <w:tc>
          <w:tcPr>
            <w:tcW w:w="3168" w:type="dxa"/>
            <w:tcBorders/>
            <w:shd w:fill="FFFFFF" w:val="clear"/>
            <w:vAlign w:val="center"/>
          </w:tcPr>
          <w:p>
            <w:pPr>
              <w:pStyle w:val="Normal"/>
              <w:widowControl/>
              <w:bidi w:val="0"/>
              <w:spacing w:lineRule="auto" w:line="276" w:before="0" w:after="80"/>
              <w:jc w:val="start"/>
              <w:rPr/>
            </w:pPr>
            <w:r>
              <w:rPr>
                <w:color w:val="222222"/>
                <w:sz w:val="17"/>
              </w:rPr>
              <w:t>https://github.com/Edwardmamani/ML-UNAP-Tarea-Ejecucion-03/blob/main/notebooks/Item_04_Bagging_Classifier_OOB_vs_ArbolIndividual.ipynb</w:t>
            </w:r>
          </w:p>
        </w:tc>
      </w:tr>
      <w:tr>
        <w:trPr>
          <w:cantSplit/>
        </w:trPr>
        <w:tc>
          <w:tcPr>
            <w:tcW w:w="3168" w:type="dxa"/>
            <w:tcBorders/>
            <w:shd w:fill="F7F9FB" w:val="clear"/>
            <w:vAlign w:val="center"/>
          </w:tcPr>
          <w:p>
            <w:pPr>
              <w:pStyle w:val="Normal"/>
              <w:widowControl/>
              <w:bidi w:val="0"/>
              <w:spacing w:lineRule="auto" w:line="276" w:before="0" w:after="80"/>
              <w:jc w:val="start"/>
              <w:rPr/>
            </w:pPr>
            <w:r>
              <w:rPr>
                <w:color w:val="222222"/>
                <w:sz w:val="17"/>
              </w:rPr>
              <w:t>Ítem 5</w:t>
            </w:r>
          </w:p>
        </w:tc>
        <w:tc>
          <w:tcPr>
            <w:tcW w:w="3168" w:type="dxa"/>
            <w:tcBorders/>
            <w:shd w:fill="F7F9FB" w:val="clear"/>
            <w:vAlign w:val="center"/>
          </w:tcPr>
          <w:p>
            <w:pPr>
              <w:pStyle w:val="Normal"/>
              <w:widowControl/>
              <w:bidi w:val="0"/>
              <w:spacing w:lineRule="auto" w:line="276" w:before="0" w:after="80"/>
              <w:jc w:val="start"/>
              <w:rPr/>
            </w:pPr>
            <w:r>
              <w:rPr>
                <w:color w:val="222222"/>
                <w:sz w:val="17"/>
              </w:rPr>
              <w:t>Item_05_RandomForest_vs_XGBoost.ipynb</w:t>
            </w:r>
          </w:p>
        </w:tc>
        <w:tc>
          <w:tcPr>
            <w:tcW w:w="3168" w:type="dxa"/>
            <w:tcBorders/>
            <w:shd w:fill="F7F9FB" w:val="clear"/>
            <w:vAlign w:val="center"/>
          </w:tcPr>
          <w:p>
            <w:pPr>
              <w:pStyle w:val="Normal"/>
              <w:widowControl/>
              <w:bidi w:val="0"/>
              <w:spacing w:lineRule="auto" w:line="276" w:before="0" w:after="80"/>
              <w:jc w:val="start"/>
              <w:rPr/>
            </w:pPr>
            <w:r>
              <w:rPr>
                <w:color w:val="222222"/>
                <w:sz w:val="17"/>
              </w:rPr>
              <w:t>https://github.com/Edwardmamani/ML-UNAP-Tarea-Ejecucion-03/blob/main/notebooks/Item_05_RandomForest_vs_XGBoost.ipynb</w:t>
            </w:r>
          </w:p>
        </w:tc>
      </w:tr>
    </w:tbl>
    <w:p>
      <w:pPr>
        <w:pStyle w:val="Heading2"/>
        <w:rPr/>
      </w:pPr>
      <w:bookmarkStart w:id="2" w:name="__RefHeading___Toc1041_3384329428"/>
      <w:bookmarkEnd w:id="2"/>
      <w:r>
        <w:rPr/>
        <w:t>1.2. Estructura del Repositorio</w:t>
      </w:r>
    </w:p>
    <w:p>
      <w:pPr>
        <w:pStyle w:val="Normal"/>
        <w:rPr/>
      </w:pPr>
      <w:r>
        <w:rPr/>
        <w:t>La organización del código fuente sigue rigurosamente los estándares de reproducibilidad científica en Python:</w:t>
      </w:r>
    </w:p>
    <w:p>
      <w:pPr>
        <w:pStyle w:val="Normal"/>
        <w:ind w:start="288"/>
        <w:rPr/>
      </w:pPr>
      <w:r>
        <w:rPr>
          <w:rFonts w:ascii="Liberation Mono" w:hAnsi="Liberation Mono"/>
          <w:sz w:val="17"/>
        </w:rPr>
        <w:t>ML-UNAP-Tarea-Ejecucion-03/</w:t>
        <w:br/>
        <w:t>├── README.md               # Resumen ejecutivo con tablas comparativas y enlaces a cuadernos</w:t>
        <w:br/>
        <w:t>├── requirements.txt        # Dependencias fijadas del entorno Python</w:t>
        <w:br/>
        <w:t>├── ml_utils.py             # Módulo compartido de utilidades</w:t>
        <w:br/>
        <w:t>├── .gitignore              # Filtros de exclusión de binarios, cachés y scripts auxiliares</w:t>
        <w:br/>
        <w:t>├── notebooks/              # Los 5 cuadernos Jupyter con salidas pre-renderizadas</w:t>
        <w:br/>
        <w:t>├── docs/                   # Informe académico en formato editable (.docx) y oficial (.pdf)</w:t>
        <w:br/>
        <w:t>│   ├── Informe_Tarea_Ejecucion_03.docx</w:t>
        <w:br/>
        <w:t>│   ├── Informe_Tarea_Ejecucion_03.pdf</w:t>
        <w:br/>
        <w:t>│   └── Logo_UNAP.png</w:t>
        <w:br/>
        <w:t>├── figures/                # 29 figuras de alta resolución (.png)</w:t>
        <w:br/>
        <w:t>├── results/                # 5 archivos JSON con todas las métricas experimentales</w:t>
        <w:br/>
        <w:t>└── data/                   # Conjuntos de datos locales complementarios (auto-mpg, diabetes)</w:t>
      </w:r>
    </w:p>
    <w:p>
      <w:pPr>
        <w:pStyle w:val="Heading1"/>
        <w:rPr/>
      </w:pPr>
      <w:bookmarkStart w:id="3" w:name="__RefHeading___Toc1043_3384329428"/>
      <w:bookmarkEnd w:id="3"/>
      <w:r>
        <w:rPr/>
        <w:t>2. Metodología de Experimentación y Tratamiento de Datos</w:t>
      </w:r>
    </w:p>
    <w:p>
      <w:pPr>
        <w:pStyle w:val="Normal"/>
        <w:rPr/>
      </w:pPr>
      <w:r>
        <w:rPr/>
        <w:t>Para garantizar la validez científica y evitar la fuga de información (data leakage), se implementó el protocolo estricto de buenas prácticas en Machine Learning:</w:t>
      </w:r>
    </w:p>
    <w:p>
      <w:pPr>
        <w:pStyle w:val="Normal"/>
        <w:ind w:start="288"/>
        <w:rPr/>
      </w:pPr>
      <w:r>
        <w:rPr/>
        <w:t>1. Partición Antes de Transformar: Todos los conjuntos de datos se dividieron en subconjuntos de entrenamiento (80%) y prueba independiente (20%) con semilla fija (random_state=42). En tareas de clasificación se utilizó estratificación.</w:t>
        <w:br/>
        <w:t>2. Encapsulamiento en Pipelines: Los imputadores de valores nulos (SimpleImputer por mediana) y escaladores (StandardScaler) se ajustaron única y exclusivamente con los datos de entrenamiento dentro de objetos Pipeline.</w:t>
        <w:br/>
        <w:t>3. Validación Cruzada Rigurosa: Se empleó 10-Fold Cross-Validation sobre el conjunto de entrenamiento para la selección de hiperparámetros y la evaluación diagnóstica de estabilidad.</w:t>
        <w:br/>
        <w:t>4. Evaluación Fuera de Muestra: El conjunto de prueba final de 20% se mantuvo aislado y nunca se utilizó durante el ajuste.</w:t>
        <w:br/>
        <w:t>5. Pruebas de Hipótesis y Significancia: Para contrastar modelos se ejecutaron validaciones cruzadas repetidas (10x3) y pruebas estadísticas no paramétricas de rangos con signo de Wilcoxon (alfa = 0.05), complementadas con intervalos de confianza bootstrap al 95% calculados sobre el conjunto de prueba.</w:t>
      </w:r>
    </w:p>
    <w:p>
      <w:pPr>
        <w:pStyle w:val="Heading1"/>
        <w:rPr/>
      </w:pPr>
      <w:bookmarkStart w:id="4" w:name="__RefHeading___Toc1045_3384329428"/>
      <w:bookmarkEnd w:id="4"/>
      <w:r>
        <w:rPr/>
        <w:t>3. Ítem 1: Criterios CART (Gini vs. Entropía) vs. Regresor Logístico</w:t>
      </w:r>
    </w:p>
    <w:tbl>
      <w:tblPr>
        <w:tblW w:w="9504" w:type="dxa"/>
        <w:jc w:val="center"/>
        <w:tblInd w:w="0" w:type="dxa"/>
        <w:tblLayout w:type="fixed"/>
        <w:tblCellMar>
          <w:top w:w="140" w:type="dxa"/>
          <w:start w:w="200" w:type="dxa"/>
          <w:bottom w:w="140" w:type="dxa"/>
          <w:end w:w="200" w:type="dxa"/>
        </w:tblCellMar>
        <w:tblLook w:noHBand="0" w:noVBand="1" w:firstColumn="1" w:lastRow="0" w:lastColumn="0" w:firstRow="1" w:val="04a0"/>
      </w:tblPr>
      <w:tblGrid>
        <w:gridCol w:w="9504"/>
      </w:tblGrid>
      <w:tr>
        <w:trPr/>
        <w:tc>
          <w:tcPr>
            <w:tcW w:w="9504" w:type="dxa"/>
            <w:tcBorders>
              <w:start w:val="single" w:sz="24" w:space="0" w:color="1B365D"/>
            </w:tcBorders>
            <w:shd w:fill="F5F8FC" w:val="clear"/>
          </w:tcPr>
          <w:p>
            <w:pPr>
              <w:pStyle w:val="Normal"/>
              <w:spacing w:before="40" w:after="40"/>
              <w:rPr/>
            </w:pPr>
            <w:r>
              <w:rPr>
                <w:b/>
                <w:color w:val="1B365D"/>
                <w:sz w:val="19"/>
              </w:rPr>
              <w:t>Enunciado del Ítem 1</w:t>
              <w:br/>
            </w:r>
            <w:r>
              <w:rPr>
                <w:color w:val="222222"/>
                <w:sz w:val="18"/>
              </w:rPr>
              <w:t>Entrene modelos de árboles de decisión con criterios de impureza diferentes (índice gini y entropía) usando el dataset 'breast_cancer' de scikit-learn, compare su eficiencia con respecto a un modelo lineal como el Regresor Logístico. ¿Cuál es mejor?</w:t>
            </w:r>
          </w:p>
        </w:tc>
      </w:tr>
    </w:tbl>
    <w:p>
      <w:pPr>
        <w:pStyle w:val="Normal"/>
        <w:spacing w:before="0" w:after="80"/>
        <w:rPr/>
      </w:pPr>
      <w:r>
        <w:rPr/>
      </w:r>
    </w:p>
    <w:p>
      <w:pPr>
        <w:pStyle w:val="Normal"/>
        <w:rPr/>
      </w:pPr>
      <w:r>
        <w:rPr/>
        <w:t>El conjunto de datos breast_cancer comprende 569 pacientes con 30 variables numéricas continuas que describen propiedades morfológicas de núcleos celulares en biopsias mamarias (212 malignos y 357 benignos, prevalencia 37.3% malignos). Se evaluaron cinco configuraciones: árbol CART con Gini sin podar, árbol CART con Entropía sin podar, árboles podados (max_depth=4, min_samples_leaf=5) y Regresión Logística con estandarización.</w:t>
      </w:r>
    </w:p>
    <w:tbl>
      <w:tblPr>
        <w:tblW w:w="9506" w:type="dxa"/>
        <w:jc w:val="center"/>
        <w:tblInd w:w="0" w:type="dxa"/>
        <w:tblLayout w:type="fixed"/>
        <w:tblCellMar>
          <w:top w:w="100" w:type="dxa"/>
          <w:start w:w="130" w:type="dxa"/>
          <w:bottom w:w="100" w:type="dxa"/>
          <w:end w:w="130" w:type="dxa"/>
        </w:tblCellMar>
        <w:tblLook w:noHBand="0" w:noVBand="1" w:firstColumn="1" w:lastRow="0" w:lastColumn="0" w:firstRow="1" w:val="04a0"/>
      </w:tblPr>
      <w:tblGrid>
        <w:gridCol w:w="1358"/>
        <w:gridCol w:w="1357"/>
        <w:gridCol w:w="1359"/>
        <w:gridCol w:w="1357"/>
        <w:gridCol w:w="1359"/>
        <w:gridCol w:w="1357"/>
        <w:gridCol w:w="1359"/>
      </w:tblGrid>
      <w:tr>
        <w:trPr>
          <w:tblHeader w:val="true"/>
          <w:cantSplit/>
        </w:trPr>
        <w:tc>
          <w:tcPr>
            <w:tcW w:w="1358" w:type="dxa"/>
            <w:tcBorders/>
            <w:shd w:fill="1B365D" w:val="clear"/>
            <w:vAlign w:val="center"/>
          </w:tcPr>
          <w:p>
            <w:pPr>
              <w:pStyle w:val="Normal"/>
              <w:spacing w:before="0" w:after="80"/>
              <w:jc w:val="center"/>
              <w:rPr/>
            </w:pPr>
            <w:r>
              <w:rPr>
                <w:b/>
                <w:color w:val="FFFFFF"/>
                <w:sz w:val="17"/>
              </w:rPr>
              <w:t>Modelo</w:t>
            </w:r>
          </w:p>
        </w:tc>
        <w:tc>
          <w:tcPr>
            <w:tcW w:w="1357" w:type="dxa"/>
            <w:tcBorders/>
            <w:shd w:fill="1B365D" w:val="clear"/>
            <w:vAlign w:val="center"/>
          </w:tcPr>
          <w:p>
            <w:pPr>
              <w:pStyle w:val="Normal"/>
              <w:spacing w:before="0" w:after="80"/>
              <w:jc w:val="center"/>
              <w:rPr/>
            </w:pPr>
            <w:r>
              <w:rPr>
                <w:b/>
                <w:color w:val="FFFFFF"/>
                <w:sz w:val="17"/>
              </w:rPr>
              <w:t>Acc. Train</w:t>
            </w:r>
          </w:p>
        </w:tc>
        <w:tc>
          <w:tcPr>
            <w:tcW w:w="1359" w:type="dxa"/>
            <w:tcBorders/>
            <w:shd w:fill="1B365D" w:val="clear"/>
            <w:vAlign w:val="center"/>
          </w:tcPr>
          <w:p>
            <w:pPr>
              <w:pStyle w:val="Normal"/>
              <w:spacing w:before="0" w:after="80"/>
              <w:jc w:val="center"/>
              <w:rPr/>
            </w:pPr>
            <w:r>
              <w:rPr>
                <w:b/>
                <w:color w:val="FFFFFF"/>
                <w:sz w:val="17"/>
              </w:rPr>
              <w:t>Acc. CV (media)</w:t>
            </w:r>
          </w:p>
        </w:tc>
        <w:tc>
          <w:tcPr>
            <w:tcW w:w="1357" w:type="dxa"/>
            <w:tcBorders/>
            <w:shd w:fill="1B365D" w:val="clear"/>
            <w:vAlign w:val="center"/>
          </w:tcPr>
          <w:p>
            <w:pPr>
              <w:pStyle w:val="Normal"/>
              <w:spacing w:before="0" w:after="80"/>
              <w:jc w:val="center"/>
              <w:rPr/>
            </w:pPr>
            <w:r>
              <w:rPr>
                <w:b/>
                <w:color w:val="FFFFFF"/>
                <w:sz w:val="17"/>
              </w:rPr>
              <w:t>Acc. Test</w:t>
            </w:r>
          </w:p>
        </w:tc>
        <w:tc>
          <w:tcPr>
            <w:tcW w:w="1359" w:type="dxa"/>
            <w:tcBorders/>
            <w:shd w:fill="1B365D" w:val="clear"/>
            <w:vAlign w:val="center"/>
          </w:tcPr>
          <w:p>
            <w:pPr>
              <w:pStyle w:val="Normal"/>
              <w:spacing w:before="0" w:after="80"/>
              <w:jc w:val="center"/>
              <w:rPr/>
            </w:pPr>
            <w:r>
              <w:rPr>
                <w:b/>
                <w:color w:val="FFFFFF"/>
                <w:sz w:val="17"/>
              </w:rPr>
              <w:t>F1 Maligno</w:t>
            </w:r>
          </w:p>
        </w:tc>
        <w:tc>
          <w:tcPr>
            <w:tcW w:w="1357" w:type="dxa"/>
            <w:tcBorders/>
            <w:shd w:fill="1B365D" w:val="clear"/>
            <w:vAlign w:val="center"/>
          </w:tcPr>
          <w:p>
            <w:pPr>
              <w:pStyle w:val="Normal"/>
              <w:spacing w:before="0" w:after="80"/>
              <w:jc w:val="center"/>
              <w:rPr/>
            </w:pPr>
            <w:r>
              <w:rPr>
                <w:b/>
                <w:color w:val="FFFFFF"/>
                <w:sz w:val="17"/>
              </w:rPr>
              <w:t>ROC-AUC Test</w:t>
            </w:r>
          </w:p>
        </w:tc>
        <w:tc>
          <w:tcPr>
            <w:tcW w:w="1359" w:type="dxa"/>
            <w:tcBorders/>
            <w:shd w:fill="1B365D" w:val="clear"/>
            <w:vAlign w:val="center"/>
          </w:tcPr>
          <w:p>
            <w:pPr>
              <w:pStyle w:val="Normal"/>
              <w:spacing w:before="0" w:after="80"/>
              <w:jc w:val="center"/>
              <w:rPr/>
            </w:pPr>
            <w:r>
              <w:rPr>
                <w:b/>
                <w:color w:val="FFFFFF"/>
                <w:sz w:val="17"/>
              </w:rPr>
              <w:t>FN</w:t>
            </w:r>
          </w:p>
        </w:tc>
      </w:tr>
      <w:tr>
        <w:trPr>
          <w:cantSplit/>
        </w:trPr>
        <w:tc>
          <w:tcPr>
            <w:tcW w:w="1358" w:type="dxa"/>
            <w:tcBorders/>
            <w:shd w:fill="F7F9FB" w:val="clear"/>
            <w:vAlign w:val="center"/>
          </w:tcPr>
          <w:p>
            <w:pPr>
              <w:pStyle w:val="Normal"/>
              <w:widowControl/>
              <w:bidi w:val="0"/>
              <w:spacing w:lineRule="auto" w:line="276" w:before="0" w:after="80"/>
              <w:jc w:val="start"/>
              <w:rPr/>
            </w:pPr>
            <w:r>
              <w:rPr>
                <w:color w:val="222222"/>
                <w:sz w:val="17"/>
              </w:rPr>
              <w:t>CART Gini (sin podar)</w:t>
            </w:r>
          </w:p>
        </w:tc>
        <w:tc>
          <w:tcPr>
            <w:tcW w:w="1357" w:type="dxa"/>
            <w:tcBorders/>
            <w:shd w:fill="F7F9FB" w:val="clear"/>
            <w:vAlign w:val="center"/>
          </w:tcPr>
          <w:p>
            <w:pPr>
              <w:pStyle w:val="Normal"/>
              <w:widowControl/>
              <w:bidi w:val="0"/>
              <w:spacing w:lineRule="auto" w:line="276" w:before="0" w:after="80"/>
              <w:jc w:val="start"/>
              <w:rPr/>
            </w:pPr>
            <w:r>
              <w:rPr>
                <w:color w:val="222222"/>
                <w:sz w:val="17"/>
              </w:rPr>
              <w:t>1.0000</w:t>
            </w:r>
          </w:p>
        </w:tc>
        <w:tc>
          <w:tcPr>
            <w:tcW w:w="1359" w:type="dxa"/>
            <w:tcBorders/>
            <w:shd w:fill="F7F9FB" w:val="clear"/>
            <w:vAlign w:val="center"/>
          </w:tcPr>
          <w:p>
            <w:pPr>
              <w:pStyle w:val="Normal"/>
              <w:widowControl/>
              <w:bidi w:val="0"/>
              <w:spacing w:lineRule="auto" w:line="276" w:before="0" w:after="80"/>
              <w:jc w:val="start"/>
              <w:rPr/>
            </w:pPr>
            <w:r>
              <w:rPr>
                <w:color w:val="222222"/>
                <w:sz w:val="17"/>
              </w:rPr>
              <w:t>0.9253 ± 0.042</w:t>
            </w:r>
          </w:p>
        </w:tc>
        <w:tc>
          <w:tcPr>
            <w:tcW w:w="1357" w:type="dxa"/>
            <w:tcBorders/>
            <w:shd w:fill="F7F9FB" w:val="clear"/>
            <w:vAlign w:val="center"/>
          </w:tcPr>
          <w:p>
            <w:pPr>
              <w:pStyle w:val="Normal"/>
              <w:widowControl/>
              <w:bidi w:val="0"/>
              <w:spacing w:lineRule="auto" w:line="276" w:before="0" w:after="80"/>
              <w:jc w:val="start"/>
              <w:rPr/>
            </w:pPr>
            <w:r>
              <w:rPr>
                <w:color w:val="222222"/>
                <w:sz w:val="17"/>
              </w:rPr>
              <w:t>0.9123</w:t>
            </w:r>
          </w:p>
        </w:tc>
        <w:tc>
          <w:tcPr>
            <w:tcW w:w="1359" w:type="dxa"/>
            <w:tcBorders/>
            <w:shd w:fill="F7F9FB" w:val="clear"/>
            <w:vAlign w:val="center"/>
          </w:tcPr>
          <w:p>
            <w:pPr>
              <w:pStyle w:val="Normal"/>
              <w:widowControl/>
              <w:bidi w:val="0"/>
              <w:spacing w:lineRule="auto" w:line="276" w:before="0" w:after="80"/>
              <w:jc w:val="start"/>
              <w:rPr/>
            </w:pPr>
            <w:r>
              <w:rPr>
                <w:color w:val="222222"/>
                <w:sz w:val="17"/>
              </w:rPr>
              <w:t>0.8864</w:t>
            </w:r>
          </w:p>
        </w:tc>
        <w:tc>
          <w:tcPr>
            <w:tcW w:w="1357" w:type="dxa"/>
            <w:tcBorders/>
            <w:shd w:fill="F7F9FB" w:val="clear"/>
            <w:vAlign w:val="center"/>
          </w:tcPr>
          <w:p>
            <w:pPr>
              <w:pStyle w:val="Normal"/>
              <w:widowControl/>
              <w:bidi w:val="0"/>
              <w:spacing w:lineRule="auto" w:line="276" w:before="0" w:after="80"/>
              <w:jc w:val="start"/>
              <w:rPr/>
            </w:pPr>
            <w:r>
              <w:rPr>
                <w:color w:val="222222"/>
                <w:sz w:val="17"/>
              </w:rPr>
              <w:t>0.9157</w:t>
            </w:r>
          </w:p>
        </w:tc>
        <w:tc>
          <w:tcPr>
            <w:tcW w:w="1359" w:type="dxa"/>
            <w:tcBorders/>
            <w:shd w:fill="F7F9FB" w:val="clear"/>
            <w:vAlign w:val="center"/>
          </w:tcPr>
          <w:p>
            <w:pPr>
              <w:pStyle w:val="Normal"/>
              <w:widowControl/>
              <w:bidi w:val="0"/>
              <w:spacing w:lineRule="auto" w:line="276" w:before="0" w:after="80"/>
              <w:jc w:val="start"/>
              <w:rPr/>
            </w:pPr>
            <w:r>
              <w:rPr>
                <w:color w:val="222222"/>
                <w:sz w:val="17"/>
              </w:rPr>
              <w:t>3</w:t>
            </w:r>
          </w:p>
        </w:tc>
      </w:tr>
      <w:tr>
        <w:trPr>
          <w:cantSplit/>
        </w:trPr>
        <w:tc>
          <w:tcPr>
            <w:tcW w:w="1358" w:type="dxa"/>
            <w:tcBorders/>
            <w:shd w:fill="FFFFFF" w:val="clear"/>
            <w:vAlign w:val="center"/>
          </w:tcPr>
          <w:p>
            <w:pPr>
              <w:pStyle w:val="Normal"/>
              <w:widowControl/>
              <w:bidi w:val="0"/>
              <w:spacing w:lineRule="auto" w:line="276" w:before="0" w:after="80"/>
              <w:jc w:val="start"/>
              <w:rPr/>
            </w:pPr>
            <w:r>
              <w:rPr>
                <w:color w:val="222222"/>
                <w:sz w:val="17"/>
              </w:rPr>
              <w:t>CART Entropía (sin podar)</w:t>
            </w:r>
          </w:p>
        </w:tc>
        <w:tc>
          <w:tcPr>
            <w:tcW w:w="1357" w:type="dxa"/>
            <w:tcBorders/>
            <w:shd w:fill="FFFFFF" w:val="clear"/>
            <w:vAlign w:val="center"/>
          </w:tcPr>
          <w:p>
            <w:pPr>
              <w:pStyle w:val="Normal"/>
              <w:widowControl/>
              <w:bidi w:val="0"/>
              <w:spacing w:lineRule="auto" w:line="276" w:before="0" w:after="80"/>
              <w:jc w:val="start"/>
              <w:rPr/>
            </w:pPr>
            <w:r>
              <w:rPr>
                <w:color w:val="222222"/>
                <w:sz w:val="17"/>
              </w:rPr>
              <w:t>1.0000</w:t>
            </w:r>
          </w:p>
        </w:tc>
        <w:tc>
          <w:tcPr>
            <w:tcW w:w="1359" w:type="dxa"/>
            <w:tcBorders/>
            <w:shd w:fill="FFFFFF" w:val="clear"/>
            <w:vAlign w:val="center"/>
          </w:tcPr>
          <w:p>
            <w:pPr>
              <w:pStyle w:val="Normal"/>
              <w:widowControl/>
              <w:bidi w:val="0"/>
              <w:spacing w:lineRule="auto" w:line="276" w:before="0" w:after="80"/>
              <w:jc w:val="start"/>
              <w:rPr/>
            </w:pPr>
            <w:r>
              <w:rPr>
                <w:color w:val="222222"/>
                <w:sz w:val="17"/>
              </w:rPr>
              <w:t>0.9230 ± 0.041</w:t>
            </w:r>
          </w:p>
        </w:tc>
        <w:tc>
          <w:tcPr>
            <w:tcW w:w="1357" w:type="dxa"/>
            <w:tcBorders/>
            <w:shd w:fill="FFFFFF" w:val="clear"/>
            <w:vAlign w:val="center"/>
          </w:tcPr>
          <w:p>
            <w:pPr>
              <w:pStyle w:val="Normal"/>
              <w:widowControl/>
              <w:bidi w:val="0"/>
              <w:spacing w:lineRule="auto" w:line="276" w:before="0" w:after="80"/>
              <w:jc w:val="start"/>
              <w:rPr/>
            </w:pPr>
            <w:r>
              <w:rPr>
                <w:color w:val="222222"/>
                <w:sz w:val="17"/>
              </w:rPr>
              <w:t>0.9123</w:t>
            </w:r>
          </w:p>
        </w:tc>
        <w:tc>
          <w:tcPr>
            <w:tcW w:w="1359" w:type="dxa"/>
            <w:tcBorders/>
            <w:shd w:fill="FFFFFF" w:val="clear"/>
            <w:vAlign w:val="center"/>
          </w:tcPr>
          <w:p>
            <w:pPr>
              <w:pStyle w:val="Normal"/>
              <w:widowControl/>
              <w:bidi w:val="0"/>
              <w:spacing w:lineRule="auto" w:line="276" w:before="0" w:after="80"/>
              <w:jc w:val="start"/>
              <w:rPr/>
            </w:pPr>
            <w:r>
              <w:rPr>
                <w:color w:val="222222"/>
                <w:sz w:val="17"/>
              </w:rPr>
              <w:t>0.8889</w:t>
            </w:r>
          </w:p>
        </w:tc>
        <w:tc>
          <w:tcPr>
            <w:tcW w:w="1357" w:type="dxa"/>
            <w:tcBorders/>
            <w:shd w:fill="FFFFFF" w:val="clear"/>
            <w:vAlign w:val="center"/>
          </w:tcPr>
          <w:p>
            <w:pPr>
              <w:pStyle w:val="Normal"/>
              <w:widowControl/>
              <w:bidi w:val="0"/>
              <w:spacing w:lineRule="auto" w:line="276" w:before="0" w:after="80"/>
              <w:jc w:val="start"/>
              <w:rPr/>
            </w:pPr>
            <w:r>
              <w:rPr>
                <w:color w:val="222222"/>
                <w:sz w:val="17"/>
              </w:rPr>
              <w:t>0.9206</w:t>
            </w:r>
          </w:p>
        </w:tc>
        <w:tc>
          <w:tcPr>
            <w:tcW w:w="1359" w:type="dxa"/>
            <w:tcBorders/>
            <w:shd w:fill="FFFFFF" w:val="clear"/>
            <w:vAlign w:val="center"/>
          </w:tcPr>
          <w:p>
            <w:pPr>
              <w:pStyle w:val="Normal"/>
              <w:widowControl/>
              <w:bidi w:val="0"/>
              <w:spacing w:lineRule="auto" w:line="276" w:before="0" w:after="80"/>
              <w:jc w:val="start"/>
              <w:rPr/>
            </w:pPr>
            <w:r>
              <w:rPr>
                <w:color w:val="222222"/>
                <w:sz w:val="17"/>
              </w:rPr>
              <w:t>2</w:t>
            </w:r>
          </w:p>
        </w:tc>
      </w:tr>
      <w:tr>
        <w:trPr>
          <w:cantSplit/>
        </w:trPr>
        <w:tc>
          <w:tcPr>
            <w:tcW w:w="1358" w:type="dxa"/>
            <w:tcBorders/>
            <w:shd w:fill="F7F9FB" w:val="clear"/>
            <w:vAlign w:val="center"/>
          </w:tcPr>
          <w:p>
            <w:pPr>
              <w:pStyle w:val="Normal"/>
              <w:widowControl/>
              <w:bidi w:val="0"/>
              <w:spacing w:lineRule="auto" w:line="276" w:before="0" w:after="80"/>
              <w:jc w:val="start"/>
              <w:rPr/>
            </w:pPr>
            <w:r>
              <w:rPr>
                <w:color w:val="222222"/>
                <w:sz w:val="17"/>
              </w:rPr>
              <w:t>CART Gini (podado)</w:t>
            </w:r>
          </w:p>
        </w:tc>
        <w:tc>
          <w:tcPr>
            <w:tcW w:w="1357" w:type="dxa"/>
            <w:tcBorders/>
            <w:shd w:fill="F7F9FB" w:val="clear"/>
            <w:vAlign w:val="center"/>
          </w:tcPr>
          <w:p>
            <w:pPr>
              <w:pStyle w:val="Normal"/>
              <w:widowControl/>
              <w:bidi w:val="0"/>
              <w:spacing w:lineRule="auto" w:line="276" w:before="0" w:after="80"/>
              <w:jc w:val="start"/>
              <w:rPr/>
            </w:pPr>
            <w:r>
              <w:rPr>
                <w:color w:val="222222"/>
                <w:sz w:val="17"/>
              </w:rPr>
              <w:t>0.9758</w:t>
            </w:r>
          </w:p>
        </w:tc>
        <w:tc>
          <w:tcPr>
            <w:tcW w:w="1359" w:type="dxa"/>
            <w:tcBorders/>
            <w:shd w:fill="F7F9FB" w:val="clear"/>
            <w:vAlign w:val="center"/>
          </w:tcPr>
          <w:p>
            <w:pPr>
              <w:pStyle w:val="Normal"/>
              <w:widowControl/>
              <w:bidi w:val="0"/>
              <w:spacing w:lineRule="auto" w:line="276" w:before="0" w:after="80"/>
              <w:jc w:val="start"/>
              <w:rPr/>
            </w:pPr>
            <w:r>
              <w:rPr>
                <w:color w:val="222222"/>
                <w:sz w:val="17"/>
              </w:rPr>
              <w:t>0.9362 ± 0.039</w:t>
            </w:r>
          </w:p>
        </w:tc>
        <w:tc>
          <w:tcPr>
            <w:tcW w:w="1357" w:type="dxa"/>
            <w:tcBorders/>
            <w:shd w:fill="F7F9FB" w:val="clear"/>
            <w:vAlign w:val="center"/>
          </w:tcPr>
          <w:p>
            <w:pPr>
              <w:pStyle w:val="Normal"/>
              <w:widowControl/>
              <w:bidi w:val="0"/>
              <w:spacing w:lineRule="auto" w:line="276" w:before="0" w:after="80"/>
              <w:jc w:val="start"/>
              <w:rPr/>
            </w:pPr>
            <w:r>
              <w:rPr>
                <w:color w:val="222222"/>
                <w:sz w:val="17"/>
              </w:rPr>
              <w:t>0.9211</w:t>
            </w:r>
          </w:p>
        </w:tc>
        <w:tc>
          <w:tcPr>
            <w:tcW w:w="1359" w:type="dxa"/>
            <w:tcBorders/>
            <w:shd w:fill="F7F9FB" w:val="clear"/>
            <w:vAlign w:val="center"/>
          </w:tcPr>
          <w:p>
            <w:pPr>
              <w:pStyle w:val="Normal"/>
              <w:widowControl/>
              <w:bidi w:val="0"/>
              <w:spacing w:lineRule="auto" w:line="276" w:before="0" w:after="80"/>
              <w:jc w:val="start"/>
              <w:rPr/>
            </w:pPr>
            <w:r>
              <w:rPr>
                <w:color w:val="222222"/>
                <w:sz w:val="17"/>
              </w:rPr>
              <w:t>0.8941</w:t>
            </w:r>
          </w:p>
        </w:tc>
        <w:tc>
          <w:tcPr>
            <w:tcW w:w="1357" w:type="dxa"/>
            <w:tcBorders/>
            <w:shd w:fill="F7F9FB" w:val="clear"/>
            <w:vAlign w:val="center"/>
          </w:tcPr>
          <w:p>
            <w:pPr>
              <w:pStyle w:val="Normal"/>
              <w:widowControl/>
              <w:bidi w:val="0"/>
              <w:spacing w:lineRule="auto" w:line="276" w:before="0" w:after="80"/>
              <w:jc w:val="start"/>
              <w:rPr/>
            </w:pPr>
            <w:r>
              <w:rPr>
                <w:color w:val="222222"/>
                <w:sz w:val="17"/>
              </w:rPr>
              <w:t>0.9263</w:t>
            </w:r>
          </w:p>
        </w:tc>
        <w:tc>
          <w:tcPr>
            <w:tcW w:w="1359" w:type="dxa"/>
            <w:tcBorders/>
            <w:shd w:fill="F7F9FB" w:val="clear"/>
            <w:vAlign w:val="center"/>
          </w:tcPr>
          <w:p>
            <w:pPr>
              <w:pStyle w:val="Normal"/>
              <w:widowControl/>
              <w:bidi w:val="0"/>
              <w:spacing w:lineRule="auto" w:line="276" w:before="0" w:after="80"/>
              <w:jc w:val="start"/>
              <w:rPr/>
            </w:pPr>
            <w:r>
              <w:rPr>
                <w:color w:val="222222"/>
                <w:sz w:val="17"/>
              </w:rPr>
              <w:t>4</w:t>
            </w:r>
          </w:p>
        </w:tc>
      </w:tr>
      <w:tr>
        <w:trPr>
          <w:cantSplit/>
        </w:trPr>
        <w:tc>
          <w:tcPr>
            <w:tcW w:w="1358" w:type="dxa"/>
            <w:tcBorders/>
            <w:shd w:fill="FFFFFF" w:val="clear"/>
            <w:vAlign w:val="center"/>
          </w:tcPr>
          <w:p>
            <w:pPr>
              <w:pStyle w:val="Normal"/>
              <w:widowControl/>
              <w:bidi w:val="0"/>
              <w:spacing w:lineRule="auto" w:line="276" w:before="0" w:after="80"/>
              <w:jc w:val="start"/>
              <w:rPr/>
            </w:pPr>
            <w:r>
              <w:rPr>
                <w:color w:val="222222"/>
                <w:sz w:val="17"/>
              </w:rPr>
              <w:t>CART Entropía (podado)</w:t>
            </w:r>
          </w:p>
        </w:tc>
        <w:tc>
          <w:tcPr>
            <w:tcW w:w="1357" w:type="dxa"/>
            <w:tcBorders/>
            <w:shd w:fill="FFFFFF" w:val="clear"/>
            <w:vAlign w:val="center"/>
          </w:tcPr>
          <w:p>
            <w:pPr>
              <w:pStyle w:val="Normal"/>
              <w:widowControl/>
              <w:bidi w:val="0"/>
              <w:spacing w:lineRule="auto" w:line="276" w:before="0" w:after="80"/>
              <w:jc w:val="start"/>
              <w:rPr/>
            </w:pPr>
            <w:r>
              <w:rPr>
                <w:color w:val="222222"/>
                <w:sz w:val="17"/>
              </w:rPr>
              <w:t>0.9736</w:t>
            </w:r>
          </w:p>
        </w:tc>
        <w:tc>
          <w:tcPr>
            <w:tcW w:w="1359" w:type="dxa"/>
            <w:tcBorders/>
            <w:shd w:fill="FFFFFF" w:val="clear"/>
            <w:vAlign w:val="center"/>
          </w:tcPr>
          <w:p>
            <w:pPr>
              <w:pStyle w:val="Normal"/>
              <w:widowControl/>
              <w:bidi w:val="0"/>
              <w:spacing w:lineRule="auto" w:line="276" w:before="0" w:after="80"/>
              <w:jc w:val="start"/>
              <w:rPr/>
            </w:pPr>
            <w:r>
              <w:rPr>
                <w:color w:val="222222"/>
                <w:sz w:val="17"/>
              </w:rPr>
              <w:t>0.9319 ± 0.041</w:t>
            </w:r>
          </w:p>
        </w:tc>
        <w:tc>
          <w:tcPr>
            <w:tcW w:w="1357" w:type="dxa"/>
            <w:tcBorders/>
            <w:shd w:fill="FFFFFF" w:val="clear"/>
            <w:vAlign w:val="center"/>
          </w:tcPr>
          <w:p>
            <w:pPr>
              <w:pStyle w:val="Normal"/>
              <w:widowControl/>
              <w:bidi w:val="0"/>
              <w:spacing w:lineRule="auto" w:line="276" w:before="0" w:after="80"/>
              <w:jc w:val="start"/>
              <w:rPr/>
            </w:pPr>
            <w:r>
              <w:rPr>
                <w:color w:val="222222"/>
                <w:sz w:val="17"/>
              </w:rPr>
              <w:t>0.8772</w:t>
            </w:r>
          </w:p>
        </w:tc>
        <w:tc>
          <w:tcPr>
            <w:tcW w:w="1359" w:type="dxa"/>
            <w:tcBorders/>
            <w:shd w:fill="FFFFFF" w:val="clear"/>
            <w:vAlign w:val="center"/>
          </w:tcPr>
          <w:p>
            <w:pPr>
              <w:pStyle w:val="Normal"/>
              <w:widowControl/>
              <w:bidi w:val="0"/>
              <w:spacing w:lineRule="auto" w:line="276" w:before="0" w:after="80"/>
              <w:jc w:val="start"/>
              <w:rPr/>
            </w:pPr>
            <w:r>
              <w:rPr>
                <w:color w:val="222222"/>
                <w:sz w:val="17"/>
              </w:rPr>
              <w:t>0.8478</w:t>
            </w:r>
          </w:p>
        </w:tc>
        <w:tc>
          <w:tcPr>
            <w:tcW w:w="1357" w:type="dxa"/>
            <w:tcBorders/>
            <w:shd w:fill="FFFFFF" w:val="clear"/>
            <w:vAlign w:val="center"/>
          </w:tcPr>
          <w:p>
            <w:pPr>
              <w:pStyle w:val="Normal"/>
              <w:widowControl/>
              <w:bidi w:val="0"/>
              <w:spacing w:lineRule="auto" w:line="276" w:before="0" w:after="80"/>
              <w:jc w:val="start"/>
              <w:rPr/>
            </w:pPr>
            <w:r>
              <w:rPr>
                <w:color w:val="222222"/>
                <w:sz w:val="17"/>
              </w:rPr>
              <w:t>0.9593</w:t>
            </w:r>
          </w:p>
        </w:tc>
        <w:tc>
          <w:tcPr>
            <w:tcW w:w="1359" w:type="dxa"/>
            <w:tcBorders/>
            <w:shd w:fill="FFFFFF" w:val="clear"/>
            <w:vAlign w:val="center"/>
          </w:tcPr>
          <w:p>
            <w:pPr>
              <w:pStyle w:val="Normal"/>
              <w:widowControl/>
              <w:bidi w:val="0"/>
              <w:spacing w:lineRule="auto" w:line="276" w:before="0" w:after="80"/>
              <w:jc w:val="start"/>
              <w:rPr/>
            </w:pPr>
            <w:r>
              <w:rPr>
                <w:color w:val="222222"/>
                <w:sz w:val="17"/>
              </w:rPr>
              <w:t>3</w:t>
            </w:r>
          </w:p>
        </w:tc>
      </w:tr>
      <w:tr>
        <w:trPr>
          <w:cantSplit/>
        </w:trPr>
        <w:tc>
          <w:tcPr>
            <w:tcW w:w="1358" w:type="dxa"/>
            <w:tcBorders/>
            <w:shd w:fill="F7F9FB" w:val="clear"/>
            <w:vAlign w:val="center"/>
          </w:tcPr>
          <w:p>
            <w:pPr>
              <w:pStyle w:val="Normal"/>
              <w:widowControl/>
              <w:bidi w:val="0"/>
              <w:spacing w:lineRule="auto" w:line="276" w:before="0" w:after="80"/>
              <w:jc w:val="start"/>
              <w:rPr/>
            </w:pPr>
            <w:r>
              <w:rPr>
                <w:color w:val="222222"/>
                <w:sz w:val="17"/>
              </w:rPr>
              <w:t>Regresión Logística</w:t>
            </w:r>
          </w:p>
        </w:tc>
        <w:tc>
          <w:tcPr>
            <w:tcW w:w="1357" w:type="dxa"/>
            <w:tcBorders/>
            <w:shd w:fill="F7F9FB" w:val="clear"/>
            <w:vAlign w:val="center"/>
          </w:tcPr>
          <w:p>
            <w:pPr>
              <w:pStyle w:val="Normal"/>
              <w:widowControl/>
              <w:bidi w:val="0"/>
              <w:spacing w:lineRule="auto" w:line="276" w:before="0" w:after="80"/>
              <w:jc w:val="start"/>
              <w:rPr/>
            </w:pPr>
            <w:r>
              <w:rPr>
                <w:color w:val="222222"/>
                <w:sz w:val="17"/>
              </w:rPr>
              <w:t>0.9890</w:t>
            </w:r>
          </w:p>
        </w:tc>
        <w:tc>
          <w:tcPr>
            <w:tcW w:w="1359" w:type="dxa"/>
            <w:tcBorders/>
            <w:shd w:fill="F7F9FB" w:val="clear"/>
            <w:vAlign w:val="center"/>
          </w:tcPr>
          <w:p>
            <w:pPr>
              <w:pStyle w:val="Normal"/>
              <w:widowControl/>
              <w:bidi w:val="0"/>
              <w:spacing w:lineRule="auto" w:line="276" w:before="0" w:after="80"/>
              <w:jc w:val="start"/>
              <w:rPr/>
            </w:pPr>
            <w:r>
              <w:rPr>
                <w:color w:val="222222"/>
                <w:sz w:val="17"/>
              </w:rPr>
              <w:t>0.9824 ± 0.013</w:t>
            </w:r>
          </w:p>
        </w:tc>
        <w:tc>
          <w:tcPr>
            <w:tcW w:w="1357" w:type="dxa"/>
            <w:tcBorders/>
            <w:shd w:fill="F7F9FB" w:val="clear"/>
            <w:vAlign w:val="center"/>
          </w:tcPr>
          <w:p>
            <w:pPr>
              <w:pStyle w:val="Normal"/>
              <w:widowControl/>
              <w:bidi w:val="0"/>
              <w:spacing w:lineRule="auto" w:line="276" w:before="0" w:after="80"/>
              <w:jc w:val="start"/>
              <w:rPr/>
            </w:pPr>
            <w:r>
              <w:rPr>
                <w:color w:val="222222"/>
                <w:sz w:val="17"/>
              </w:rPr>
              <w:t>0.9825</w:t>
            </w:r>
          </w:p>
        </w:tc>
        <w:tc>
          <w:tcPr>
            <w:tcW w:w="1359" w:type="dxa"/>
            <w:tcBorders/>
            <w:shd w:fill="F7F9FB" w:val="clear"/>
            <w:vAlign w:val="center"/>
          </w:tcPr>
          <w:p>
            <w:pPr>
              <w:pStyle w:val="Normal"/>
              <w:widowControl/>
              <w:bidi w:val="0"/>
              <w:spacing w:lineRule="auto" w:line="276" w:before="0" w:after="80"/>
              <w:jc w:val="start"/>
              <w:rPr/>
            </w:pPr>
            <w:r>
              <w:rPr>
                <w:color w:val="222222"/>
                <w:sz w:val="17"/>
              </w:rPr>
              <w:t>0.9762</w:t>
            </w:r>
          </w:p>
        </w:tc>
        <w:tc>
          <w:tcPr>
            <w:tcW w:w="1357" w:type="dxa"/>
            <w:tcBorders/>
            <w:shd w:fill="F7F9FB" w:val="clear"/>
            <w:vAlign w:val="center"/>
          </w:tcPr>
          <w:p>
            <w:pPr>
              <w:pStyle w:val="Normal"/>
              <w:widowControl/>
              <w:bidi w:val="0"/>
              <w:spacing w:lineRule="auto" w:line="276" w:before="0" w:after="80"/>
              <w:jc w:val="start"/>
              <w:rPr/>
            </w:pPr>
            <w:r>
              <w:rPr>
                <w:color w:val="222222"/>
                <w:sz w:val="17"/>
              </w:rPr>
              <w:t>0.9954</w:t>
            </w:r>
          </w:p>
        </w:tc>
        <w:tc>
          <w:tcPr>
            <w:tcW w:w="1359" w:type="dxa"/>
            <w:tcBorders/>
            <w:shd w:fill="F7F9FB" w:val="clear"/>
            <w:vAlign w:val="center"/>
          </w:tcPr>
          <w:p>
            <w:pPr>
              <w:pStyle w:val="Normal"/>
              <w:widowControl/>
              <w:bidi w:val="0"/>
              <w:spacing w:lineRule="auto" w:line="276" w:before="0" w:after="80"/>
              <w:jc w:val="start"/>
              <w:rPr/>
            </w:pPr>
            <w:r>
              <w:rPr>
                <w:color w:val="222222"/>
                <w:sz w:val="17"/>
              </w:rPr>
              <w:t>1</w:t>
            </w:r>
          </w:p>
        </w:tc>
      </w:tr>
    </w:tbl>
    <w:p>
      <w:pPr>
        <w:pStyle w:val="Normal"/>
        <w:keepNext w:val="true"/>
        <w:spacing w:before="160" w:after="40"/>
        <w:jc w:val="center"/>
        <w:rPr/>
      </w:pPr>
      <w:r>
        <w:rPr/>
        <w:drawing>
          <wp:inline distT="0" distB="0" distL="0" distR="0">
            <wp:extent cx="5669280" cy="16935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5669280" cy="1693545"/>
                    </a:xfrm>
                    <a:prstGeom prst="rect">
                      <a:avLst/>
                    </a:prstGeom>
                    <a:noFill/>
                  </pic:spPr>
                </pic:pic>
              </a:graphicData>
            </a:graphic>
          </wp:inline>
        </w:drawing>
      </w:r>
    </w:p>
    <w:p>
      <w:pPr>
        <w:pStyle w:val="Normal"/>
        <w:spacing w:before="40" w:after="160"/>
        <w:jc w:val="center"/>
        <w:rPr/>
      </w:pPr>
      <w:r>
        <w:rPr>
          <w:i/>
          <w:color w:val="646464"/>
          <w:sz w:val="17"/>
        </w:rPr>
        <w:t>Figura 1: Comparativa de exactitud (train, CV 10-Fold y test) y diagramas de caja en breast_cancer.</w:t>
      </w:r>
    </w:p>
    <w:p>
      <w:pPr>
        <w:pStyle w:val="Normal"/>
        <w:keepNext w:val="true"/>
        <w:spacing w:before="160" w:after="40"/>
        <w:jc w:val="center"/>
        <w:rPr/>
      </w:pPr>
      <w:r>
        <w:rPr/>
        <w:drawing>
          <wp:inline distT="0" distB="0" distL="0" distR="0">
            <wp:extent cx="5669280" cy="10687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5669280" cy="1068705"/>
                    </a:xfrm>
                    <a:prstGeom prst="rect">
                      <a:avLst/>
                    </a:prstGeom>
                    <a:noFill/>
                  </pic:spPr>
                </pic:pic>
              </a:graphicData>
            </a:graphic>
          </wp:inline>
        </w:drawing>
      </w:r>
    </w:p>
    <w:p>
      <w:pPr>
        <w:pStyle w:val="Normal"/>
        <w:spacing w:before="40" w:after="160"/>
        <w:jc w:val="center"/>
        <w:rPr/>
      </w:pPr>
      <w:r>
        <w:rPr>
          <w:i/>
          <w:color w:val="646464"/>
          <w:sz w:val="17"/>
        </w:rPr>
        <w:t>Figura 2: Matrices de confusión en el conjunto de prueba independiente para los 5 modelos del Ítem 1.</w:t>
      </w:r>
    </w:p>
    <w:p>
      <w:pPr>
        <w:pStyle w:val="Normal"/>
        <w:keepNext w:val="true"/>
        <w:spacing w:before="160" w:after="40"/>
        <w:jc w:val="center"/>
        <w:rPr/>
      </w:pPr>
      <w:r>
        <w:rPr/>
        <w:drawing>
          <wp:inline distT="0" distB="0" distL="0" distR="0">
            <wp:extent cx="5669280" cy="27984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5669280" cy="2798445"/>
                    </a:xfrm>
                    <a:prstGeom prst="rect">
                      <a:avLst/>
                    </a:prstGeom>
                    <a:noFill/>
                  </pic:spPr>
                </pic:pic>
              </a:graphicData>
            </a:graphic>
          </wp:inline>
        </w:drawing>
      </w:r>
    </w:p>
    <w:p>
      <w:pPr>
        <w:pStyle w:val="Normal"/>
        <w:spacing w:before="40" w:after="160"/>
        <w:jc w:val="center"/>
        <w:rPr/>
      </w:pPr>
      <w:r>
        <w:rPr>
          <w:i/>
          <w:color w:val="646464"/>
          <w:sz w:val="17"/>
        </w:rPr>
        <w:t>Figura 3: Curva de complejidad sesgo-varianza: exactitud vs. max_depth para Gini y Entropía frente a Regresión Logística.</w:t>
      </w:r>
    </w:p>
    <w:p>
      <w:pPr>
        <w:pStyle w:val="Normal"/>
        <w:keepNext w:val="true"/>
        <w:spacing w:before="160" w:after="40"/>
        <w:jc w:val="center"/>
        <w:rPr/>
      </w:pPr>
      <w:r>
        <w:rPr/>
        <w:drawing>
          <wp:inline distT="0" distB="0" distL="0" distR="0">
            <wp:extent cx="5669280" cy="197231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5669280" cy="1972310"/>
                    </a:xfrm>
                    <a:prstGeom prst="rect">
                      <a:avLst/>
                    </a:prstGeom>
                    <a:noFill/>
                  </pic:spPr>
                </pic:pic>
              </a:graphicData>
            </a:graphic>
          </wp:inline>
        </w:drawing>
      </w:r>
    </w:p>
    <w:p>
      <w:pPr>
        <w:pStyle w:val="Normal"/>
        <w:spacing w:before="40" w:after="160"/>
        <w:jc w:val="center"/>
        <w:rPr/>
      </w:pPr>
      <w:r>
        <w:rPr>
          <w:i/>
          <w:color w:val="646464"/>
          <w:sz w:val="17"/>
        </w:rPr>
        <w:t>Figura 4: Variables más relevantes según reducción de impureza en árboles CART y magnitud de coeficientes en Regresión Logística.</w:t>
      </w:r>
    </w:p>
    <w:p>
      <w:pPr>
        <w:pStyle w:val="Heading2"/>
        <w:rPr/>
      </w:pPr>
      <w:bookmarkStart w:id="5" w:name="__RefHeading___Toc1047_3384329428"/>
      <w:bookmarkEnd w:id="5"/>
      <w:r>
        <w:rPr/>
        <w:t>Respuesta Justificada: ¿Cuál es mejor en el Ítem 1?</w:t>
      </w:r>
    </w:p>
    <w:p>
      <w:pPr>
        <w:pStyle w:val="Normal"/>
        <w:rPr/>
      </w:pPr>
      <w:r>
        <w:rPr/>
        <w:t>La Regresión Logística es contundentemente el mejor modelo para el conjunto de datos breast_cancer. Alcanza una exactitud en validación cruzada de 98.24% ± 1.33% y en prueba de 98.25%, con un área bajo la curva ROC de 0.9954 y un F1-Score en la clase crítica (tumores malignos) de 0.9762, cometiendo un solo falso negativo en prueba (FN = 1). En comparación, el mejor árbol podado (Gini) alcanza 93.62% en CV, 92.11% en test y 4 falsos negativos, mientras que los árboles sin podar sufren de sobreajuste severo (100% en train pero 91.23% en test).</w:t>
      </w:r>
    </w:p>
    <w:p>
      <w:pPr>
        <w:pStyle w:val="Normal"/>
        <w:rPr/>
      </w:pPr>
      <w:r>
        <w:rPr/>
        <w:t>Fundamento Teórico: El dataset breast_cancer posee 30 variables continuas de alta colinealidad con fronteras de decisión suaves y aproximadamente separables por un hiperplano lineal. La Regresión Logística combina ponderadamente todas las características simultáneamente a través de un sigmoide continuo. En contraste, los árboles CART intentan aproximar esta frontera mediante escalones rectangulares ortogonales eje a eje, lo que fragmenta los datos en exceso y requiere muchos cortes locales que incrementan la varianza. Entre Gini y Entropía, el índice Gini demostró un rendimiento ligeramente superior en validación cruzada (93.62% vs 93.19%) y un tiempo de cómputo marginalmente más rápido (0.0058 s vs 0.0068 s).</w:t>
      </w:r>
    </w:p>
    <w:p>
      <w:pPr>
        <w:pStyle w:val="Heading1"/>
        <w:rPr/>
      </w:pPr>
      <w:bookmarkStart w:id="6" w:name="__RefHeading___Toc1049_3384329428"/>
      <w:bookmarkEnd w:id="6"/>
      <w:r>
        <w:rPr/>
        <w:t>4. Ítem 2: Hiperparámetros en Árboles de Regresión vs. Regresor Lineal</w:t>
      </w:r>
    </w:p>
    <w:tbl>
      <w:tblPr>
        <w:tblW w:w="9504" w:type="dxa"/>
        <w:jc w:val="center"/>
        <w:tblInd w:w="0" w:type="dxa"/>
        <w:tblLayout w:type="fixed"/>
        <w:tblCellMar>
          <w:top w:w="140" w:type="dxa"/>
          <w:start w:w="200" w:type="dxa"/>
          <w:bottom w:w="140" w:type="dxa"/>
          <w:end w:w="200" w:type="dxa"/>
        </w:tblCellMar>
        <w:tblLook w:noHBand="0" w:noVBand="1" w:firstColumn="1" w:lastRow="0" w:lastColumn="0" w:firstRow="1" w:val="04a0"/>
      </w:tblPr>
      <w:tblGrid>
        <w:gridCol w:w="9504"/>
      </w:tblGrid>
      <w:tr>
        <w:trPr/>
        <w:tc>
          <w:tcPr>
            <w:tcW w:w="9504" w:type="dxa"/>
            <w:tcBorders>
              <w:start w:val="single" w:sz="24" w:space="0" w:color="1B365D"/>
            </w:tcBorders>
            <w:shd w:fill="F5F8FC" w:val="clear"/>
          </w:tcPr>
          <w:p>
            <w:pPr>
              <w:pStyle w:val="Normal"/>
              <w:spacing w:before="40" w:after="40"/>
              <w:rPr/>
            </w:pPr>
            <w:r>
              <w:rPr>
                <w:b/>
                <w:color w:val="1B365D"/>
                <w:sz w:val="19"/>
              </w:rPr>
              <w:t>Enunciado del Ítem 2</w:t>
              <w:br/>
            </w:r>
            <w:r>
              <w:rPr>
                <w:color w:val="222222"/>
                <w:sz w:val="18"/>
              </w:rPr>
              <w:t>Entrene modelos de árboles de decisión con varias configuraciones de hiper parámetros usando el dataset auto_mpg, comparar su eficiencia con respecto a un modelo lineal como el Regresor Lineal. ¿Cuál es el mejor?</w:t>
            </w:r>
          </w:p>
        </w:tc>
      </w:tr>
    </w:tbl>
    <w:p>
      <w:pPr>
        <w:pStyle w:val="Normal"/>
        <w:spacing w:before="0" w:after="80"/>
        <w:rPr/>
      </w:pPr>
      <w:r>
        <w:rPr/>
      </w:r>
    </w:p>
    <w:p>
      <w:pPr>
        <w:pStyle w:val="Normal"/>
        <w:rPr/>
      </w:pPr>
      <w:r>
        <w:rPr/>
        <w:t>El dataset auto_mpg comprende 398 automóviles con 7 variables predictoras para estimar el rendimiento de combustible en mpg. Los 6 valores faltantes en 'horsepower' se imputaron con la mediana del conjunto de entrenamiento dentro del pipeline y la variable nominal 'origin' se codificó mediante One-Hot. Se evaluaron: Regresión Lineal, CART sin podar, CART podado con max_depth=3, CART podado con depth=5 y min_samples_leaf=5, CART podado con leaf=10%, y CART optimizado con GridSearchCV.</w:t>
      </w:r>
    </w:p>
    <w:tbl>
      <w:tblPr>
        <w:tblW w:w="9506" w:type="dxa"/>
        <w:jc w:val="center"/>
        <w:tblInd w:w="0" w:type="dxa"/>
        <w:tblLayout w:type="fixed"/>
        <w:tblCellMar>
          <w:top w:w="100" w:type="dxa"/>
          <w:start w:w="130" w:type="dxa"/>
          <w:bottom w:w="100" w:type="dxa"/>
          <w:end w:w="130" w:type="dxa"/>
        </w:tblCellMar>
        <w:tblLook w:noHBand="0" w:noVBand="1" w:firstColumn="1" w:lastRow="0" w:lastColumn="0" w:firstRow="1" w:val="04a0"/>
      </w:tblPr>
      <w:tblGrid>
        <w:gridCol w:w="1358"/>
        <w:gridCol w:w="1357"/>
        <w:gridCol w:w="1359"/>
        <w:gridCol w:w="1357"/>
        <w:gridCol w:w="1359"/>
        <w:gridCol w:w="1357"/>
        <w:gridCol w:w="1359"/>
      </w:tblGrid>
      <w:tr>
        <w:trPr>
          <w:tblHeader w:val="true"/>
          <w:cantSplit/>
        </w:trPr>
        <w:tc>
          <w:tcPr>
            <w:tcW w:w="1358" w:type="dxa"/>
            <w:tcBorders/>
            <w:shd w:fill="1B365D" w:val="clear"/>
            <w:vAlign w:val="center"/>
          </w:tcPr>
          <w:p>
            <w:pPr>
              <w:pStyle w:val="Normal"/>
              <w:spacing w:before="0" w:after="80"/>
              <w:jc w:val="center"/>
              <w:rPr/>
            </w:pPr>
            <w:r>
              <w:rPr>
                <w:b/>
                <w:color w:val="FFFFFF"/>
                <w:sz w:val="17"/>
              </w:rPr>
              <w:t>Modelo</w:t>
            </w:r>
          </w:p>
        </w:tc>
        <w:tc>
          <w:tcPr>
            <w:tcW w:w="1357" w:type="dxa"/>
            <w:tcBorders/>
            <w:shd w:fill="1B365D" w:val="clear"/>
            <w:vAlign w:val="center"/>
          </w:tcPr>
          <w:p>
            <w:pPr>
              <w:pStyle w:val="Normal"/>
              <w:spacing w:before="0" w:after="80"/>
              <w:jc w:val="center"/>
              <w:rPr/>
            </w:pPr>
            <w:r>
              <w:rPr>
                <w:b/>
                <w:color w:val="FFFFFF"/>
                <w:sz w:val="17"/>
              </w:rPr>
              <w:t>RMSE Train</w:t>
            </w:r>
          </w:p>
        </w:tc>
        <w:tc>
          <w:tcPr>
            <w:tcW w:w="1359" w:type="dxa"/>
            <w:tcBorders/>
            <w:shd w:fill="1B365D" w:val="clear"/>
            <w:vAlign w:val="center"/>
          </w:tcPr>
          <w:p>
            <w:pPr>
              <w:pStyle w:val="Normal"/>
              <w:spacing w:before="0" w:after="80"/>
              <w:jc w:val="center"/>
              <w:rPr/>
            </w:pPr>
            <w:r>
              <w:rPr>
                <w:b/>
                <w:color w:val="FFFFFF"/>
                <w:sz w:val="17"/>
              </w:rPr>
              <w:t>RMSE CV</w:t>
            </w:r>
          </w:p>
        </w:tc>
        <w:tc>
          <w:tcPr>
            <w:tcW w:w="1357" w:type="dxa"/>
            <w:tcBorders/>
            <w:shd w:fill="1B365D" w:val="clear"/>
            <w:vAlign w:val="center"/>
          </w:tcPr>
          <w:p>
            <w:pPr>
              <w:pStyle w:val="Normal"/>
              <w:spacing w:before="0" w:after="80"/>
              <w:jc w:val="center"/>
              <w:rPr/>
            </w:pPr>
            <w:r>
              <w:rPr>
                <w:b/>
                <w:color w:val="FFFFFF"/>
                <w:sz w:val="17"/>
              </w:rPr>
              <w:t>RMSE Test</w:t>
            </w:r>
          </w:p>
        </w:tc>
        <w:tc>
          <w:tcPr>
            <w:tcW w:w="1359" w:type="dxa"/>
            <w:tcBorders/>
            <w:shd w:fill="1B365D" w:val="clear"/>
            <w:vAlign w:val="center"/>
          </w:tcPr>
          <w:p>
            <w:pPr>
              <w:pStyle w:val="Normal"/>
              <w:spacing w:before="0" w:after="80"/>
              <w:jc w:val="center"/>
              <w:rPr/>
            </w:pPr>
            <w:r>
              <w:rPr>
                <w:b/>
                <w:color w:val="FFFFFF"/>
                <w:sz w:val="17"/>
              </w:rPr>
              <w:t>MAE Test</w:t>
            </w:r>
          </w:p>
        </w:tc>
        <w:tc>
          <w:tcPr>
            <w:tcW w:w="1357" w:type="dxa"/>
            <w:tcBorders/>
            <w:shd w:fill="1B365D" w:val="clear"/>
            <w:vAlign w:val="center"/>
          </w:tcPr>
          <w:p>
            <w:pPr>
              <w:pStyle w:val="Normal"/>
              <w:spacing w:before="0" w:after="80"/>
              <w:jc w:val="center"/>
              <w:rPr/>
            </w:pPr>
            <w:r>
              <w:rPr>
                <w:b/>
                <w:color w:val="FFFFFF"/>
                <w:sz w:val="17"/>
              </w:rPr>
              <w:t>R² Test</w:t>
            </w:r>
          </w:p>
        </w:tc>
        <w:tc>
          <w:tcPr>
            <w:tcW w:w="1359" w:type="dxa"/>
            <w:tcBorders/>
            <w:shd w:fill="1B365D" w:val="clear"/>
            <w:vAlign w:val="center"/>
          </w:tcPr>
          <w:p>
            <w:pPr>
              <w:pStyle w:val="Normal"/>
              <w:spacing w:before="0" w:after="80"/>
              <w:jc w:val="center"/>
              <w:rPr/>
            </w:pPr>
            <w:r>
              <w:rPr>
                <w:b/>
                <w:color w:val="FFFFFF"/>
                <w:sz w:val="17"/>
              </w:rPr>
              <w:t>Diagnóstico</w:t>
            </w:r>
          </w:p>
        </w:tc>
      </w:tr>
      <w:tr>
        <w:trPr>
          <w:cantSplit/>
        </w:trPr>
        <w:tc>
          <w:tcPr>
            <w:tcW w:w="1358" w:type="dxa"/>
            <w:tcBorders/>
            <w:shd w:fill="F7F9FB" w:val="clear"/>
            <w:vAlign w:val="center"/>
          </w:tcPr>
          <w:p>
            <w:pPr>
              <w:pStyle w:val="Normal"/>
              <w:widowControl/>
              <w:bidi w:val="0"/>
              <w:spacing w:lineRule="auto" w:line="276" w:before="0" w:after="80"/>
              <w:jc w:val="start"/>
              <w:rPr/>
            </w:pPr>
            <w:r>
              <w:rPr>
                <w:color w:val="222222"/>
                <w:sz w:val="17"/>
              </w:rPr>
              <w:t>Regresión Lineal</w:t>
            </w:r>
          </w:p>
        </w:tc>
        <w:tc>
          <w:tcPr>
            <w:tcW w:w="1357" w:type="dxa"/>
            <w:tcBorders/>
            <w:shd w:fill="F7F9FB" w:val="clear"/>
            <w:vAlign w:val="center"/>
          </w:tcPr>
          <w:p>
            <w:pPr>
              <w:pStyle w:val="Normal"/>
              <w:widowControl/>
              <w:bidi w:val="0"/>
              <w:spacing w:lineRule="auto" w:line="276" w:before="0" w:after="80"/>
              <w:jc w:val="start"/>
              <w:rPr/>
            </w:pPr>
            <w:r>
              <w:rPr>
                <w:color w:val="222222"/>
                <w:sz w:val="17"/>
              </w:rPr>
              <w:t>3.37</w:t>
            </w:r>
          </w:p>
        </w:tc>
        <w:tc>
          <w:tcPr>
            <w:tcW w:w="1359" w:type="dxa"/>
            <w:tcBorders/>
            <w:shd w:fill="F7F9FB" w:val="clear"/>
            <w:vAlign w:val="center"/>
          </w:tcPr>
          <w:p>
            <w:pPr>
              <w:pStyle w:val="Normal"/>
              <w:widowControl/>
              <w:bidi w:val="0"/>
              <w:spacing w:lineRule="auto" w:line="276" w:before="0" w:after="80"/>
              <w:jc w:val="start"/>
              <w:rPr/>
            </w:pPr>
            <w:r>
              <w:rPr>
                <w:color w:val="222222"/>
                <w:sz w:val="17"/>
              </w:rPr>
              <w:t>3.45 ± 0.53</w:t>
            </w:r>
          </w:p>
        </w:tc>
        <w:tc>
          <w:tcPr>
            <w:tcW w:w="1357" w:type="dxa"/>
            <w:tcBorders/>
            <w:shd w:fill="F7F9FB" w:val="clear"/>
            <w:vAlign w:val="center"/>
          </w:tcPr>
          <w:p>
            <w:pPr>
              <w:pStyle w:val="Normal"/>
              <w:widowControl/>
              <w:bidi w:val="0"/>
              <w:spacing w:lineRule="auto" w:line="276" w:before="0" w:after="80"/>
              <w:jc w:val="start"/>
              <w:rPr/>
            </w:pPr>
            <w:r>
              <w:rPr>
                <w:color w:val="222222"/>
                <w:sz w:val="17"/>
              </w:rPr>
              <w:t>2.89</w:t>
            </w:r>
          </w:p>
        </w:tc>
        <w:tc>
          <w:tcPr>
            <w:tcW w:w="1359" w:type="dxa"/>
            <w:tcBorders/>
            <w:shd w:fill="F7F9FB" w:val="clear"/>
            <w:vAlign w:val="center"/>
          </w:tcPr>
          <w:p>
            <w:pPr>
              <w:pStyle w:val="Normal"/>
              <w:widowControl/>
              <w:bidi w:val="0"/>
              <w:spacing w:lineRule="auto" w:line="276" w:before="0" w:after="80"/>
              <w:jc w:val="start"/>
              <w:rPr/>
            </w:pPr>
            <w:r>
              <w:rPr>
                <w:color w:val="222222"/>
                <w:sz w:val="17"/>
              </w:rPr>
              <w:t>2.29</w:t>
            </w:r>
          </w:p>
        </w:tc>
        <w:tc>
          <w:tcPr>
            <w:tcW w:w="1357" w:type="dxa"/>
            <w:tcBorders/>
            <w:shd w:fill="F7F9FB" w:val="clear"/>
            <w:vAlign w:val="center"/>
          </w:tcPr>
          <w:p>
            <w:pPr>
              <w:pStyle w:val="Normal"/>
              <w:widowControl/>
              <w:bidi w:val="0"/>
              <w:spacing w:lineRule="auto" w:line="276" w:before="0" w:after="80"/>
              <w:jc w:val="start"/>
              <w:rPr/>
            </w:pPr>
            <w:r>
              <w:rPr>
                <w:color w:val="222222"/>
                <w:sz w:val="17"/>
              </w:rPr>
              <w:t>0.845</w:t>
            </w:r>
          </w:p>
        </w:tc>
        <w:tc>
          <w:tcPr>
            <w:tcW w:w="1359" w:type="dxa"/>
            <w:tcBorders/>
            <w:shd w:fill="F7F9FB" w:val="clear"/>
            <w:vAlign w:val="center"/>
          </w:tcPr>
          <w:p>
            <w:pPr>
              <w:pStyle w:val="Normal"/>
              <w:widowControl/>
              <w:bidi w:val="0"/>
              <w:spacing w:lineRule="auto" w:line="276" w:before="0" w:after="80"/>
              <w:jc w:val="start"/>
              <w:rPr/>
            </w:pPr>
            <w:r>
              <w:rPr>
                <w:color w:val="222222"/>
                <w:sz w:val="17"/>
              </w:rPr>
              <w:t>Equilibrado</w:t>
            </w:r>
          </w:p>
        </w:tc>
      </w:tr>
      <w:tr>
        <w:trPr>
          <w:cantSplit/>
        </w:trPr>
        <w:tc>
          <w:tcPr>
            <w:tcW w:w="1358" w:type="dxa"/>
            <w:tcBorders/>
            <w:shd w:fill="FFFFFF" w:val="clear"/>
            <w:vAlign w:val="center"/>
          </w:tcPr>
          <w:p>
            <w:pPr>
              <w:pStyle w:val="Normal"/>
              <w:widowControl/>
              <w:bidi w:val="0"/>
              <w:spacing w:lineRule="auto" w:line="276" w:before="0" w:after="80"/>
              <w:jc w:val="start"/>
              <w:rPr/>
            </w:pPr>
            <w:r>
              <w:rPr>
                <w:color w:val="222222"/>
                <w:sz w:val="17"/>
              </w:rPr>
              <w:t>CART-1 sin podar</w:t>
            </w:r>
          </w:p>
        </w:tc>
        <w:tc>
          <w:tcPr>
            <w:tcW w:w="1357" w:type="dxa"/>
            <w:tcBorders/>
            <w:shd w:fill="FFFFFF" w:val="clear"/>
            <w:vAlign w:val="center"/>
          </w:tcPr>
          <w:p>
            <w:pPr>
              <w:pStyle w:val="Normal"/>
              <w:widowControl/>
              <w:bidi w:val="0"/>
              <w:spacing w:lineRule="auto" w:line="276" w:before="0" w:after="80"/>
              <w:jc w:val="start"/>
              <w:rPr/>
            </w:pPr>
            <w:r>
              <w:rPr>
                <w:color w:val="222222"/>
                <w:sz w:val="17"/>
              </w:rPr>
              <w:t>0.00</w:t>
            </w:r>
          </w:p>
        </w:tc>
        <w:tc>
          <w:tcPr>
            <w:tcW w:w="1359" w:type="dxa"/>
            <w:tcBorders/>
            <w:shd w:fill="FFFFFF" w:val="clear"/>
            <w:vAlign w:val="center"/>
          </w:tcPr>
          <w:p>
            <w:pPr>
              <w:pStyle w:val="Normal"/>
              <w:widowControl/>
              <w:bidi w:val="0"/>
              <w:spacing w:lineRule="auto" w:line="276" w:before="0" w:after="80"/>
              <w:jc w:val="start"/>
              <w:rPr/>
            </w:pPr>
            <w:r>
              <w:rPr>
                <w:color w:val="222222"/>
                <w:sz w:val="17"/>
              </w:rPr>
              <w:t>3.80 ± 0.95</w:t>
            </w:r>
          </w:p>
        </w:tc>
        <w:tc>
          <w:tcPr>
            <w:tcW w:w="1357" w:type="dxa"/>
            <w:tcBorders/>
            <w:shd w:fill="FFFFFF" w:val="clear"/>
            <w:vAlign w:val="center"/>
          </w:tcPr>
          <w:p>
            <w:pPr>
              <w:pStyle w:val="Normal"/>
              <w:widowControl/>
              <w:bidi w:val="0"/>
              <w:spacing w:lineRule="auto" w:line="276" w:before="0" w:after="80"/>
              <w:jc w:val="start"/>
              <w:rPr/>
            </w:pPr>
            <w:r>
              <w:rPr>
                <w:color w:val="222222"/>
                <w:sz w:val="17"/>
              </w:rPr>
              <w:t>3.37</w:t>
            </w:r>
          </w:p>
        </w:tc>
        <w:tc>
          <w:tcPr>
            <w:tcW w:w="1359" w:type="dxa"/>
            <w:tcBorders/>
            <w:shd w:fill="FFFFFF" w:val="clear"/>
            <w:vAlign w:val="center"/>
          </w:tcPr>
          <w:p>
            <w:pPr>
              <w:pStyle w:val="Normal"/>
              <w:widowControl/>
              <w:bidi w:val="0"/>
              <w:spacing w:lineRule="auto" w:line="276" w:before="0" w:after="80"/>
              <w:jc w:val="start"/>
              <w:rPr/>
            </w:pPr>
            <w:r>
              <w:rPr>
                <w:color w:val="222222"/>
                <w:sz w:val="17"/>
              </w:rPr>
              <w:t>2.27</w:t>
            </w:r>
          </w:p>
        </w:tc>
        <w:tc>
          <w:tcPr>
            <w:tcW w:w="1357" w:type="dxa"/>
            <w:tcBorders/>
            <w:shd w:fill="FFFFFF" w:val="clear"/>
            <w:vAlign w:val="center"/>
          </w:tcPr>
          <w:p>
            <w:pPr>
              <w:pStyle w:val="Normal"/>
              <w:widowControl/>
              <w:bidi w:val="0"/>
              <w:spacing w:lineRule="auto" w:line="276" w:before="0" w:after="80"/>
              <w:jc w:val="start"/>
              <w:rPr/>
            </w:pPr>
            <w:r>
              <w:rPr>
                <w:color w:val="222222"/>
                <w:sz w:val="17"/>
              </w:rPr>
              <w:t>0.789</w:t>
            </w:r>
          </w:p>
        </w:tc>
        <w:tc>
          <w:tcPr>
            <w:tcW w:w="1359" w:type="dxa"/>
            <w:tcBorders/>
            <w:shd w:fill="FFFFFF" w:val="clear"/>
            <w:vAlign w:val="center"/>
          </w:tcPr>
          <w:p>
            <w:pPr>
              <w:pStyle w:val="Normal"/>
              <w:widowControl/>
              <w:bidi w:val="0"/>
              <w:spacing w:lineRule="auto" w:line="276" w:before="0" w:after="80"/>
              <w:jc w:val="start"/>
              <w:rPr/>
            </w:pPr>
            <w:r>
              <w:rPr>
                <w:color w:val="222222"/>
                <w:sz w:val="17"/>
              </w:rPr>
              <w:t>Sobreajuste</w:t>
            </w:r>
          </w:p>
        </w:tc>
      </w:tr>
      <w:tr>
        <w:trPr>
          <w:cantSplit/>
        </w:trPr>
        <w:tc>
          <w:tcPr>
            <w:tcW w:w="1358" w:type="dxa"/>
            <w:tcBorders/>
            <w:shd w:fill="F7F9FB" w:val="clear"/>
            <w:vAlign w:val="center"/>
          </w:tcPr>
          <w:p>
            <w:pPr>
              <w:pStyle w:val="Normal"/>
              <w:widowControl/>
              <w:bidi w:val="0"/>
              <w:spacing w:lineRule="auto" w:line="276" w:before="0" w:after="80"/>
              <w:jc w:val="start"/>
              <w:rPr/>
            </w:pPr>
            <w:r>
              <w:rPr>
                <w:color w:val="222222"/>
                <w:sz w:val="17"/>
              </w:rPr>
              <w:t>CART-2 max_depth=3</w:t>
            </w:r>
          </w:p>
        </w:tc>
        <w:tc>
          <w:tcPr>
            <w:tcW w:w="1357" w:type="dxa"/>
            <w:tcBorders/>
            <w:shd w:fill="F7F9FB" w:val="clear"/>
            <w:vAlign w:val="center"/>
          </w:tcPr>
          <w:p>
            <w:pPr>
              <w:pStyle w:val="Normal"/>
              <w:widowControl/>
              <w:bidi w:val="0"/>
              <w:spacing w:lineRule="auto" w:line="276" w:before="0" w:after="80"/>
              <w:jc w:val="start"/>
              <w:rPr/>
            </w:pPr>
            <w:r>
              <w:rPr>
                <w:color w:val="222222"/>
                <w:sz w:val="17"/>
              </w:rPr>
              <w:t>3.23</w:t>
            </w:r>
          </w:p>
        </w:tc>
        <w:tc>
          <w:tcPr>
            <w:tcW w:w="1359" w:type="dxa"/>
            <w:tcBorders/>
            <w:shd w:fill="F7F9FB" w:val="clear"/>
            <w:vAlign w:val="center"/>
          </w:tcPr>
          <w:p>
            <w:pPr>
              <w:pStyle w:val="Normal"/>
              <w:widowControl/>
              <w:bidi w:val="0"/>
              <w:spacing w:lineRule="auto" w:line="276" w:before="0" w:after="80"/>
              <w:jc w:val="start"/>
              <w:rPr/>
            </w:pPr>
            <w:r>
              <w:rPr>
                <w:color w:val="222222"/>
                <w:sz w:val="17"/>
              </w:rPr>
              <w:t>3.77 ± 0.53</w:t>
            </w:r>
          </w:p>
        </w:tc>
        <w:tc>
          <w:tcPr>
            <w:tcW w:w="1357" w:type="dxa"/>
            <w:tcBorders/>
            <w:shd w:fill="F7F9FB" w:val="clear"/>
            <w:vAlign w:val="center"/>
          </w:tcPr>
          <w:p>
            <w:pPr>
              <w:pStyle w:val="Normal"/>
              <w:widowControl/>
              <w:bidi w:val="0"/>
              <w:spacing w:lineRule="auto" w:line="276" w:before="0" w:after="80"/>
              <w:jc w:val="start"/>
              <w:rPr/>
            </w:pPr>
            <w:r>
              <w:rPr>
                <w:color w:val="222222"/>
                <w:sz w:val="17"/>
              </w:rPr>
              <w:t>3.72</w:t>
            </w:r>
          </w:p>
        </w:tc>
        <w:tc>
          <w:tcPr>
            <w:tcW w:w="1359" w:type="dxa"/>
            <w:tcBorders/>
            <w:shd w:fill="F7F9FB" w:val="clear"/>
            <w:vAlign w:val="center"/>
          </w:tcPr>
          <w:p>
            <w:pPr>
              <w:pStyle w:val="Normal"/>
              <w:widowControl/>
              <w:bidi w:val="0"/>
              <w:spacing w:lineRule="auto" w:line="276" w:before="0" w:after="80"/>
              <w:jc w:val="start"/>
              <w:rPr/>
            </w:pPr>
            <w:r>
              <w:rPr>
                <w:color w:val="222222"/>
                <w:sz w:val="17"/>
              </w:rPr>
              <w:t>2.68</w:t>
            </w:r>
          </w:p>
        </w:tc>
        <w:tc>
          <w:tcPr>
            <w:tcW w:w="1357" w:type="dxa"/>
            <w:tcBorders/>
            <w:shd w:fill="F7F9FB" w:val="clear"/>
            <w:vAlign w:val="center"/>
          </w:tcPr>
          <w:p>
            <w:pPr>
              <w:pStyle w:val="Normal"/>
              <w:widowControl/>
              <w:bidi w:val="0"/>
              <w:spacing w:lineRule="auto" w:line="276" w:before="0" w:after="80"/>
              <w:jc w:val="start"/>
              <w:rPr/>
            </w:pPr>
            <w:r>
              <w:rPr>
                <w:color w:val="222222"/>
                <w:sz w:val="17"/>
              </w:rPr>
              <w:t>0.743</w:t>
            </w:r>
          </w:p>
        </w:tc>
        <w:tc>
          <w:tcPr>
            <w:tcW w:w="1359" w:type="dxa"/>
            <w:tcBorders/>
            <w:shd w:fill="F7F9FB" w:val="clear"/>
            <w:vAlign w:val="center"/>
          </w:tcPr>
          <w:p>
            <w:pPr>
              <w:pStyle w:val="Normal"/>
              <w:widowControl/>
              <w:bidi w:val="0"/>
              <w:spacing w:lineRule="auto" w:line="276" w:before="0" w:after="80"/>
              <w:jc w:val="start"/>
              <w:rPr/>
            </w:pPr>
            <w:r>
              <w:rPr>
                <w:color w:val="222222"/>
                <w:sz w:val="17"/>
              </w:rPr>
              <w:t>Equilibrado</w:t>
            </w:r>
          </w:p>
        </w:tc>
      </w:tr>
      <w:tr>
        <w:trPr>
          <w:cantSplit/>
        </w:trPr>
        <w:tc>
          <w:tcPr>
            <w:tcW w:w="1358" w:type="dxa"/>
            <w:tcBorders/>
            <w:shd w:fill="FFFFFF" w:val="clear"/>
            <w:vAlign w:val="center"/>
          </w:tcPr>
          <w:p>
            <w:pPr>
              <w:pStyle w:val="Normal"/>
              <w:widowControl/>
              <w:bidi w:val="0"/>
              <w:spacing w:lineRule="auto" w:line="276" w:before="0" w:after="80"/>
              <w:jc w:val="start"/>
              <w:rPr/>
            </w:pPr>
            <w:r>
              <w:rPr>
                <w:color w:val="222222"/>
                <w:sz w:val="17"/>
              </w:rPr>
              <w:t>CART-3 depth=5, leaf=5, split=10</w:t>
            </w:r>
          </w:p>
        </w:tc>
        <w:tc>
          <w:tcPr>
            <w:tcW w:w="1357" w:type="dxa"/>
            <w:tcBorders/>
            <w:shd w:fill="FFFFFF" w:val="clear"/>
            <w:vAlign w:val="center"/>
          </w:tcPr>
          <w:p>
            <w:pPr>
              <w:pStyle w:val="Normal"/>
              <w:widowControl/>
              <w:bidi w:val="0"/>
              <w:spacing w:lineRule="auto" w:line="276" w:before="0" w:after="80"/>
              <w:jc w:val="start"/>
              <w:rPr/>
            </w:pPr>
            <w:r>
              <w:rPr>
                <w:color w:val="222222"/>
                <w:sz w:val="17"/>
              </w:rPr>
              <w:t>2.39</w:t>
            </w:r>
          </w:p>
        </w:tc>
        <w:tc>
          <w:tcPr>
            <w:tcW w:w="1359" w:type="dxa"/>
            <w:tcBorders/>
            <w:shd w:fill="FFFFFF" w:val="clear"/>
            <w:vAlign w:val="center"/>
          </w:tcPr>
          <w:p>
            <w:pPr>
              <w:pStyle w:val="Normal"/>
              <w:widowControl/>
              <w:bidi w:val="0"/>
              <w:spacing w:lineRule="auto" w:line="276" w:before="0" w:after="80"/>
              <w:jc w:val="start"/>
              <w:rPr/>
            </w:pPr>
            <w:r>
              <w:rPr>
                <w:color w:val="222222"/>
                <w:sz w:val="17"/>
              </w:rPr>
              <w:t>3.34 ± 0.63</w:t>
            </w:r>
          </w:p>
        </w:tc>
        <w:tc>
          <w:tcPr>
            <w:tcW w:w="1357" w:type="dxa"/>
            <w:tcBorders/>
            <w:shd w:fill="FFFFFF" w:val="clear"/>
            <w:vAlign w:val="center"/>
          </w:tcPr>
          <w:p>
            <w:pPr>
              <w:pStyle w:val="Normal"/>
              <w:widowControl/>
              <w:bidi w:val="0"/>
              <w:spacing w:lineRule="auto" w:line="276" w:before="0" w:after="80"/>
              <w:jc w:val="start"/>
              <w:rPr/>
            </w:pPr>
            <w:r>
              <w:rPr>
                <w:color w:val="222222"/>
                <w:sz w:val="17"/>
              </w:rPr>
              <w:t>2.71</w:t>
            </w:r>
          </w:p>
        </w:tc>
        <w:tc>
          <w:tcPr>
            <w:tcW w:w="1359" w:type="dxa"/>
            <w:tcBorders/>
            <w:shd w:fill="FFFFFF" w:val="clear"/>
            <w:vAlign w:val="center"/>
          </w:tcPr>
          <w:p>
            <w:pPr>
              <w:pStyle w:val="Normal"/>
              <w:widowControl/>
              <w:bidi w:val="0"/>
              <w:spacing w:lineRule="auto" w:line="276" w:before="0" w:after="80"/>
              <w:jc w:val="start"/>
              <w:rPr/>
            </w:pPr>
            <w:r>
              <w:rPr>
                <w:color w:val="222222"/>
                <w:sz w:val="17"/>
              </w:rPr>
              <w:t>2.03</w:t>
            </w:r>
          </w:p>
        </w:tc>
        <w:tc>
          <w:tcPr>
            <w:tcW w:w="1357" w:type="dxa"/>
            <w:tcBorders/>
            <w:shd w:fill="FFFFFF" w:val="clear"/>
            <w:vAlign w:val="center"/>
          </w:tcPr>
          <w:p>
            <w:pPr>
              <w:pStyle w:val="Normal"/>
              <w:widowControl/>
              <w:bidi w:val="0"/>
              <w:spacing w:lineRule="auto" w:line="276" w:before="0" w:after="80"/>
              <w:jc w:val="start"/>
              <w:rPr/>
            </w:pPr>
            <w:r>
              <w:rPr>
                <w:color w:val="222222"/>
                <w:sz w:val="17"/>
              </w:rPr>
              <w:t>0.863</w:t>
            </w:r>
          </w:p>
        </w:tc>
        <w:tc>
          <w:tcPr>
            <w:tcW w:w="1359" w:type="dxa"/>
            <w:tcBorders/>
            <w:shd w:fill="FFFFFF" w:val="clear"/>
            <w:vAlign w:val="center"/>
          </w:tcPr>
          <w:p>
            <w:pPr>
              <w:pStyle w:val="Normal"/>
              <w:widowControl/>
              <w:bidi w:val="0"/>
              <w:spacing w:lineRule="auto" w:line="276" w:before="0" w:after="80"/>
              <w:jc w:val="start"/>
              <w:rPr/>
            </w:pPr>
            <w:r>
              <w:rPr>
                <w:color w:val="222222"/>
                <w:sz w:val="17"/>
              </w:rPr>
              <w:t>Equilibrado</w:t>
            </w:r>
          </w:p>
        </w:tc>
      </w:tr>
      <w:tr>
        <w:trPr>
          <w:cantSplit/>
        </w:trPr>
        <w:tc>
          <w:tcPr>
            <w:tcW w:w="1358" w:type="dxa"/>
            <w:tcBorders/>
            <w:shd w:fill="F7F9FB" w:val="clear"/>
            <w:vAlign w:val="center"/>
          </w:tcPr>
          <w:p>
            <w:pPr>
              <w:pStyle w:val="Normal"/>
              <w:widowControl/>
              <w:bidi w:val="0"/>
              <w:spacing w:lineRule="auto" w:line="276" w:before="0" w:after="80"/>
              <w:jc w:val="start"/>
              <w:rPr/>
            </w:pPr>
            <w:r>
              <w:rPr>
                <w:color w:val="222222"/>
                <w:sz w:val="17"/>
              </w:rPr>
              <w:t>CART-4 depth=4, leaf=10%</w:t>
            </w:r>
          </w:p>
        </w:tc>
        <w:tc>
          <w:tcPr>
            <w:tcW w:w="1357" w:type="dxa"/>
            <w:tcBorders/>
            <w:shd w:fill="F7F9FB" w:val="clear"/>
            <w:vAlign w:val="center"/>
          </w:tcPr>
          <w:p>
            <w:pPr>
              <w:pStyle w:val="Normal"/>
              <w:widowControl/>
              <w:bidi w:val="0"/>
              <w:spacing w:lineRule="auto" w:line="276" w:before="0" w:after="80"/>
              <w:jc w:val="start"/>
              <w:rPr/>
            </w:pPr>
            <w:r>
              <w:rPr>
                <w:color w:val="222222"/>
                <w:sz w:val="17"/>
              </w:rPr>
              <w:t>3.42</w:t>
            </w:r>
          </w:p>
        </w:tc>
        <w:tc>
          <w:tcPr>
            <w:tcW w:w="1359" w:type="dxa"/>
            <w:tcBorders/>
            <w:shd w:fill="F7F9FB" w:val="clear"/>
            <w:vAlign w:val="center"/>
          </w:tcPr>
          <w:p>
            <w:pPr>
              <w:pStyle w:val="Normal"/>
              <w:widowControl/>
              <w:bidi w:val="0"/>
              <w:spacing w:lineRule="auto" w:line="276" w:before="0" w:after="80"/>
              <w:jc w:val="start"/>
              <w:rPr/>
            </w:pPr>
            <w:r>
              <w:rPr>
                <w:color w:val="222222"/>
                <w:sz w:val="17"/>
              </w:rPr>
              <w:t>3.82 ± 0.59</w:t>
            </w:r>
          </w:p>
        </w:tc>
        <w:tc>
          <w:tcPr>
            <w:tcW w:w="1357" w:type="dxa"/>
            <w:tcBorders/>
            <w:shd w:fill="F7F9FB" w:val="clear"/>
            <w:vAlign w:val="center"/>
          </w:tcPr>
          <w:p>
            <w:pPr>
              <w:pStyle w:val="Normal"/>
              <w:widowControl/>
              <w:bidi w:val="0"/>
              <w:spacing w:lineRule="auto" w:line="276" w:before="0" w:after="80"/>
              <w:jc w:val="start"/>
              <w:rPr/>
            </w:pPr>
            <w:r>
              <w:rPr>
                <w:color w:val="222222"/>
                <w:sz w:val="17"/>
              </w:rPr>
              <w:t>3.32</w:t>
            </w:r>
          </w:p>
        </w:tc>
        <w:tc>
          <w:tcPr>
            <w:tcW w:w="1359" w:type="dxa"/>
            <w:tcBorders/>
            <w:shd w:fill="F7F9FB" w:val="clear"/>
            <w:vAlign w:val="center"/>
          </w:tcPr>
          <w:p>
            <w:pPr>
              <w:pStyle w:val="Normal"/>
              <w:widowControl/>
              <w:bidi w:val="0"/>
              <w:spacing w:lineRule="auto" w:line="276" w:before="0" w:after="80"/>
              <w:jc w:val="start"/>
              <w:rPr/>
            </w:pPr>
            <w:r>
              <w:rPr>
                <w:color w:val="222222"/>
                <w:sz w:val="17"/>
              </w:rPr>
              <w:t>2.61</w:t>
            </w:r>
          </w:p>
        </w:tc>
        <w:tc>
          <w:tcPr>
            <w:tcW w:w="1357" w:type="dxa"/>
            <w:tcBorders/>
            <w:shd w:fill="F7F9FB" w:val="clear"/>
            <w:vAlign w:val="center"/>
          </w:tcPr>
          <w:p>
            <w:pPr>
              <w:pStyle w:val="Normal"/>
              <w:widowControl/>
              <w:bidi w:val="0"/>
              <w:spacing w:lineRule="auto" w:line="276" w:before="0" w:after="80"/>
              <w:jc w:val="start"/>
              <w:rPr/>
            </w:pPr>
            <w:r>
              <w:rPr>
                <w:color w:val="222222"/>
                <w:sz w:val="17"/>
              </w:rPr>
              <w:t>0.795</w:t>
            </w:r>
          </w:p>
        </w:tc>
        <w:tc>
          <w:tcPr>
            <w:tcW w:w="1359" w:type="dxa"/>
            <w:tcBorders/>
            <w:shd w:fill="F7F9FB" w:val="clear"/>
            <w:vAlign w:val="center"/>
          </w:tcPr>
          <w:p>
            <w:pPr>
              <w:pStyle w:val="Normal"/>
              <w:widowControl/>
              <w:bidi w:val="0"/>
              <w:spacing w:lineRule="auto" w:line="276" w:before="0" w:after="80"/>
              <w:jc w:val="start"/>
              <w:rPr/>
            </w:pPr>
            <w:r>
              <w:rPr>
                <w:color w:val="222222"/>
                <w:sz w:val="17"/>
              </w:rPr>
              <w:t>Equilibrado</w:t>
            </w:r>
          </w:p>
        </w:tc>
      </w:tr>
      <w:tr>
        <w:trPr>
          <w:cantSplit/>
        </w:trPr>
        <w:tc>
          <w:tcPr>
            <w:tcW w:w="1358" w:type="dxa"/>
            <w:tcBorders/>
            <w:shd w:fill="FFFFFF" w:val="clear"/>
            <w:vAlign w:val="center"/>
          </w:tcPr>
          <w:p>
            <w:pPr>
              <w:pStyle w:val="Normal"/>
              <w:widowControl/>
              <w:bidi w:val="0"/>
              <w:spacing w:lineRule="auto" w:line="276" w:before="0" w:after="80"/>
              <w:jc w:val="start"/>
              <w:rPr/>
            </w:pPr>
            <w:r>
              <w:rPr>
                <w:color w:val="222222"/>
                <w:sz w:val="17"/>
              </w:rPr>
              <w:t>CART-5 GridSearchCV</w:t>
            </w:r>
          </w:p>
        </w:tc>
        <w:tc>
          <w:tcPr>
            <w:tcW w:w="1357" w:type="dxa"/>
            <w:tcBorders/>
            <w:shd w:fill="FFFFFF" w:val="clear"/>
            <w:vAlign w:val="center"/>
          </w:tcPr>
          <w:p>
            <w:pPr>
              <w:pStyle w:val="Normal"/>
              <w:widowControl/>
              <w:bidi w:val="0"/>
              <w:spacing w:lineRule="auto" w:line="276" w:before="0" w:after="80"/>
              <w:jc w:val="start"/>
              <w:rPr/>
            </w:pPr>
            <w:r>
              <w:rPr>
                <w:color w:val="222222"/>
                <w:sz w:val="17"/>
              </w:rPr>
              <w:t>2.41</w:t>
            </w:r>
          </w:p>
        </w:tc>
        <w:tc>
          <w:tcPr>
            <w:tcW w:w="1359" w:type="dxa"/>
            <w:tcBorders/>
            <w:shd w:fill="FFFFFF" w:val="clear"/>
            <w:vAlign w:val="center"/>
          </w:tcPr>
          <w:p>
            <w:pPr>
              <w:pStyle w:val="Normal"/>
              <w:widowControl/>
              <w:bidi w:val="0"/>
              <w:spacing w:lineRule="auto" w:line="276" w:before="0" w:after="80"/>
              <w:jc w:val="start"/>
              <w:rPr/>
            </w:pPr>
            <w:r>
              <w:rPr>
                <w:color w:val="222222"/>
                <w:sz w:val="17"/>
              </w:rPr>
              <w:t>3.19 ± 0.67</w:t>
            </w:r>
          </w:p>
        </w:tc>
        <w:tc>
          <w:tcPr>
            <w:tcW w:w="1357" w:type="dxa"/>
            <w:tcBorders/>
            <w:shd w:fill="FFFFFF" w:val="clear"/>
            <w:vAlign w:val="center"/>
          </w:tcPr>
          <w:p>
            <w:pPr>
              <w:pStyle w:val="Normal"/>
              <w:widowControl/>
              <w:bidi w:val="0"/>
              <w:spacing w:lineRule="auto" w:line="276" w:before="0" w:after="80"/>
              <w:jc w:val="start"/>
              <w:rPr/>
            </w:pPr>
            <w:r>
              <w:rPr>
                <w:color w:val="222222"/>
                <w:sz w:val="17"/>
              </w:rPr>
              <w:t>2.73</w:t>
            </w:r>
          </w:p>
        </w:tc>
        <w:tc>
          <w:tcPr>
            <w:tcW w:w="1359" w:type="dxa"/>
            <w:tcBorders/>
            <w:shd w:fill="FFFFFF" w:val="clear"/>
            <w:vAlign w:val="center"/>
          </w:tcPr>
          <w:p>
            <w:pPr>
              <w:pStyle w:val="Normal"/>
              <w:widowControl/>
              <w:bidi w:val="0"/>
              <w:spacing w:lineRule="auto" w:line="276" w:before="0" w:after="80"/>
              <w:jc w:val="start"/>
              <w:rPr/>
            </w:pPr>
            <w:r>
              <w:rPr>
                <w:color w:val="222222"/>
                <w:sz w:val="17"/>
              </w:rPr>
              <w:t>2.03</w:t>
            </w:r>
          </w:p>
        </w:tc>
        <w:tc>
          <w:tcPr>
            <w:tcW w:w="1357" w:type="dxa"/>
            <w:tcBorders/>
            <w:shd w:fill="FFFFFF" w:val="clear"/>
            <w:vAlign w:val="center"/>
          </w:tcPr>
          <w:p>
            <w:pPr>
              <w:pStyle w:val="Normal"/>
              <w:widowControl/>
              <w:bidi w:val="0"/>
              <w:spacing w:lineRule="auto" w:line="276" w:before="0" w:after="80"/>
              <w:jc w:val="start"/>
              <w:rPr/>
            </w:pPr>
            <w:r>
              <w:rPr>
                <w:color w:val="222222"/>
                <w:sz w:val="17"/>
              </w:rPr>
              <w:t>0.861</w:t>
            </w:r>
          </w:p>
        </w:tc>
        <w:tc>
          <w:tcPr>
            <w:tcW w:w="1359" w:type="dxa"/>
            <w:tcBorders/>
            <w:shd w:fill="FFFFFF" w:val="clear"/>
            <w:vAlign w:val="center"/>
          </w:tcPr>
          <w:p>
            <w:pPr>
              <w:pStyle w:val="Normal"/>
              <w:widowControl/>
              <w:bidi w:val="0"/>
              <w:spacing w:lineRule="auto" w:line="276" w:before="0" w:after="80"/>
              <w:jc w:val="start"/>
              <w:rPr/>
            </w:pPr>
            <w:r>
              <w:rPr>
                <w:color w:val="222222"/>
                <w:sz w:val="17"/>
              </w:rPr>
              <w:t>Equilibrado</w:t>
            </w:r>
          </w:p>
        </w:tc>
      </w:tr>
    </w:tbl>
    <w:p>
      <w:pPr>
        <w:pStyle w:val="Normal"/>
        <w:keepNext w:val="true"/>
        <w:spacing w:before="160" w:after="40"/>
        <w:jc w:val="center"/>
        <w:rPr/>
      </w:pPr>
      <w:r>
        <w:rPr/>
        <w:drawing>
          <wp:inline distT="0" distB="0" distL="0" distR="0">
            <wp:extent cx="5669280" cy="16033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5669280" cy="1603375"/>
                    </a:xfrm>
                    <a:prstGeom prst="rect">
                      <a:avLst/>
                    </a:prstGeom>
                    <a:noFill/>
                  </pic:spPr>
                </pic:pic>
              </a:graphicData>
            </a:graphic>
          </wp:inline>
        </w:drawing>
      </w:r>
    </w:p>
    <w:p>
      <w:pPr>
        <w:pStyle w:val="Normal"/>
        <w:spacing w:before="40" w:after="160"/>
        <w:jc w:val="center"/>
        <w:rPr/>
      </w:pPr>
      <w:r>
        <w:rPr>
          <w:i/>
          <w:color w:val="646464"/>
          <w:sz w:val="17"/>
        </w:rPr>
        <w:t>Figura 5: Comparativa de RMSE en auto_mpg (entrenamiento, CV 10-Fold y prueba) y distribución de error.</w:t>
      </w:r>
    </w:p>
    <w:p>
      <w:pPr>
        <w:pStyle w:val="Normal"/>
        <w:keepNext w:val="true"/>
        <w:spacing w:before="160" w:after="40"/>
        <w:jc w:val="center"/>
        <w:rPr/>
      </w:pPr>
      <w:r>
        <w:rPr/>
        <w:drawing>
          <wp:inline distT="0" distB="0" distL="0" distR="0">
            <wp:extent cx="5669280" cy="31318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5669280" cy="3131820"/>
                    </a:xfrm>
                    <a:prstGeom prst="rect">
                      <a:avLst/>
                    </a:prstGeom>
                    <a:noFill/>
                  </pic:spPr>
                </pic:pic>
              </a:graphicData>
            </a:graphic>
          </wp:inline>
        </w:drawing>
      </w:r>
    </w:p>
    <w:p>
      <w:pPr>
        <w:pStyle w:val="Normal"/>
        <w:spacing w:before="40" w:after="160"/>
        <w:jc w:val="center"/>
        <w:rPr/>
      </w:pPr>
      <w:r>
        <w:rPr>
          <w:i/>
          <w:color w:val="646464"/>
          <w:sz w:val="17"/>
        </w:rPr>
        <w:t>Figura 6: Gráficos de dispersión Real vs. Predicho y distribución de residuos para los modelos principales.</w:t>
      </w:r>
    </w:p>
    <w:p>
      <w:pPr>
        <w:pStyle w:val="Normal"/>
        <w:keepNext w:val="true"/>
        <w:spacing w:before="160" w:after="40"/>
        <w:jc w:val="center"/>
        <w:rPr/>
      </w:pPr>
      <w:r>
        <w:rPr/>
        <w:drawing>
          <wp:inline distT="0" distB="0" distL="0" distR="0">
            <wp:extent cx="5669280" cy="280162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5669280" cy="2801620"/>
                    </a:xfrm>
                    <a:prstGeom prst="rect">
                      <a:avLst/>
                    </a:prstGeom>
                    <a:noFill/>
                  </pic:spPr>
                </pic:pic>
              </a:graphicData>
            </a:graphic>
          </wp:inline>
        </w:drawing>
      </w:r>
    </w:p>
    <w:p>
      <w:pPr>
        <w:pStyle w:val="Normal"/>
        <w:spacing w:before="40" w:after="160"/>
        <w:jc w:val="center"/>
        <w:rPr/>
      </w:pPr>
      <w:r>
        <w:rPr>
          <w:i/>
          <w:color w:val="646464"/>
          <w:sz w:val="17"/>
        </w:rPr>
        <w:t>Figura 7: Demostración empírica de la predicción constante a tramos (árboles) vs. continua (regresión lineal).</w:t>
      </w:r>
    </w:p>
    <w:p>
      <w:pPr>
        <w:pStyle w:val="Normal"/>
        <w:keepNext w:val="true"/>
        <w:spacing w:before="160" w:after="40"/>
        <w:jc w:val="center"/>
        <w:rPr/>
      </w:pPr>
      <w:r>
        <w:rPr/>
        <w:drawing>
          <wp:inline distT="0" distB="0" distL="0" distR="0">
            <wp:extent cx="5669280" cy="279527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5669280" cy="2795270"/>
                    </a:xfrm>
                    <a:prstGeom prst="rect">
                      <a:avLst/>
                    </a:prstGeom>
                    <a:noFill/>
                  </pic:spPr>
                </pic:pic>
              </a:graphicData>
            </a:graphic>
          </wp:inline>
        </w:drawing>
      </w:r>
    </w:p>
    <w:p>
      <w:pPr>
        <w:pStyle w:val="Normal"/>
        <w:spacing w:before="40" w:after="160"/>
        <w:jc w:val="center"/>
        <w:rPr/>
      </w:pPr>
      <w:r>
        <w:rPr>
          <w:i/>
          <w:color w:val="646464"/>
          <w:sz w:val="17"/>
        </w:rPr>
        <w:t>Figura 8: Evolución del error RMSE en entrenamiento y validación según la profundidad del árbol.</w:t>
      </w:r>
    </w:p>
    <w:p>
      <w:pPr>
        <w:pStyle w:val="Heading2"/>
        <w:rPr/>
      </w:pPr>
      <w:bookmarkStart w:id="7" w:name="__RefHeading___Toc1051_3384329428"/>
      <w:bookmarkEnd w:id="7"/>
      <w:r>
        <w:rPr/>
        <w:t>Respuesta Justificada: ¿Cuál es el mejor en el Ítem 2?</w:t>
      </w:r>
    </w:p>
    <w:p>
      <w:pPr>
        <w:pStyle w:val="Normal"/>
        <w:rPr/>
      </w:pPr>
      <w:r>
        <w:rPr/>
        <w:t>El mejor modelo es el árbol de regresión podado con regularización conjunta de profundidad y hojas: CART-3 (depth=5, min_samples_leaf=5, min_samples_split=10), seguido muy de cerca por el modelo optimizado mediante GridSearchCV (CART-5). Ambos superan a la Regresión Lineal en el conjunto de prueba independiente:</w:t>
      </w:r>
    </w:p>
    <w:p>
      <w:pPr>
        <w:pStyle w:val="Normal"/>
        <w:rPr/>
      </w:pPr>
      <w:r>
        <w:rPr/>
        <w:t xml:space="preserve">• </w:t>
      </w:r>
      <w:r>
        <w:rPr/>
        <w:t>CART-3 alcanza un RMSE de prueba de 2.71 mpg, un MAE de 2.03 mpg y un R² de 0.864.</w:t>
        <w:br/>
        <w:t>• CART-5 (GridSearchCV) obtiene el mejor RMSE en validación cruzada 10-Fold (3.19 mpg ± 0.67 mpg) y un RMSE en prueba de 2.73 mpg (R² = 0.861).</w:t>
        <w:br/>
        <w:t>• La Regresión Lineal obtiene un RMSE de prueba de 2.89 mpg y un R² de 0.845.</w:t>
        <w:br/>
        <w:t>• El árbol sin podar (CART-1) memoriza perfectamente el entrenamiento (RMSE train = 0.0, R² train = 1.0) pero se degrada severamente en prueba (RMSE = 3.37 mpg, R² = 0.789).</w:t>
      </w:r>
    </w:p>
    <w:p>
      <w:pPr>
        <w:pStyle w:val="Normal"/>
        <w:rPr/>
      </w:pPr>
      <w:r>
        <w:rPr/>
        <w:t>Fundamento Teórico: La relación entre el peso, la cilindrada y la potencia respecto al consumo en mpg es fundamentalmente no lineal (sigue una ley inversa potencial aproximadamente cuadrática). Los árboles de decisión podados logran capturar estas curvaturas no lineales dividiendo el espacio en franjas locales óptimas sin requerir transformaciones manuales de variables. Sin embargo, el árbol sin podar crea 261 hojas que memorizan el ruido específico de las observaciones. La poda adecuada actúa como el mecanismo clave de control de varianza.</w:t>
      </w:r>
    </w:p>
    <w:p>
      <w:pPr>
        <w:pStyle w:val="Heading1"/>
        <w:rPr/>
      </w:pPr>
      <w:bookmarkStart w:id="8" w:name="__RefHeading___Toc1053_3384329428"/>
      <w:bookmarkEnd w:id="8"/>
      <w:r>
        <w:rPr/>
        <w:t>5. Ítem 3: Ensamble VotingClassifier vs. Modelos Individuales</w:t>
      </w:r>
    </w:p>
    <w:tbl>
      <w:tblPr>
        <w:tblW w:w="9504" w:type="dxa"/>
        <w:jc w:val="center"/>
        <w:tblInd w:w="0" w:type="dxa"/>
        <w:tblLayout w:type="fixed"/>
        <w:tblCellMar>
          <w:top w:w="140" w:type="dxa"/>
          <w:start w:w="200" w:type="dxa"/>
          <w:bottom w:w="140" w:type="dxa"/>
          <w:end w:w="200" w:type="dxa"/>
        </w:tblCellMar>
        <w:tblLook w:noHBand="0" w:noVBand="1" w:firstColumn="1" w:lastRow="0" w:lastColumn="0" w:firstRow="1" w:val="04a0"/>
      </w:tblPr>
      <w:tblGrid>
        <w:gridCol w:w="9504"/>
      </w:tblGrid>
      <w:tr>
        <w:trPr/>
        <w:tc>
          <w:tcPr>
            <w:tcW w:w="9504" w:type="dxa"/>
            <w:tcBorders>
              <w:start w:val="single" w:sz="24" w:space="0" w:color="1B365D"/>
            </w:tcBorders>
            <w:shd w:fill="F5F8FC" w:val="clear"/>
          </w:tcPr>
          <w:p>
            <w:pPr>
              <w:pStyle w:val="Normal"/>
              <w:spacing w:before="40" w:after="40"/>
              <w:rPr/>
            </w:pPr>
            <w:r>
              <w:rPr>
                <w:b/>
                <w:color w:val="1B365D"/>
                <w:sz w:val="19"/>
              </w:rPr>
              <w:t>Enunciado del Ítem 3</w:t>
              <w:br/>
            </w:r>
            <w:r>
              <w:rPr>
                <w:color w:val="222222"/>
                <w:sz w:val="18"/>
              </w:rPr>
              <w:t>Entrene un modelo ensemble clasificador, y compare su eficiencia con respecto a un modelo individual. ¿Cuál es mejor?</w:t>
            </w:r>
          </w:p>
        </w:tc>
      </w:tr>
    </w:tbl>
    <w:p>
      <w:pPr>
        <w:pStyle w:val="Normal"/>
        <w:spacing w:before="0" w:after="80"/>
        <w:rPr/>
      </w:pPr>
      <w:r>
        <w:rPr/>
      </w:r>
    </w:p>
    <w:p>
      <w:pPr>
        <w:pStyle w:val="Normal"/>
        <w:rPr/>
      </w:pPr>
      <w:r>
        <w:rPr/>
        <w:t>Se empleó el conjunto de datos clínico Pima Indians Diabetes (768 pacientes, 8 variables clínicas, prevalencia 34.9% diabetes). Los ceros fisiológicamente imposibles en Glucosa, Presión, Espesor cutáneo, Insulina e IMC se trataron como datos faltantes mediante SimpleImputer con indicadores binarios. Se ajustaron tres modelos base heterogéneos mediante GridSearchCV: Regresión Logística (C=0.1), KNN (k=27, pesos uniformes) y Árbol CART (max_depth=4, min_samples_leaf=0.05), comparándolos contra VotingClassifier en modalidades Hard y Soft.</w:t>
      </w:r>
    </w:p>
    <w:tbl>
      <w:tblPr>
        <w:tblW w:w="9506" w:type="dxa"/>
        <w:jc w:val="center"/>
        <w:tblInd w:w="0" w:type="dxa"/>
        <w:tblLayout w:type="fixed"/>
        <w:tblCellMar>
          <w:top w:w="100" w:type="dxa"/>
          <w:start w:w="130" w:type="dxa"/>
          <w:bottom w:w="100" w:type="dxa"/>
          <w:end w:w="130" w:type="dxa"/>
        </w:tblCellMar>
        <w:tblLook w:noHBand="0" w:noVBand="1" w:firstColumn="1" w:lastRow="0" w:lastColumn="0" w:firstRow="1" w:val="04a0"/>
      </w:tblPr>
      <w:tblGrid>
        <w:gridCol w:w="1358"/>
        <w:gridCol w:w="1357"/>
        <w:gridCol w:w="1359"/>
        <w:gridCol w:w="1357"/>
        <w:gridCol w:w="1359"/>
        <w:gridCol w:w="1357"/>
        <w:gridCol w:w="1359"/>
      </w:tblGrid>
      <w:tr>
        <w:trPr>
          <w:tblHeader w:val="true"/>
          <w:cantSplit/>
        </w:trPr>
        <w:tc>
          <w:tcPr>
            <w:tcW w:w="1358" w:type="dxa"/>
            <w:tcBorders/>
            <w:shd w:fill="1B365D" w:val="clear"/>
            <w:vAlign w:val="center"/>
          </w:tcPr>
          <w:p>
            <w:pPr>
              <w:pStyle w:val="Normal"/>
              <w:spacing w:before="0" w:after="80"/>
              <w:jc w:val="center"/>
              <w:rPr/>
            </w:pPr>
            <w:r>
              <w:rPr>
                <w:b/>
                <w:color w:val="FFFFFF"/>
                <w:sz w:val="17"/>
              </w:rPr>
              <w:t>Modelo</w:t>
            </w:r>
          </w:p>
        </w:tc>
        <w:tc>
          <w:tcPr>
            <w:tcW w:w="1357" w:type="dxa"/>
            <w:tcBorders/>
            <w:shd w:fill="1B365D" w:val="clear"/>
            <w:vAlign w:val="center"/>
          </w:tcPr>
          <w:p>
            <w:pPr>
              <w:pStyle w:val="Normal"/>
              <w:spacing w:before="0" w:after="80"/>
              <w:jc w:val="center"/>
              <w:rPr/>
            </w:pPr>
            <w:r>
              <w:rPr>
                <w:b/>
                <w:color w:val="FFFFFF"/>
                <w:sz w:val="17"/>
              </w:rPr>
              <w:t>Acc. Train</w:t>
            </w:r>
          </w:p>
        </w:tc>
        <w:tc>
          <w:tcPr>
            <w:tcW w:w="1359" w:type="dxa"/>
            <w:tcBorders/>
            <w:shd w:fill="1B365D" w:val="clear"/>
            <w:vAlign w:val="center"/>
          </w:tcPr>
          <w:p>
            <w:pPr>
              <w:pStyle w:val="Normal"/>
              <w:spacing w:before="0" w:after="80"/>
              <w:jc w:val="center"/>
              <w:rPr/>
            </w:pPr>
            <w:r>
              <w:rPr>
                <w:b/>
                <w:color w:val="FFFFFF"/>
                <w:sz w:val="17"/>
              </w:rPr>
              <w:t>Acc. CV</w:t>
            </w:r>
          </w:p>
        </w:tc>
        <w:tc>
          <w:tcPr>
            <w:tcW w:w="1357" w:type="dxa"/>
            <w:tcBorders/>
            <w:shd w:fill="1B365D" w:val="clear"/>
            <w:vAlign w:val="center"/>
          </w:tcPr>
          <w:p>
            <w:pPr>
              <w:pStyle w:val="Normal"/>
              <w:spacing w:before="0" w:after="80"/>
              <w:jc w:val="center"/>
              <w:rPr/>
            </w:pPr>
            <w:r>
              <w:rPr>
                <w:b/>
                <w:color w:val="FFFFFF"/>
                <w:sz w:val="17"/>
              </w:rPr>
              <w:t>Acc. Test</w:t>
            </w:r>
          </w:p>
        </w:tc>
        <w:tc>
          <w:tcPr>
            <w:tcW w:w="1359" w:type="dxa"/>
            <w:tcBorders/>
            <w:shd w:fill="1B365D" w:val="clear"/>
            <w:vAlign w:val="center"/>
          </w:tcPr>
          <w:p>
            <w:pPr>
              <w:pStyle w:val="Normal"/>
              <w:spacing w:before="0" w:after="80"/>
              <w:jc w:val="center"/>
              <w:rPr/>
            </w:pPr>
            <w:r>
              <w:rPr>
                <w:b/>
                <w:color w:val="FFFFFF"/>
                <w:sz w:val="17"/>
              </w:rPr>
              <w:t>Precisión</w:t>
            </w:r>
          </w:p>
        </w:tc>
        <w:tc>
          <w:tcPr>
            <w:tcW w:w="1357" w:type="dxa"/>
            <w:tcBorders/>
            <w:shd w:fill="1B365D" w:val="clear"/>
            <w:vAlign w:val="center"/>
          </w:tcPr>
          <w:p>
            <w:pPr>
              <w:pStyle w:val="Normal"/>
              <w:spacing w:before="0" w:after="80"/>
              <w:jc w:val="center"/>
              <w:rPr/>
            </w:pPr>
            <w:r>
              <w:rPr>
                <w:b/>
                <w:color w:val="FFFFFF"/>
                <w:sz w:val="17"/>
              </w:rPr>
              <w:t>Recall</w:t>
            </w:r>
          </w:p>
        </w:tc>
        <w:tc>
          <w:tcPr>
            <w:tcW w:w="1359" w:type="dxa"/>
            <w:tcBorders/>
            <w:shd w:fill="1B365D" w:val="clear"/>
            <w:vAlign w:val="center"/>
          </w:tcPr>
          <w:p>
            <w:pPr>
              <w:pStyle w:val="Normal"/>
              <w:spacing w:before="0" w:after="80"/>
              <w:jc w:val="center"/>
              <w:rPr/>
            </w:pPr>
            <w:r>
              <w:rPr>
                <w:b/>
                <w:color w:val="FFFFFF"/>
                <w:sz w:val="17"/>
              </w:rPr>
              <w:t>ROC-AUC Test</w:t>
            </w:r>
          </w:p>
        </w:tc>
      </w:tr>
      <w:tr>
        <w:trPr>
          <w:cantSplit/>
        </w:trPr>
        <w:tc>
          <w:tcPr>
            <w:tcW w:w="1358" w:type="dxa"/>
            <w:tcBorders/>
            <w:shd w:fill="F7F9FB" w:val="clear"/>
            <w:vAlign w:val="center"/>
          </w:tcPr>
          <w:p>
            <w:pPr>
              <w:pStyle w:val="Normal"/>
              <w:widowControl/>
              <w:bidi w:val="0"/>
              <w:spacing w:lineRule="auto" w:line="276" w:before="0" w:after="80"/>
              <w:jc w:val="start"/>
              <w:rPr/>
            </w:pPr>
            <w:r>
              <w:rPr>
                <w:color w:val="222222"/>
                <w:sz w:val="17"/>
              </w:rPr>
              <w:t>Regresión Logística</w:t>
            </w:r>
          </w:p>
        </w:tc>
        <w:tc>
          <w:tcPr>
            <w:tcW w:w="1357" w:type="dxa"/>
            <w:tcBorders/>
            <w:shd w:fill="F7F9FB" w:val="clear"/>
            <w:vAlign w:val="center"/>
          </w:tcPr>
          <w:p>
            <w:pPr>
              <w:pStyle w:val="Normal"/>
              <w:widowControl/>
              <w:bidi w:val="0"/>
              <w:spacing w:lineRule="auto" w:line="276" w:before="0" w:after="80"/>
              <w:jc w:val="start"/>
              <w:rPr/>
            </w:pPr>
            <w:r>
              <w:rPr>
                <w:color w:val="222222"/>
                <w:sz w:val="17"/>
              </w:rPr>
              <w:t>0.7948</w:t>
            </w:r>
          </w:p>
        </w:tc>
        <w:tc>
          <w:tcPr>
            <w:tcW w:w="1359" w:type="dxa"/>
            <w:tcBorders/>
            <w:shd w:fill="F7F9FB" w:val="clear"/>
            <w:vAlign w:val="center"/>
          </w:tcPr>
          <w:p>
            <w:pPr>
              <w:pStyle w:val="Normal"/>
              <w:widowControl/>
              <w:bidi w:val="0"/>
              <w:spacing w:lineRule="auto" w:line="276" w:before="0" w:after="80"/>
              <w:jc w:val="start"/>
              <w:rPr/>
            </w:pPr>
            <w:r>
              <w:rPr>
                <w:color w:val="222222"/>
                <w:sz w:val="17"/>
              </w:rPr>
              <w:t>0.7834 ± 0.046</w:t>
            </w:r>
          </w:p>
        </w:tc>
        <w:tc>
          <w:tcPr>
            <w:tcW w:w="1357" w:type="dxa"/>
            <w:tcBorders/>
            <w:shd w:fill="F7F9FB" w:val="clear"/>
            <w:vAlign w:val="center"/>
          </w:tcPr>
          <w:p>
            <w:pPr>
              <w:pStyle w:val="Normal"/>
              <w:widowControl/>
              <w:bidi w:val="0"/>
              <w:spacing w:lineRule="auto" w:line="276" w:before="0" w:after="80"/>
              <w:jc w:val="start"/>
              <w:rPr/>
            </w:pPr>
            <w:r>
              <w:rPr>
                <w:color w:val="222222"/>
                <w:sz w:val="17"/>
              </w:rPr>
              <w:t>0.7143</w:t>
            </w:r>
          </w:p>
        </w:tc>
        <w:tc>
          <w:tcPr>
            <w:tcW w:w="1359" w:type="dxa"/>
            <w:tcBorders/>
            <w:shd w:fill="F7F9FB" w:val="clear"/>
            <w:vAlign w:val="center"/>
          </w:tcPr>
          <w:p>
            <w:pPr>
              <w:pStyle w:val="Normal"/>
              <w:widowControl/>
              <w:bidi w:val="0"/>
              <w:spacing w:lineRule="auto" w:line="276" w:before="0" w:after="80"/>
              <w:jc w:val="start"/>
              <w:rPr/>
            </w:pPr>
            <w:r>
              <w:rPr>
                <w:color w:val="222222"/>
                <w:sz w:val="17"/>
              </w:rPr>
              <w:t>0.6042</w:t>
            </w:r>
          </w:p>
        </w:tc>
        <w:tc>
          <w:tcPr>
            <w:tcW w:w="1357" w:type="dxa"/>
            <w:tcBorders/>
            <w:shd w:fill="F7F9FB" w:val="clear"/>
            <w:vAlign w:val="center"/>
          </w:tcPr>
          <w:p>
            <w:pPr>
              <w:pStyle w:val="Normal"/>
              <w:widowControl/>
              <w:bidi w:val="0"/>
              <w:spacing w:lineRule="auto" w:line="276" w:before="0" w:after="80"/>
              <w:jc w:val="start"/>
              <w:rPr/>
            </w:pPr>
            <w:r>
              <w:rPr>
                <w:color w:val="222222"/>
                <w:sz w:val="17"/>
              </w:rPr>
              <w:t>0.5370</w:t>
            </w:r>
          </w:p>
        </w:tc>
        <w:tc>
          <w:tcPr>
            <w:tcW w:w="1359" w:type="dxa"/>
            <w:tcBorders/>
            <w:shd w:fill="F7F9FB" w:val="clear"/>
            <w:vAlign w:val="center"/>
          </w:tcPr>
          <w:p>
            <w:pPr>
              <w:pStyle w:val="Normal"/>
              <w:widowControl/>
              <w:bidi w:val="0"/>
              <w:spacing w:lineRule="auto" w:line="276" w:before="0" w:after="80"/>
              <w:jc w:val="start"/>
              <w:rPr/>
            </w:pPr>
            <w:r>
              <w:rPr>
                <w:color w:val="222222"/>
                <w:sz w:val="17"/>
              </w:rPr>
              <w:t>0.8178</w:t>
            </w:r>
          </w:p>
        </w:tc>
      </w:tr>
      <w:tr>
        <w:trPr>
          <w:cantSplit/>
        </w:trPr>
        <w:tc>
          <w:tcPr>
            <w:tcW w:w="1358" w:type="dxa"/>
            <w:tcBorders/>
            <w:shd w:fill="FFFFFF" w:val="clear"/>
            <w:vAlign w:val="center"/>
          </w:tcPr>
          <w:p>
            <w:pPr>
              <w:pStyle w:val="Normal"/>
              <w:widowControl/>
              <w:bidi w:val="0"/>
              <w:spacing w:lineRule="auto" w:line="276" w:before="0" w:after="80"/>
              <w:jc w:val="start"/>
              <w:rPr/>
            </w:pPr>
            <w:r>
              <w:rPr>
                <w:color w:val="222222"/>
                <w:sz w:val="17"/>
              </w:rPr>
              <w:t>KNN</w:t>
            </w:r>
          </w:p>
        </w:tc>
        <w:tc>
          <w:tcPr>
            <w:tcW w:w="1357" w:type="dxa"/>
            <w:tcBorders/>
            <w:shd w:fill="FFFFFF" w:val="clear"/>
            <w:vAlign w:val="center"/>
          </w:tcPr>
          <w:p>
            <w:pPr>
              <w:pStyle w:val="Normal"/>
              <w:widowControl/>
              <w:bidi w:val="0"/>
              <w:spacing w:lineRule="auto" w:line="276" w:before="0" w:after="80"/>
              <w:jc w:val="start"/>
              <w:rPr/>
            </w:pPr>
            <w:r>
              <w:rPr>
                <w:color w:val="222222"/>
                <w:sz w:val="17"/>
              </w:rPr>
              <w:t>0.7834</w:t>
            </w:r>
          </w:p>
        </w:tc>
        <w:tc>
          <w:tcPr>
            <w:tcW w:w="1359" w:type="dxa"/>
            <w:tcBorders/>
            <w:shd w:fill="FFFFFF" w:val="clear"/>
            <w:vAlign w:val="center"/>
          </w:tcPr>
          <w:p>
            <w:pPr>
              <w:pStyle w:val="Normal"/>
              <w:widowControl/>
              <w:bidi w:val="0"/>
              <w:spacing w:lineRule="auto" w:line="276" w:before="0" w:after="80"/>
              <w:jc w:val="start"/>
              <w:rPr/>
            </w:pPr>
            <w:r>
              <w:rPr>
                <w:color w:val="222222"/>
                <w:sz w:val="17"/>
              </w:rPr>
              <w:t>0.7689 ± 0.050</w:t>
            </w:r>
          </w:p>
        </w:tc>
        <w:tc>
          <w:tcPr>
            <w:tcW w:w="1357" w:type="dxa"/>
            <w:tcBorders/>
            <w:shd w:fill="FFFFFF" w:val="clear"/>
            <w:vAlign w:val="center"/>
          </w:tcPr>
          <w:p>
            <w:pPr>
              <w:pStyle w:val="Normal"/>
              <w:widowControl/>
              <w:bidi w:val="0"/>
              <w:spacing w:lineRule="auto" w:line="276" w:before="0" w:after="80"/>
              <w:jc w:val="start"/>
              <w:rPr/>
            </w:pPr>
            <w:r>
              <w:rPr>
                <w:color w:val="222222"/>
                <w:sz w:val="17"/>
              </w:rPr>
              <w:t>0.7338</w:t>
            </w:r>
          </w:p>
        </w:tc>
        <w:tc>
          <w:tcPr>
            <w:tcW w:w="1359" w:type="dxa"/>
            <w:tcBorders/>
            <w:shd w:fill="FFFFFF" w:val="clear"/>
            <w:vAlign w:val="center"/>
          </w:tcPr>
          <w:p>
            <w:pPr>
              <w:pStyle w:val="Normal"/>
              <w:widowControl/>
              <w:bidi w:val="0"/>
              <w:spacing w:lineRule="auto" w:line="276" w:before="0" w:after="80"/>
              <w:jc w:val="start"/>
              <w:rPr/>
            </w:pPr>
            <w:r>
              <w:rPr>
                <w:color w:val="222222"/>
                <w:sz w:val="17"/>
              </w:rPr>
              <w:t>0.6585</w:t>
            </w:r>
          </w:p>
        </w:tc>
        <w:tc>
          <w:tcPr>
            <w:tcW w:w="1357" w:type="dxa"/>
            <w:tcBorders/>
            <w:shd w:fill="FFFFFF" w:val="clear"/>
            <w:vAlign w:val="center"/>
          </w:tcPr>
          <w:p>
            <w:pPr>
              <w:pStyle w:val="Normal"/>
              <w:widowControl/>
              <w:bidi w:val="0"/>
              <w:spacing w:lineRule="auto" w:line="276" w:before="0" w:after="80"/>
              <w:jc w:val="start"/>
              <w:rPr/>
            </w:pPr>
            <w:r>
              <w:rPr>
                <w:color w:val="222222"/>
                <w:sz w:val="17"/>
              </w:rPr>
              <w:t>0.5000</w:t>
            </w:r>
          </w:p>
        </w:tc>
        <w:tc>
          <w:tcPr>
            <w:tcW w:w="1359" w:type="dxa"/>
            <w:tcBorders/>
            <w:shd w:fill="FFFFFF" w:val="clear"/>
            <w:vAlign w:val="center"/>
          </w:tcPr>
          <w:p>
            <w:pPr>
              <w:pStyle w:val="Normal"/>
              <w:widowControl/>
              <w:bidi w:val="0"/>
              <w:spacing w:lineRule="auto" w:line="276" w:before="0" w:after="80"/>
              <w:jc w:val="start"/>
              <w:rPr/>
            </w:pPr>
            <w:r>
              <w:rPr>
                <w:color w:val="222222"/>
                <w:sz w:val="17"/>
              </w:rPr>
              <w:t>0.7894</w:t>
            </w:r>
          </w:p>
        </w:tc>
      </w:tr>
      <w:tr>
        <w:trPr>
          <w:cantSplit/>
        </w:trPr>
        <w:tc>
          <w:tcPr>
            <w:tcW w:w="1358" w:type="dxa"/>
            <w:tcBorders/>
            <w:shd w:fill="F7F9FB" w:val="clear"/>
            <w:vAlign w:val="center"/>
          </w:tcPr>
          <w:p>
            <w:pPr>
              <w:pStyle w:val="Normal"/>
              <w:widowControl/>
              <w:bidi w:val="0"/>
              <w:spacing w:lineRule="auto" w:line="276" w:before="0" w:after="80"/>
              <w:jc w:val="start"/>
              <w:rPr/>
            </w:pPr>
            <w:r>
              <w:rPr>
                <w:color w:val="222222"/>
                <w:sz w:val="17"/>
              </w:rPr>
              <w:t>Árbol de decisión</w:t>
            </w:r>
          </w:p>
        </w:tc>
        <w:tc>
          <w:tcPr>
            <w:tcW w:w="1357" w:type="dxa"/>
            <w:tcBorders/>
            <w:shd w:fill="F7F9FB" w:val="clear"/>
            <w:vAlign w:val="center"/>
          </w:tcPr>
          <w:p>
            <w:pPr>
              <w:pStyle w:val="Normal"/>
              <w:widowControl/>
              <w:bidi w:val="0"/>
              <w:spacing w:lineRule="auto" w:line="276" w:before="0" w:after="80"/>
              <w:jc w:val="start"/>
              <w:rPr/>
            </w:pPr>
            <w:r>
              <w:rPr>
                <w:color w:val="222222"/>
                <w:sz w:val="17"/>
              </w:rPr>
              <w:t>0.7606</w:t>
            </w:r>
          </w:p>
        </w:tc>
        <w:tc>
          <w:tcPr>
            <w:tcW w:w="1359" w:type="dxa"/>
            <w:tcBorders/>
            <w:shd w:fill="F7F9FB" w:val="clear"/>
            <w:vAlign w:val="center"/>
          </w:tcPr>
          <w:p>
            <w:pPr>
              <w:pStyle w:val="Normal"/>
              <w:widowControl/>
              <w:bidi w:val="0"/>
              <w:spacing w:lineRule="auto" w:line="276" w:before="0" w:after="80"/>
              <w:jc w:val="start"/>
              <w:rPr/>
            </w:pPr>
            <w:r>
              <w:rPr>
                <w:color w:val="222222"/>
                <w:sz w:val="17"/>
              </w:rPr>
              <w:t>0.7607 ± 0.039</w:t>
            </w:r>
          </w:p>
        </w:tc>
        <w:tc>
          <w:tcPr>
            <w:tcW w:w="1357" w:type="dxa"/>
            <w:tcBorders/>
            <w:shd w:fill="F7F9FB" w:val="clear"/>
            <w:vAlign w:val="center"/>
          </w:tcPr>
          <w:p>
            <w:pPr>
              <w:pStyle w:val="Normal"/>
              <w:widowControl/>
              <w:bidi w:val="0"/>
              <w:spacing w:lineRule="auto" w:line="276" w:before="0" w:after="80"/>
              <w:jc w:val="start"/>
              <w:rPr/>
            </w:pPr>
            <w:r>
              <w:rPr>
                <w:color w:val="222222"/>
                <w:sz w:val="17"/>
              </w:rPr>
              <w:t>0.6948</w:t>
            </w:r>
          </w:p>
        </w:tc>
        <w:tc>
          <w:tcPr>
            <w:tcW w:w="1359" w:type="dxa"/>
            <w:tcBorders/>
            <w:shd w:fill="F7F9FB" w:val="clear"/>
            <w:vAlign w:val="center"/>
          </w:tcPr>
          <w:p>
            <w:pPr>
              <w:pStyle w:val="Normal"/>
              <w:widowControl/>
              <w:bidi w:val="0"/>
              <w:spacing w:lineRule="auto" w:line="276" w:before="0" w:after="80"/>
              <w:jc w:val="start"/>
              <w:rPr/>
            </w:pPr>
            <w:r>
              <w:rPr>
                <w:color w:val="222222"/>
                <w:sz w:val="17"/>
              </w:rPr>
              <w:t>0.6522</w:t>
            </w:r>
          </w:p>
        </w:tc>
        <w:tc>
          <w:tcPr>
            <w:tcW w:w="1357" w:type="dxa"/>
            <w:tcBorders/>
            <w:shd w:fill="F7F9FB" w:val="clear"/>
            <w:vAlign w:val="center"/>
          </w:tcPr>
          <w:p>
            <w:pPr>
              <w:pStyle w:val="Normal"/>
              <w:widowControl/>
              <w:bidi w:val="0"/>
              <w:spacing w:lineRule="auto" w:line="276" w:before="0" w:after="80"/>
              <w:jc w:val="start"/>
              <w:rPr/>
            </w:pPr>
            <w:r>
              <w:rPr>
                <w:color w:val="222222"/>
                <w:sz w:val="17"/>
              </w:rPr>
              <w:t>0.2778</w:t>
            </w:r>
          </w:p>
        </w:tc>
        <w:tc>
          <w:tcPr>
            <w:tcW w:w="1359" w:type="dxa"/>
            <w:tcBorders/>
            <w:shd w:fill="F7F9FB" w:val="clear"/>
            <w:vAlign w:val="center"/>
          </w:tcPr>
          <w:p>
            <w:pPr>
              <w:pStyle w:val="Normal"/>
              <w:widowControl/>
              <w:bidi w:val="0"/>
              <w:spacing w:lineRule="auto" w:line="276" w:before="0" w:after="80"/>
              <w:jc w:val="start"/>
              <w:rPr/>
            </w:pPr>
            <w:r>
              <w:rPr>
                <w:color w:val="222222"/>
                <w:sz w:val="17"/>
              </w:rPr>
              <w:t>0.7801</w:t>
            </w:r>
          </w:p>
        </w:tc>
      </w:tr>
      <w:tr>
        <w:trPr>
          <w:cantSplit/>
        </w:trPr>
        <w:tc>
          <w:tcPr>
            <w:tcW w:w="1358" w:type="dxa"/>
            <w:tcBorders/>
            <w:shd w:fill="FFFFFF" w:val="clear"/>
            <w:vAlign w:val="center"/>
          </w:tcPr>
          <w:p>
            <w:pPr>
              <w:pStyle w:val="Normal"/>
              <w:widowControl/>
              <w:bidi w:val="0"/>
              <w:spacing w:lineRule="auto" w:line="276" w:before="0" w:after="80"/>
              <w:jc w:val="start"/>
              <w:rPr/>
            </w:pPr>
            <w:r>
              <w:rPr>
                <w:color w:val="222222"/>
                <w:sz w:val="17"/>
              </w:rPr>
              <w:t>Voting (hard)</w:t>
            </w:r>
          </w:p>
        </w:tc>
        <w:tc>
          <w:tcPr>
            <w:tcW w:w="1357" w:type="dxa"/>
            <w:tcBorders/>
            <w:shd w:fill="FFFFFF" w:val="clear"/>
            <w:vAlign w:val="center"/>
          </w:tcPr>
          <w:p>
            <w:pPr>
              <w:pStyle w:val="Normal"/>
              <w:widowControl/>
              <w:bidi w:val="0"/>
              <w:spacing w:lineRule="auto" w:line="276" w:before="0" w:after="80"/>
              <w:jc w:val="start"/>
              <w:rPr/>
            </w:pPr>
            <w:r>
              <w:rPr>
                <w:color w:val="222222"/>
                <w:sz w:val="17"/>
              </w:rPr>
              <w:t>0.7932</w:t>
            </w:r>
          </w:p>
        </w:tc>
        <w:tc>
          <w:tcPr>
            <w:tcW w:w="1359" w:type="dxa"/>
            <w:tcBorders/>
            <w:shd w:fill="FFFFFF" w:val="clear"/>
            <w:vAlign w:val="center"/>
          </w:tcPr>
          <w:p>
            <w:pPr>
              <w:pStyle w:val="Normal"/>
              <w:widowControl/>
              <w:bidi w:val="0"/>
              <w:spacing w:lineRule="auto" w:line="276" w:before="0" w:after="80"/>
              <w:jc w:val="start"/>
              <w:rPr/>
            </w:pPr>
            <w:r>
              <w:rPr>
                <w:color w:val="222222"/>
                <w:sz w:val="17"/>
              </w:rPr>
              <w:t>0.7835 ± 0.044</w:t>
            </w:r>
          </w:p>
        </w:tc>
        <w:tc>
          <w:tcPr>
            <w:tcW w:w="1357" w:type="dxa"/>
            <w:tcBorders/>
            <w:shd w:fill="FFFFFF" w:val="clear"/>
            <w:vAlign w:val="center"/>
          </w:tcPr>
          <w:p>
            <w:pPr>
              <w:pStyle w:val="Normal"/>
              <w:widowControl/>
              <w:bidi w:val="0"/>
              <w:spacing w:lineRule="auto" w:line="276" w:before="0" w:after="80"/>
              <w:jc w:val="start"/>
              <w:rPr/>
            </w:pPr>
            <w:r>
              <w:rPr>
                <w:color w:val="222222"/>
                <w:sz w:val="17"/>
              </w:rPr>
              <w:t>0.7143</w:t>
            </w:r>
          </w:p>
        </w:tc>
        <w:tc>
          <w:tcPr>
            <w:tcW w:w="1359" w:type="dxa"/>
            <w:tcBorders/>
            <w:shd w:fill="FFFFFF" w:val="clear"/>
            <w:vAlign w:val="center"/>
          </w:tcPr>
          <w:p>
            <w:pPr>
              <w:pStyle w:val="Normal"/>
              <w:widowControl/>
              <w:bidi w:val="0"/>
              <w:spacing w:lineRule="auto" w:line="276" w:before="0" w:after="80"/>
              <w:jc w:val="start"/>
              <w:rPr/>
            </w:pPr>
            <w:r>
              <w:rPr>
                <w:color w:val="222222"/>
                <w:sz w:val="17"/>
              </w:rPr>
              <w:t>0.6316</w:t>
            </w:r>
          </w:p>
        </w:tc>
        <w:tc>
          <w:tcPr>
            <w:tcW w:w="1357" w:type="dxa"/>
            <w:tcBorders/>
            <w:shd w:fill="FFFFFF" w:val="clear"/>
            <w:vAlign w:val="center"/>
          </w:tcPr>
          <w:p>
            <w:pPr>
              <w:pStyle w:val="Normal"/>
              <w:widowControl/>
              <w:bidi w:val="0"/>
              <w:spacing w:lineRule="auto" w:line="276" w:before="0" w:after="80"/>
              <w:jc w:val="start"/>
              <w:rPr/>
            </w:pPr>
            <w:r>
              <w:rPr>
                <w:color w:val="222222"/>
                <w:sz w:val="17"/>
              </w:rPr>
              <w:t>0.4444</w:t>
            </w:r>
          </w:p>
        </w:tc>
        <w:tc>
          <w:tcPr>
            <w:tcW w:w="1359" w:type="dxa"/>
            <w:tcBorders/>
            <w:shd w:fill="FFFFFF" w:val="clear"/>
            <w:vAlign w:val="center"/>
          </w:tcPr>
          <w:p>
            <w:pPr>
              <w:pStyle w:val="Normal"/>
              <w:widowControl/>
              <w:bidi w:val="0"/>
              <w:spacing w:lineRule="auto" w:line="276" w:before="0" w:after="80"/>
              <w:jc w:val="start"/>
              <w:rPr/>
            </w:pPr>
            <w:r>
              <w:rPr>
                <w:color w:val="222222"/>
                <w:sz w:val="17"/>
              </w:rPr>
              <w:t>N/A (hard)</w:t>
            </w:r>
          </w:p>
        </w:tc>
      </w:tr>
      <w:tr>
        <w:trPr>
          <w:cantSplit/>
        </w:trPr>
        <w:tc>
          <w:tcPr>
            <w:tcW w:w="1358" w:type="dxa"/>
            <w:tcBorders/>
            <w:shd w:fill="F7F9FB" w:val="clear"/>
            <w:vAlign w:val="center"/>
          </w:tcPr>
          <w:p>
            <w:pPr>
              <w:pStyle w:val="Normal"/>
              <w:widowControl/>
              <w:bidi w:val="0"/>
              <w:spacing w:lineRule="auto" w:line="276" w:before="0" w:after="80"/>
              <w:jc w:val="start"/>
              <w:rPr/>
            </w:pPr>
            <w:r>
              <w:rPr>
                <w:color w:val="222222"/>
                <w:sz w:val="17"/>
              </w:rPr>
              <w:t>Voting (soft)</w:t>
            </w:r>
          </w:p>
        </w:tc>
        <w:tc>
          <w:tcPr>
            <w:tcW w:w="1357" w:type="dxa"/>
            <w:tcBorders/>
            <w:shd w:fill="F7F9FB" w:val="clear"/>
            <w:vAlign w:val="center"/>
          </w:tcPr>
          <w:p>
            <w:pPr>
              <w:pStyle w:val="Normal"/>
              <w:widowControl/>
              <w:bidi w:val="0"/>
              <w:spacing w:lineRule="auto" w:line="276" w:before="0" w:after="80"/>
              <w:jc w:val="start"/>
              <w:rPr/>
            </w:pPr>
            <w:r>
              <w:rPr>
                <w:color w:val="222222"/>
                <w:sz w:val="17"/>
              </w:rPr>
              <w:t>0.7997</w:t>
            </w:r>
          </w:p>
        </w:tc>
        <w:tc>
          <w:tcPr>
            <w:tcW w:w="1359" w:type="dxa"/>
            <w:tcBorders/>
            <w:shd w:fill="F7F9FB" w:val="clear"/>
            <w:vAlign w:val="center"/>
          </w:tcPr>
          <w:p>
            <w:pPr>
              <w:pStyle w:val="Normal"/>
              <w:widowControl/>
              <w:bidi w:val="0"/>
              <w:spacing w:lineRule="auto" w:line="276" w:before="0" w:after="80"/>
              <w:jc w:val="start"/>
              <w:rPr/>
            </w:pPr>
            <w:r>
              <w:rPr>
                <w:color w:val="222222"/>
                <w:sz w:val="17"/>
              </w:rPr>
              <w:t>0.7819 ± 0.038</w:t>
            </w:r>
          </w:p>
        </w:tc>
        <w:tc>
          <w:tcPr>
            <w:tcW w:w="1357" w:type="dxa"/>
            <w:tcBorders/>
            <w:shd w:fill="F7F9FB" w:val="clear"/>
            <w:vAlign w:val="center"/>
          </w:tcPr>
          <w:p>
            <w:pPr>
              <w:pStyle w:val="Normal"/>
              <w:widowControl/>
              <w:bidi w:val="0"/>
              <w:spacing w:lineRule="auto" w:line="276" w:before="0" w:after="80"/>
              <w:jc w:val="start"/>
              <w:rPr/>
            </w:pPr>
            <w:r>
              <w:rPr>
                <w:color w:val="222222"/>
                <w:sz w:val="17"/>
              </w:rPr>
              <w:t>0.7338</w:t>
            </w:r>
          </w:p>
        </w:tc>
        <w:tc>
          <w:tcPr>
            <w:tcW w:w="1359" w:type="dxa"/>
            <w:tcBorders/>
            <w:shd w:fill="F7F9FB" w:val="clear"/>
            <w:vAlign w:val="center"/>
          </w:tcPr>
          <w:p>
            <w:pPr>
              <w:pStyle w:val="Normal"/>
              <w:widowControl/>
              <w:bidi w:val="0"/>
              <w:spacing w:lineRule="auto" w:line="276" w:before="0" w:after="80"/>
              <w:jc w:val="start"/>
              <w:rPr/>
            </w:pPr>
            <w:r>
              <w:rPr>
                <w:color w:val="222222"/>
                <w:sz w:val="17"/>
              </w:rPr>
              <w:t>0.6757</w:t>
            </w:r>
          </w:p>
        </w:tc>
        <w:tc>
          <w:tcPr>
            <w:tcW w:w="1357" w:type="dxa"/>
            <w:tcBorders/>
            <w:shd w:fill="F7F9FB" w:val="clear"/>
            <w:vAlign w:val="center"/>
          </w:tcPr>
          <w:p>
            <w:pPr>
              <w:pStyle w:val="Normal"/>
              <w:widowControl/>
              <w:bidi w:val="0"/>
              <w:spacing w:lineRule="auto" w:line="276" w:before="0" w:after="80"/>
              <w:jc w:val="start"/>
              <w:rPr/>
            </w:pPr>
            <w:r>
              <w:rPr>
                <w:color w:val="222222"/>
                <w:sz w:val="17"/>
              </w:rPr>
              <w:t>0.4630</w:t>
            </w:r>
          </w:p>
        </w:tc>
        <w:tc>
          <w:tcPr>
            <w:tcW w:w="1359" w:type="dxa"/>
            <w:tcBorders/>
            <w:shd w:fill="F7F9FB" w:val="clear"/>
            <w:vAlign w:val="center"/>
          </w:tcPr>
          <w:p>
            <w:pPr>
              <w:pStyle w:val="Normal"/>
              <w:widowControl/>
              <w:bidi w:val="0"/>
              <w:spacing w:lineRule="auto" w:line="276" w:before="0" w:after="80"/>
              <w:jc w:val="start"/>
              <w:rPr/>
            </w:pPr>
            <w:r>
              <w:rPr>
                <w:color w:val="222222"/>
                <w:sz w:val="17"/>
              </w:rPr>
              <w:t>0.8154</w:t>
            </w:r>
          </w:p>
        </w:tc>
      </w:tr>
    </w:tbl>
    <w:p>
      <w:pPr>
        <w:pStyle w:val="Normal"/>
        <w:keepNext w:val="true"/>
        <w:spacing w:before="160" w:after="40"/>
        <w:jc w:val="center"/>
        <w:rPr/>
      </w:pPr>
      <w:r>
        <w:rPr/>
        <w:drawing>
          <wp:inline distT="0" distB="0" distL="0" distR="0">
            <wp:extent cx="5669280" cy="17018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5669280" cy="1701800"/>
                    </a:xfrm>
                    <a:prstGeom prst="rect">
                      <a:avLst/>
                    </a:prstGeom>
                    <a:noFill/>
                  </pic:spPr>
                </pic:pic>
              </a:graphicData>
            </a:graphic>
          </wp:inline>
        </w:drawing>
      </w:r>
    </w:p>
    <w:p>
      <w:pPr>
        <w:pStyle w:val="Normal"/>
        <w:spacing w:before="40" w:after="160"/>
        <w:jc w:val="center"/>
        <w:rPr/>
      </w:pPr>
      <w:r>
        <w:rPr>
          <w:i/>
          <w:color w:val="646464"/>
          <w:sz w:val="17"/>
        </w:rPr>
        <w:t>Figura 9: Comparativa de exactitud y ROC-AUC para modelos individuales y ensamble Voting en diabetes.</w:t>
      </w:r>
    </w:p>
    <w:p>
      <w:pPr>
        <w:pStyle w:val="Normal"/>
        <w:keepNext w:val="true"/>
        <w:spacing w:before="160" w:after="40"/>
        <w:jc w:val="center"/>
        <w:rPr/>
      </w:pPr>
      <w:r>
        <w:rPr/>
        <w:drawing>
          <wp:inline distT="0" distB="0" distL="0" distR="0">
            <wp:extent cx="5669280" cy="198691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5669280" cy="1986915"/>
                    </a:xfrm>
                    <a:prstGeom prst="rect">
                      <a:avLst/>
                    </a:prstGeom>
                    <a:noFill/>
                  </pic:spPr>
                </pic:pic>
              </a:graphicData>
            </a:graphic>
          </wp:inline>
        </w:drawing>
      </w:r>
    </w:p>
    <w:p>
      <w:pPr>
        <w:pStyle w:val="Normal"/>
        <w:spacing w:before="40" w:after="160"/>
        <w:jc w:val="center"/>
        <w:rPr/>
      </w:pPr>
      <w:r>
        <w:rPr>
          <w:i/>
          <w:color w:val="646464"/>
          <w:sz w:val="17"/>
        </w:rPr>
        <w:t>Figura 10: Matriz de correlación de errores entre modelos base y distribución de fallos simultáneos.</w:t>
      </w:r>
    </w:p>
    <w:p>
      <w:pPr>
        <w:pStyle w:val="Normal"/>
        <w:keepNext w:val="true"/>
        <w:spacing w:before="160" w:after="40"/>
        <w:jc w:val="center"/>
        <w:rPr/>
      </w:pPr>
      <w:r>
        <w:rPr/>
        <w:drawing>
          <wp:inline distT="0" distB="0" distL="0" distR="0">
            <wp:extent cx="5669280" cy="106108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5669280" cy="1061085"/>
                    </a:xfrm>
                    <a:prstGeom prst="rect">
                      <a:avLst/>
                    </a:prstGeom>
                    <a:noFill/>
                  </pic:spPr>
                </pic:pic>
              </a:graphicData>
            </a:graphic>
          </wp:inline>
        </w:drawing>
      </w:r>
    </w:p>
    <w:p>
      <w:pPr>
        <w:pStyle w:val="Normal"/>
        <w:spacing w:before="40" w:after="160"/>
        <w:jc w:val="center"/>
        <w:rPr/>
      </w:pPr>
      <w:r>
        <w:rPr>
          <w:i/>
          <w:color w:val="646464"/>
          <w:sz w:val="17"/>
        </w:rPr>
        <w:t>Figura 11: Fronteras de decisión en 2D (Glucosa vs. IMC): suavizado de fronteras del ensamble frente a cortes ortogonales del árbol.</w:t>
      </w:r>
    </w:p>
    <w:p>
      <w:pPr>
        <w:pStyle w:val="Heading2"/>
        <w:rPr/>
      </w:pPr>
      <w:bookmarkStart w:id="9" w:name="__RefHeading___Toc1055_3384329428"/>
      <w:bookmarkEnd w:id="9"/>
      <w:r>
        <w:rPr/>
        <w:t>Respuesta Justificada: ¿Cuál es mejor en el Ítem 3?</w:t>
      </w:r>
    </w:p>
    <w:p>
      <w:pPr>
        <w:pStyle w:val="Normal"/>
        <w:rPr/>
      </w:pPr>
      <w:r>
        <w:rPr/>
        <w:t>El ensamble VotingClassifier con votación suave (soft voting) es el mejor modelo integral. Logra una exactitud en prueba de 73.38%, una precisión del 67.57% (la más alta entre todos los competidores) y un ROC-AUC de 0.8154, con una desviación estándar en validación cruzada de solo 0.038 (la menor de todo el experimento, indicando máxima estabilidad).</w:t>
      </w:r>
    </w:p>
    <w:p>
      <w:pPr>
        <w:pStyle w:val="Normal"/>
        <w:rPr/>
      </w:pPr>
      <w:r>
        <w:rPr/>
        <w:t>Fundamento Teórico: El éxito del ensamble se fundamenta en la diversidad del error (demostrada empíricamente en la Figura 10). La correlación de errores entre la Regresión Logística y el Árbol de Decisión es de solo 0.45, y entre KNN y el Árbol es de 0.40. En 37 muestras del conjunto de prueba, exactamente un clasificador individual comete un error mientras los otros dos aciertan; en tales instancias, el mecanismo de votación neutraliza el fallo individual y emite la etiqueta correcta. La votación suave supera a la dura porque modula la decisión final por la certidumbre probabilística de cada modelo, evitando que votos marginales anulen predicciones de alta convicción.</w:t>
      </w:r>
    </w:p>
    <w:p>
      <w:pPr>
        <w:pStyle w:val="Heading1"/>
        <w:rPr/>
      </w:pPr>
      <w:bookmarkStart w:id="10" w:name="__RefHeading___Toc1057_3384329428"/>
      <w:bookmarkEnd w:id="10"/>
      <w:r>
        <w:rPr/>
        <w:t>6. Ítem 4: Bagging con Evaluación OOB vs. Árbol Individual</w:t>
      </w:r>
    </w:p>
    <w:tbl>
      <w:tblPr>
        <w:tblW w:w="9504" w:type="dxa"/>
        <w:jc w:val="center"/>
        <w:tblInd w:w="0" w:type="dxa"/>
        <w:tblLayout w:type="fixed"/>
        <w:tblCellMar>
          <w:top w:w="140" w:type="dxa"/>
          <w:start w:w="200" w:type="dxa"/>
          <w:bottom w:w="140" w:type="dxa"/>
          <w:end w:w="200" w:type="dxa"/>
        </w:tblCellMar>
        <w:tblLook w:noHBand="0" w:noVBand="1" w:firstColumn="1" w:lastRow="0" w:lastColumn="0" w:firstRow="1" w:val="04a0"/>
      </w:tblPr>
      <w:tblGrid>
        <w:gridCol w:w="9504"/>
      </w:tblGrid>
      <w:tr>
        <w:trPr/>
        <w:tc>
          <w:tcPr>
            <w:tcW w:w="9504" w:type="dxa"/>
            <w:tcBorders>
              <w:start w:val="single" w:sz="24" w:space="0" w:color="1B365D"/>
            </w:tcBorders>
            <w:shd w:fill="F5F8FC" w:val="clear"/>
          </w:tcPr>
          <w:p>
            <w:pPr>
              <w:pStyle w:val="Normal"/>
              <w:spacing w:before="40" w:after="40"/>
              <w:rPr/>
            </w:pPr>
            <w:r>
              <w:rPr>
                <w:b/>
                <w:color w:val="1B365D"/>
                <w:sz w:val="19"/>
              </w:rPr>
              <w:t>Enunciado del Ítem 4</w:t>
              <w:br/>
            </w:r>
            <w:r>
              <w:rPr>
                <w:color w:val="222222"/>
                <w:sz w:val="18"/>
              </w:rPr>
              <w:t>Entrene un modelo bagging regresor o clasificador y compare su eficiencia con respecto a un modelo individual. ¿Cuál es el mejor?</w:t>
            </w:r>
          </w:p>
        </w:tc>
      </w:tr>
    </w:tbl>
    <w:p>
      <w:pPr>
        <w:pStyle w:val="Normal"/>
        <w:spacing w:before="0" w:after="80"/>
        <w:rPr/>
      </w:pPr>
      <w:r>
        <w:rPr/>
      </w:r>
    </w:p>
    <w:p>
      <w:pPr>
        <w:pStyle w:val="Normal"/>
        <w:rPr/>
      </w:pPr>
      <w:r>
        <w:rPr/>
        <w:t>Se aplicó BaggingClassifier sobre el conjunto de datos breast_cancer empleando como estimadores base árboles CART profundos no podados y árboles con poda moderada (depth=4, leaf=16%, según la especificación del apunte de clase). Se contrastaron las estimaciones Out-Of-Bag (OOB) frente al conjunto de prueba independiente y se ejecutó un estudio de estabilidad y varianza a lo largo de 30 particiones aleatorias independientes.</w:t>
      </w:r>
    </w:p>
    <w:tbl>
      <w:tblPr>
        <w:tblW w:w="9506" w:type="dxa"/>
        <w:jc w:val="center"/>
        <w:tblInd w:w="0" w:type="dxa"/>
        <w:tblLayout w:type="fixed"/>
        <w:tblCellMar>
          <w:top w:w="100" w:type="dxa"/>
          <w:start w:w="130" w:type="dxa"/>
          <w:bottom w:w="100" w:type="dxa"/>
          <w:end w:w="130" w:type="dxa"/>
        </w:tblCellMar>
        <w:tblLook w:noHBand="0" w:noVBand="1" w:firstColumn="1" w:lastRow="0" w:lastColumn="0" w:firstRow="1" w:val="04a0"/>
      </w:tblPr>
      <w:tblGrid>
        <w:gridCol w:w="1358"/>
        <w:gridCol w:w="1357"/>
        <w:gridCol w:w="1359"/>
        <w:gridCol w:w="1357"/>
        <w:gridCol w:w="1359"/>
        <w:gridCol w:w="1357"/>
        <w:gridCol w:w="1359"/>
      </w:tblGrid>
      <w:tr>
        <w:trPr>
          <w:tblHeader w:val="true"/>
          <w:cantSplit/>
        </w:trPr>
        <w:tc>
          <w:tcPr>
            <w:tcW w:w="1358" w:type="dxa"/>
            <w:tcBorders/>
            <w:shd w:fill="1B365D" w:val="clear"/>
            <w:vAlign w:val="center"/>
          </w:tcPr>
          <w:p>
            <w:pPr>
              <w:pStyle w:val="Normal"/>
              <w:spacing w:before="0" w:after="80"/>
              <w:jc w:val="center"/>
              <w:rPr/>
            </w:pPr>
            <w:r>
              <w:rPr>
                <w:b/>
                <w:color w:val="FFFFFF"/>
                <w:sz w:val="17"/>
              </w:rPr>
              <w:t>Modelo</w:t>
            </w:r>
          </w:p>
        </w:tc>
        <w:tc>
          <w:tcPr>
            <w:tcW w:w="1357" w:type="dxa"/>
            <w:tcBorders/>
            <w:shd w:fill="1B365D" w:val="clear"/>
            <w:vAlign w:val="center"/>
          </w:tcPr>
          <w:p>
            <w:pPr>
              <w:pStyle w:val="Normal"/>
              <w:spacing w:before="0" w:after="80"/>
              <w:jc w:val="center"/>
              <w:rPr/>
            </w:pPr>
            <w:r>
              <w:rPr>
                <w:b/>
                <w:color w:val="FFFFFF"/>
                <w:sz w:val="17"/>
              </w:rPr>
              <w:t>Acc. Train</w:t>
            </w:r>
          </w:p>
        </w:tc>
        <w:tc>
          <w:tcPr>
            <w:tcW w:w="1359" w:type="dxa"/>
            <w:tcBorders/>
            <w:shd w:fill="1B365D" w:val="clear"/>
            <w:vAlign w:val="center"/>
          </w:tcPr>
          <w:p>
            <w:pPr>
              <w:pStyle w:val="Normal"/>
              <w:spacing w:before="0" w:after="80"/>
              <w:jc w:val="center"/>
              <w:rPr/>
            </w:pPr>
            <w:r>
              <w:rPr>
                <w:b/>
                <w:color w:val="FFFFFF"/>
                <w:sz w:val="17"/>
              </w:rPr>
              <w:t>Acc. CV (media)</w:t>
            </w:r>
          </w:p>
        </w:tc>
        <w:tc>
          <w:tcPr>
            <w:tcW w:w="1357" w:type="dxa"/>
            <w:tcBorders/>
            <w:shd w:fill="1B365D" w:val="clear"/>
            <w:vAlign w:val="center"/>
          </w:tcPr>
          <w:p>
            <w:pPr>
              <w:pStyle w:val="Normal"/>
              <w:spacing w:before="0" w:after="80"/>
              <w:jc w:val="center"/>
              <w:rPr/>
            </w:pPr>
            <w:r>
              <w:rPr>
                <w:b/>
                <w:color w:val="FFFFFF"/>
                <w:sz w:val="17"/>
              </w:rPr>
              <w:t>Acc. OOB</w:t>
            </w:r>
          </w:p>
        </w:tc>
        <w:tc>
          <w:tcPr>
            <w:tcW w:w="1359" w:type="dxa"/>
            <w:tcBorders/>
            <w:shd w:fill="1B365D" w:val="clear"/>
            <w:vAlign w:val="center"/>
          </w:tcPr>
          <w:p>
            <w:pPr>
              <w:pStyle w:val="Normal"/>
              <w:spacing w:before="0" w:after="80"/>
              <w:jc w:val="center"/>
              <w:rPr/>
            </w:pPr>
            <w:r>
              <w:rPr>
                <w:b/>
                <w:color w:val="FFFFFF"/>
                <w:sz w:val="17"/>
              </w:rPr>
              <w:t>Acc. Test</w:t>
            </w:r>
          </w:p>
        </w:tc>
        <w:tc>
          <w:tcPr>
            <w:tcW w:w="1357" w:type="dxa"/>
            <w:tcBorders/>
            <w:shd w:fill="1B365D" w:val="clear"/>
            <w:vAlign w:val="center"/>
          </w:tcPr>
          <w:p>
            <w:pPr>
              <w:pStyle w:val="Normal"/>
              <w:spacing w:before="0" w:after="80"/>
              <w:jc w:val="center"/>
              <w:rPr/>
            </w:pPr>
            <w:r>
              <w:rPr>
                <w:b/>
                <w:color w:val="FFFFFF"/>
                <w:sz w:val="17"/>
              </w:rPr>
              <w:t>ROC-AUC Test</w:t>
            </w:r>
          </w:p>
        </w:tc>
        <w:tc>
          <w:tcPr>
            <w:tcW w:w="1359" w:type="dxa"/>
            <w:tcBorders/>
            <w:shd w:fill="1B365D" w:val="clear"/>
            <w:vAlign w:val="center"/>
          </w:tcPr>
          <w:p>
            <w:pPr>
              <w:pStyle w:val="Normal"/>
              <w:spacing w:before="0" w:after="80"/>
              <w:jc w:val="center"/>
              <w:rPr/>
            </w:pPr>
            <w:r>
              <w:rPr>
                <w:b/>
                <w:color w:val="FFFFFF"/>
                <w:sz w:val="17"/>
              </w:rPr>
              <w:t>Tiempo fit (s)</w:t>
            </w:r>
          </w:p>
        </w:tc>
      </w:tr>
      <w:tr>
        <w:trPr>
          <w:cantSplit/>
        </w:trPr>
        <w:tc>
          <w:tcPr>
            <w:tcW w:w="1358" w:type="dxa"/>
            <w:tcBorders/>
            <w:shd w:fill="F7F9FB" w:val="clear"/>
            <w:vAlign w:val="center"/>
          </w:tcPr>
          <w:p>
            <w:pPr>
              <w:pStyle w:val="Normal"/>
              <w:widowControl/>
              <w:bidi w:val="0"/>
              <w:spacing w:lineRule="auto" w:line="276" w:before="0" w:after="80"/>
              <w:jc w:val="start"/>
              <w:rPr/>
            </w:pPr>
            <w:r>
              <w:rPr>
                <w:color w:val="222222"/>
                <w:sz w:val="17"/>
              </w:rPr>
              <w:t>Árbol individual (sin podar)</w:t>
            </w:r>
          </w:p>
        </w:tc>
        <w:tc>
          <w:tcPr>
            <w:tcW w:w="1357" w:type="dxa"/>
            <w:tcBorders/>
            <w:shd w:fill="F7F9FB" w:val="clear"/>
            <w:vAlign w:val="center"/>
          </w:tcPr>
          <w:p>
            <w:pPr>
              <w:pStyle w:val="Normal"/>
              <w:widowControl/>
              <w:bidi w:val="0"/>
              <w:spacing w:lineRule="auto" w:line="276" w:before="0" w:after="80"/>
              <w:jc w:val="start"/>
              <w:rPr/>
            </w:pPr>
            <w:r>
              <w:rPr>
                <w:color w:val="222222"/>
                <w:sz w:val="17"/>
              </w:rPr>
              <w:t>1.0000</w:t>
            </w:r>
          </w:p>
        </w:tc>
        <w:tc>
          <w:tcPr>
            <w:tcW w:w="1359" w:type="dxa"/>
            <w:tcBorders/>
            <w:shd w:fill="F7F9FB" w:val="clear"/>
            <w:vAlign w:val="center"/>
          </w:tcPr>
          <w:p>
            <w:pPr>
              <w:pStyle w:val="Normal"/>
              <w:widowControl/>
              <w:bidi w:val="0"/>
              <w:spacing w:lineRule="auto" w:line="276" w:before="0" w:after="80"/>
              <w:jc w:val="start"/>
              <w:rPr/>
            </w:pPr>
            <w:r>
              <w:rPr>
                <w:color w:val="222222"/>
                <w:sz w:val="17"/>
              </w:rPr>
              <w:t>0.9253 ± 0.042</w:t>
            </w:r>
          </w:p>
        </w:tc>
        <w:tc>
          <w:tcPr>
            <w:tcW w:w="1357" w:type="dxa"/>
            <w:tcBorders/>
            <w:shd w:fill="F7F9FB" w:val="clear"/>
            <w:vAlign w:val="center"/>
          </w:tcPr>
          <w:p>
            <w:pPr>
              <w:pStyle w:val="Normal"/>
              <w:widowControl/>
              <w:bidi w:val="0"/>
              <w:spacing w:lineRule="auto" w:line="276" w:before="0" w:after="80"/>
              <w:jc w:val="start"/>
              <w:rPr/>
            </w:pPr>
            <w:r>
              <w:rPr>
                <w:color w:val="222222"/>
                <w:sz w:val="17"/>
              </w:rPr>
              <w:t>N/A</w:t>
            </w:r>
          </w:p>
        </w:tc>
        <w:tc>
          <w:tcPr>
            <w:tcW w:w="1359" w:type="dxa"/>
            <w:tcBorders/>
            <w:shd w:fill="F7F9FB" w:val="clear"/>
            <w:vAlign w:val="center"/>
          </w:tcPr>
          <w:p>
            <w:pPr>
              <w:pStyle w:val="Normal"/>
              <w:widowControl/>
              <w:bidi w:val="0"/>
              <w:spacing w:lineRule="auto" w:line="276" w:before="0" w:after="80"/>
              <w:jc w:val="start"/>
              <w:rPr/>
            </w:pPr>
            <w:r>
              <w:rPr>
                <w:color w:val="222222"/>
                <w:sz w:val="17"/>
              </w:rPr>
              <w:t>0.9123</w:t>
            </w:r>
          </w:p>
        </w:tc>
        <w:tc>
          <w:tcPr>
            <w:tcW w:w="1357" w:type="dxa"/>
            <w:tcBorders/>
            <w:shd w:fill="F7F9FB" w:val="clear"/>
            <w:vAlign w:val="center"/>
          </w:tcPr>
          <w:p>
            <w:pPr>
              <w:pStyle w:val="Normal"/>
              <w:widowControl/>
              <w:bidi w:val="0"/>
              <w:spacing w:lineRule="auto" w:line="276" w:before="0" w:after="80"/>
              <w:jc w:val="start"/>
              <w:rPr/>
            </w:pPr>
            <w:r>
              <w:rPr>
                <w:color w:val="222222"/>
                <w:sz w:val="17"/>
              </w:rPr>
              <w:t>0.9157</w:t>
            </w:r>
          </w:p>
        </w:tc>
        <w:tc>
          <w:tcPr>
            <w:tcW w:w="1359" w:type="dxa"/>
            <w:tcBorders/>
            <w:shd w:fill="F7F9FB" w:val="clear"/>
            <w:vAlign w:val="center"/>
          </w:tcPr>
          <w:p>
            <w:pPr>
              <w:pStyle w:val="Normal"/>
              <w:widowControl/>
              <w:bidi w:val="0"/>
              <w:spacing w:lineRule="auto" w:line="276" w:before="0" w:after="80"/>
              <w:jc w:val="start"/>
              <w:rPr/>
            </w:pPr>
            <w:r>
              <w:rPr>
                <w:color w:val="222222"/>
                <w:sz w:val="17"/>
              </w:rPr>
              <w:t>0.008</w:t>
            </w:r>
          </w:p>
        </w:tc>
      </w:tr>
      <w:tr>
        <w:trPr>
          <w:cantSplit/>
        </w:trPr>
        <w:tc>
          <w:tcPr>
            <w:tcW w:w="1358" w:type="dxa"/>
            <w:tcBorders/>
            <w:shd w:fill="FFFFFF" w:val="clear"/>
            <w:vAlign w:val="center"/>
          </w:tcPr>
          <w:p>
            <w:pPr>
              <w:pStyle w:val="Normal"/>
              <w:widowControl/>
              <w:bidi w:val="0"/>
              <w:spacing w:lineRule="auto" w:line="276" w:before="0" w:after="80"/>
              <w:jc w:val="start"/>
              <w:rPr/>
            </w:pPr>
            <w:r>
              <w:rPr>
                <w:color w:val="222222"/>
                <w:sz w:val="17"/>
              </w:rPr>
              <w:t>Árbol individual (depth=4, leaf=16%)</w:t>
            </w:r>
          </w:p>
        </w:tc>
        <w:tc>
          <w:tcPr>
            <w:tcW w:w="1357" w:type="dxa"/>
            <w:tcBorders/>
            <w:shd w:fill="FFFFFF" w:val="clear"/>
            <w:vAlign w:val="center"/>
          </w:tcPr>
          <w:p>
            <w:pPr>
              <w:pStyle w:val="Normal"/>
              <w:widowControl/>
              <w:bidi w:val="0"/>
              <w:spacing w:lineRule="auto" w:line="276" w:before="0" w:after="80"/>
              <w:jc w:val="start"/>
              <w:rPr/>
            </w:pPr>
            <w:r>
              <w:rPr>
                <w:color w:val="222222"/>
                <w:sz w:val="17"/>
              </w:rPr>
              <w:t>0.9231</w:t>
            </w:r>
          </w:p>
        </w:tc>
        <w:tc>
          <w:tcPr>
            <w:tcW w:w="1359" w:type="dxa"/>
            <w:tcBorders/>
            <w:shd w:fill="FFFFFF" w:val="clear"/>
            <w:vAlign w:val="center"/>
          </w:tcPr>
          <w:p>
            <w:pPr>
              <w:pStyle w:val="Normal"/>
              <w:widowControl/>
              <w:bidi w:val="0"/>
              <w:spacing w:lineRule="auto" w:line="276" w:before="0" w:after="80"/>
              <w:jc w:val="start"/>
              <w:rPr/>
            </w:pPr>
            <w:r>
              <w:rPr>
                <w:color w:val="222222"/>
                <w:sz w:val="17"/>
              </w:rPr>
              <w:t>0.8857 ± 0.041</w:t>
            </w:r>
          </w:p>
        </w:tc>
        <w:tc>
          <w:tcPr>
            <w:tcW w:w="1357" w:type="dxa"/>
            <w:tcBorders/>
            <w:shd w:fill="FFFFFF" w:val="clear"/>
            <w:vAlign w:val="center"/>
          </w:tcPr>
          <w:p>
            <w:pPr>
              <w:pStyle w:val="Normal"/>
              <w:widowControl/>
              <w:bidi w:val="0"/>
              <w:spacing w:lineRule="auto" w:line="276" w:before="0" w:after="80"/>
              <w:jc w:val="start"/>
              <w:rPr/>
            </w:pPr>
            <w:r>
              <w:rPr>
                <w:color w:val="222222"/>
                <w:sz w:val="17"/>
              </w:rPr>
              <w:t>N/A</w:t>
            </w:r>
          </w:p>
        </w:tc>
        <w:tc>
          <w:tcPr>
            <w:tcW w:w="1359" w:type="dxa"/>
            <w:tcBorders/>
            <w:shd w:fill="FFFFFF" w:val="clear"/>
            <w:vAlign w:val="center"/>
          </w:tcPr>
          <w:p>
            <w:pPr>
              <w:pStyle w:val="Normal"/>
              <w:widowControl/>
              <w:bidi w:val="0"/>
              <w:spacing w:lineRule="auto" w:line="276" w:before="0" w:after="80"/>
              <w:jc w:val="start"/>
              <w:rPr/>
            </w:pPr>
            <w:r>
              <w:rPr>
                <w:color w:val="222222"/>
                <w:sz w:val="17"/>
              </w:rPr>
              <w:t>0.9211</w:t>
            </w:r>
          </w:p>
        </w:tc>
        <w:tc>
          <w:tcPr>
            <w:tcW w:w="1357" w:type="dxa"/>
            <w:tcBorders/>
            <w:shd w:fill="FFFFFF" w:val="clear"/>
            <w:vAlign w:val="center"/>
          </w:tcPr>
          <w:p>
            <w:pPr>
              <w:pStyle w:val="Normal"/>
              <w:widowControl/>
              <w:bidi w:val="0"/>
              <w:spacing w:lineRule="auto" w:line="276" w:before="0" w:after="80"/>
              <w:jc w:val="start"/>
              <w:rPr/>
            </w:pPr>
            <w:r>
              <w:rPr>
                <w:color w:val="222222"/>
                <w:sz w:val="17"/>
              </w:rPr>
              <w:t>0.9658</w:t>
            </w:r>
          </w:p>
        </w:tc>
        <w:tc>
          <w:tcPr>
            <w:tcW w:w="1359" w:type="dxa"/>
            <w:tcBorders/>
            <w:shd w:fill="FFFFFF" w:val="clear"/>
            <w:vAlign w:val="center"/>
          </w:tcPr>
          <w:p>
            <w:pPr>
              <w:pStyle w:val="Normal"/>
              <w:widowControl/>
              <w:bidi w:val="0"/>
              <w:spacing w:lineRule="auto" w:line="276" w:before="0" w:after="80"/>
              <w:jc w:val="start"/>
              <w:rPr/>
            </w:pPr>
            <w:r>
              <w:rPr>
                <w:color w:val="222222"/>
                <w:sz w:val="17"/>
              </w:rPr>
              <w:t>0.004</w:t>
            </w:r>
          </w:p>
        </w:tc>
      </w:tr>
      <w:tr>
        <w:trPr>
          <w:cantSplit/>
        </w:trPr>
        <w:tc>
          <w:tcPr>
            <w:tcW w:w="1358" w:type="dxa"/>
            <w:tcBorders/>
            <w:shd w:fill="F7F9FB" w:val="clear"/>
            <w:vAlign w:val="center"/>
          </w:tcPr>
          <w:p>
            <w:pPr>
              <w:pStyle w:val="Normal"/>
              <w:widowControl/>
              <w:bidi w:val="0"/>
              <w:spacing w:lineRule="auto" w:line="276" w:before="0" w:after="80"/>
              <w:jc w:val="start"/>
              <w:rPr/>
            </w:pPr>
            <w:r>
              <w:rPr>
                <w:color w:val="222222"/>
                <w:sz w:val="17"/>
              </w:rPr>
              <w:t>Bagging 300 árboles (sin podar)</w:t>
            </w:r>
          </w:p>
        </w:tc>
        <w:tc>
          <w:tcPr>
            <w:tcW w:w="1357" w:type="dxa"/>
            <w:tcBorders/>
            <w:shd w:fill="F7F9FB" w:val="clear"/>
            <w:vAlign w:val="center"/>
          </w:tcPr>
          <w:p>
            <w:pPr>
              <w:pStyle w:val="Normal"/>
              <w:widowControl/>
              <w:bidi w:val="0"/>
              <w:spacing w:lineRule="auto" w:line="276" w:before="0" w:after="80"/>
              <w:jc w:val="start"/>
              <w:rPr/>
            </w:pPr>
            <w:r>
              <w:rPr>
                <w:color w:val="222222"/>
                <w:sz w:val="17"/>
              </w:rPr>
              <w:t>1.0000</w:t>
            </w:r>
          </w:p>
        </w:tc>
        <w:tc>
          <w:tcPr>
            <w:tcW w:w="1359" w:type="dxa"/>
            <w:tcBorders/>
            <w:shd w:fill="F7F9FB" w:val="clear"/>
            <w:vAlign w:val="center"/>
          </w:tcPr>
          <w:p>
            <w:pPr>
              <w:pStyle w:val="Normal"/>
              <w:widowControl/>
              <w:bidi w:val="0"/>
              <w:spacing w:lineRule="auto" w:line="276" w:before="0" w:after="80"/>
              <w:jc w:val="start"/>
              <w:rPr/>
            </w:pPr>
            <w:r>
              <w:rPr>
                <w:color w:val="222222"/>
                <w:sz w:val="17"/>
              </w:rPr>
              <w:t>0.9627 ± 0.037</w:t>
            </w:r>
          </w:p>
        </w:tc>
        <w:tc>
          <w:tcPr>
            <w:tcW w:w="1357" w:type="dxa"/>
            <w:tcBorders/>
            <w:shd w:fill="F7F9FB" w:val="clear"/>
            <w:vAlign w:val="center"/>
          </w:tcPr>
          <w:p>
            <w:pPr>
              <w:pStyle w:val="Normal"/>
              <w:widowControl/>
              <w:bidi w:val="0"/>
              <w:spacing w:lineRule="auto" w:line="276" w:before="0" w:after="80"/>
              <w:jc w:val="start"/>
              <w:rPr/>
            </w:pPr>
            <w:r>
              <w:rPr>
                <w:color w:val="222222"/>
                <w:sz w:val="17"/>
              </w:rPr>
              <w:t>0.9648</w:t>
            </w:r>
          </w:p>
        </w:tc>
        <w:tc>
          <w:tcPr>
            <w:tcW w:w="1359" w:type="dxa"/>
            <w:tcBorders/>
            <w:shd w:fill="F7F9FB" w:val="clear"/>
            <w:vAlign w:val="center"/>
          </w:tcPr>
          <w:p>
            <w:pPr>
              <w:pStyle w:val="Normal"/>
              <w:widowControl/>
              <w:bidi w:val="0"/>
              <w:spacing w:lineRule="auto" w:line="276" w:before="0" w:after="80"/>
              <w:jc w:val="start"/>
              <w:rPr/>
            </w:pPr>
            <w:r>
              <w:rPr>
                <w:color w:val="222222"/>
                <w:sz w:val="17"/>
              </w:rPr>
              <w:t>0.9474</w:t>
            </w:r>
          </w:p>
        </w:tc>
        <w:tc>
          <w:tcPr>
            <w:tcW w:w="1357" w:type="dxa"/>
            <w:tcBorders/>
            <w:shd w:fill="F7F9FB" w:val="clear"/>
            <w:vAlign w:val="center"/>
          </w:tcPr>
          <w:p>
            <w:pPr>
              <w:pStyle w:val="Normal"/>
              <w:widowControl/>
              <w:bidi w:val="0"/>
              <w:spacing w:lineRule="auto" w:line="276" w:before="0" w:after="80"/>
              <w:jc w:val="start"/>
              <w:rPr/>
            </w:pPr>
            <w:r>
              <w:rPr>
                <w:color w:val="222222"/>
                <w:sz w:val="17"/>
              </w:rPr>
              <w:t>0.9931</w:t>
            </w:r>
          </w:p>
        </w:tc>
        <w:tc>
          <w:tcPr>
            <w:tcW w:w="1359" w:type="dxa"/>
            <w:tcBorders/>
            <w:shd w:fill="F7F9FB" w:val="clear"/>
            <w:vAlign w:val="center"/>
          </w:tcPr>
          <w:p>
            <w:pPr>
              <w:pStyle w:val="Normal"/>
              <w:widowControl/>
              <w:bidi w:val="0"/>
              <w:spacing w:lineRule="auto" w:line="276" w:before="0" w:after="80"/>
              <w:jc w:val="start"/>
              <w:rPr/>
            </w:pPr>
            <w:r>
              <w:rPr>
                <w:color w:val="222222"/>
                <w:sz w:val="17"/>
              </w:rPr>
              <w:t>0.751</w:t>
            </w:r>
          </w:p>
        </w:tc>
      </w:tr>
      <w:tr>
        <w:trPr>
          <w:cantSplit/>
        </w:trPr>
        <w:tc>
          <w:tcPr>
            <w:tcW w:w="1358" w:type="dxa"/>
            <w:tcBorders/>
            <w:shd w:fill="FFFFFF" w:val="clear"/>
            <w:vAlign w:val="center"/>
          </w:tcPr>
          <w:p>
            <w:pPr>
              <w:pStyle w:val="Normal"/>
              <w:widowControl/>
              <w:bidi w:val="0"/>
              <w:spacing w:lineRule="auto" w:line="276" w:before="0" w:after="80"/>
              <w:jc w:val="start"/>
              <w:rPr/>
            </w:pPr>
            <w:r>
              <w:rPr>
                <w:color w:val="222222"/>
                <w:sz w:val="17"/>
              </w:rPr>
              <w:t>Bagging 300 árboles (depth=4, leaf=16%)</w:t>
            </w:r>
          </w:p>
        </w:tc>
        <w:tc>
          <w:tcPr>
            <w:tcW w:w="1357" w:type="dxa"/>
            <w:tcBorders/>
            <w:shd w:fill="FFFFFF" w:val="clear"/>
            <w:vAlign w:val="center"/>
          </w:tcPr>
          <w:p>
            <w:pPr>
              <w:pStyle w:val="Normal"/>
              <w:widowControl/>
              <w:bidi w:val="0"/>
              <w:spacing w:lineRule="auto" w:line="276" w:before="0" w:after="80"/>
              <w:jc w:val="start"/>
              <w:rPr/>
            </w:pPr>
            <w:r>
              <w:rPr>
                <w:color w:val="222222"/>
                <w:sz w:val="17"/>
              </w:rPr>
              <w:t>0.9451</w:t>
            </w:r>
          </w:p>
        </w:tc>
        <w:tc>
          <w:tcPr>
            <w:tcW w:w="1359" w:type="dxa"/>
            <w:tcBorders/>
            <w:shd w:fill="FFFFFF" w:val="clear"/>
            <w:vAlign w:val="center"/>
          </w:tcPr>
          <w:p>
            <w:pPr>
              <w:pStyle w:val="Normal"/>
              <w:widowControl/>
              <w:bidi w:val="0"/>
              <w:spacing w:lineRule="auto" w:line="276" w:before="0" w:after="80"/>
              <w:jc w:val="start"/>
              <w:rPr/>
            </w:pPr>
            <w:r>
              <w:rPr>
                <w:color w:val="222222"/>
                <w:sz w:val="17"/>
              </w:rPr>
              <w:t>0.9209 ± 0.020</w:t>
            </w:r>
          </w:p>
        </w:tc>
        <w:tc>
          <w:tcPr>
            <w:tcW w:w="1357" w:type="dxa"/>
            <w:tcBorders/>
            <w:shd w:fill="FFFFFF" w:val="clear"/>
            <w:vAlign w:val="center"/>
          </w:tcPr>
          <w:p>
            <w:pPr>
              <w:pStyle w:val="Normal"/>
              <w:widowControl/>
              <w:bidi w:val="0"/>
              <w:spacing w:lineRule="auto" w:line="276" w:before="0" w:after="80"/>
              <w:jc w:val="start"/>
              <w:rPr/>
            </w:pPr>
            <w:r>
              <w:rPr>
                <w:color w:val="222222"/>
                <w:sz w:val="17"/>
              </w:rPr>
              <w:t>0.9209</w:t>
            </w:r>
          </w:p>
        </w:tc>
        <w:tc>
          <w:tcPr>
            <w:tcW w:w="1359" w:type="dxa"/>
            <w:tcBorders/>
            <w:shd w:fill="FFFFFF" w:val="clear"/>
            <w:vAlign w:val="center"/>
          </w:tcPr>
          <w:p>
            <w:pPr>
              <w:pStyle w:val="Normal"/>
              <w:widowControl/>
              <w:bidi w:val="0"/>
              <w:spacing w:lineRule="auto" w:line="276" w:before="0" w:after="80"/>
              <w:jc w:val="start"/>
              <w:rPr/>
            </w:pPr>
            <w:r>
              <w:rPr>
                <w:color w:val="222222"/>
                <w:sz w:val="17"/>
              </w:rPr>
              <w:t>0.9474</w:t>
            </w:r>
          </w:p>
        </w:tc>
        <w:tc>
          <w:tcPr>
            <w:tcW w:w="1357" w:type="dxa"/>
            <w:tcBorders/>
            <w:shd w:fill="FFFFFF" w:val="clear"/>
            <w:vAlign w:val="center"/>
          </w:tcPr>
          <w:p>
            <w:pPr>
              <w:pStyle w:val="Normal"/>
              <w:widowControl/>
              <w:bidi w:val="0"/>
              <w:spacing w:lineRule="auto" w:line="276" w:before="0" w:after="80"/>
              <w:jc w:val="start"/>
              <w:rPr/>
            </w:pPr>
            <w:r>
              <w:rPr>
                <w:color w:val="222222"/>
                <w:sz w:val="17"/>
              </w:rPr>
              <w:t>0.9884</w:t>
            </w:r>
          </w:p>
        </w:tc>
        <w:tc>
          <w:tcPr>
            <w:tcW w:w="1359" w:type="dxa"/>
            <w:tcBorders/>
            <w:shd w:fill="FFFFFF" w:val="clear"/>
            <w:vAlign w:val="center"/>
          </w:tcPr>
          <w:p>
            <w:pPr>
              <w:pStyle w:val="Normal"/>
              <w:widowControl/>
              <w:bidi w:val="0"/>
              <w:spacing w:lineRule="auto" w:line="276" w:before="0" w:after="80"/>
              <w:jc w:val="start"/>
              <w:rPr/>
            </w:pPr>
            <w:r>
              <w:rPr>
                <w:color w:val="222222"/>
                <w:sz w:val="17"/>
              </w:rPr>
              <w:t>0.492</w:t>
            </w:r>
          </w:p>
        </w:tc>
      </w:tr>
    </w:tbl>
    <w:p>
      <w:pPr>
        <w:pStyle w:val="Normal"/>
        <w:keepNext w:val="true"/>
        <w:spacing w:before="160" w:after="40"/>
        <w:jc w:val="center"/>
        <w:rPr/>
      </w:pPr>
      <w:r>
        <w:rPr/>
        <w:drawing>
          <wp:inline distT="0" distB="0" distL="0" distR="0">
            <wp:extent cx="5669280" cy="16916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5669280" cy="1691640"/>
                    </a:xfrm>
                    <a:prstGeom prst="rect">
                      <a:avLst/>
                    </a:prstGeom>
                    <a:noFill/>
                  </pic:spPr>
                </pic:pic>
              </a:graphicData>
            </a:graphic>
          </wp:inline>
        </w:drawing>
      </w:r>
    </w:p>
    <w:p>
      <w:pPr>
        <w:pStyle w:val="Normal"/>
        <w:spacing w:before="40" w:after="160"/>
        <w:jc w:val="center"/>
        <w:rPr/>
      </w:pPr>
      <w:r>
        <w:rPr>
          <w:i/>
          <w:color w:val="646464"/>
          <w:sz w:val="17"/>
        </w:rPr>
        <w:t>Figura 12: Exactitud del árbol individual frente a Bagging en entrenamiento, CV 10-Fold, OOB y prueba.</w:t>
      </w:r>
    </w:p>
    <w:p>
      <w:pPr>
        <w:pStyle w:val="Normal"/>
        <w:keepNext w:val="true"/>
        <w:spacing w:before="160" w:after="40"/>
        <w:jc w:val="center"/>
        <w:rPr/>
      </w:pPr>
      <w:r>
        <w:rPr/>
        <w:drawing>
          <wp:inline distT="0" distB="0" distL="0" distR="0">
            <wp:extent cx="5669280" cy="247713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5669280" cy="2477135"/>
                    </a:xfrm>
                    <a:prstGeom prst="rect">
                      <a:avLst/>
                    </a:prstGeom>
                    <a:noFill/>
                  </pic:spPr>
                </pic:pic>
              </a:graphicData>
            </a:graphic>
          </wp:inline>
        </w:drawing>
      </w:r>
    </w:p>
    <w:p>
      <w:pPr>
        <w:pStyle w:val="Normal"/>
        <w:spacing w:before="40" w:after="160"/>
        <w:jc w:val="center"/>
        <w:rPr/>
      </w:pPr>
      <w:r>
        <w:rPr>
          <w:i/>
          <w:color w:val="646464"/>
          <w:sz w:val="17"/>
        </w:rPr>
        <w:t>Figura 13: Verificación experimental del límite bootstrap: 63.2% de muestras únicas observadas y 36.8% OOB.</w:t>
      </w:r>
    </w:p>
    <w:p>
      <w:pPr>
        <w:pStyle w:val="Normal"/>
        <w:keepNext w:val="true"/>
        <w:spacing w:before="160" w:after="40"/>
        <w:jc w:val="center"/>
        <w:rPr/>
      </w:pPr>
      <w:r>
        <w:rPr/>
        <w:drawing>
          <wp:inline distT="0" distB="0" distL="0" distR="0">
            <wp:extent cx="5669280" cy="279844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5669280" cy="2798445"/>
                    </a:xfrm>
                    <a:prstGeom prst="rect">
                      <a:avLst/>
                    </a:prstGeom>
                    <a:noFill/>
                  </pic:spPr>
                </pic:pic>
              </a:graphicData>
            </a:graphic>
          </wp:inline>
        </w:drawing>
      </w:r>
    </w:p>
    <w:p>
      <w:pPr>
        <w:pStyle w:val="Normal"/>
        <w:spacing w:before="40" w:after="160"/>
        <w:jc w:val="center"/>
        <w:rPr/>
      </w:pPr>
      <w:r>
        <w:rPr>
          <w:i/>
          <w:color w:val="646464"/>
          <w:sz w:val="17"/>
        </w:rPr>
        <w:t>Figura 14: Curva de convergencia de Bagging al aumentar el número de árboles estimadores (n_estimators).</w:t>
      </w:r>
    </w:p>
    <w:p>
      <w:pPr>
        <w:pStyle w:val="Normal"/>
        <w:keepNext w:val="true"/>
        <w:spacing w:before="160" w:after="40"/>
        <w:jc w:val="center"/>
        <w:rPr/>
      </w:pPr>
      <w:r>
        <w:rPr/>
        <w:drawing>
          <wp:inline distT="0" distB="0" distL="0" distR="0">
            <wp:extent cx="5669280" cy="174244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5669280" cy="1742440"/>
                    </a:xfrm>
                    <a:prstGeom prst="rect">
                      <a:avLst/>
                    </a:prstGeom>
                    <a:noFill/>
                  </pic:spPr>
                </pic:pic>
              </a:graphicData>
            </a:graphic>
          </wp:inline>
        </w:drawing>
      </w:r>
    </w:p>
    <w:p>
      <w:pPr>
        <w:pStyle w:val="Normal"/>
        <w:spacing w:before="40" w:after="160"/>
        <w:jc w:val="center"/>
        <w:rPr/>
      </w:pPr>
      <w:r>
        <w:rPr>
          <w:i/>
          <w:color w:val="646464"/>
          <w:sz w:val="17"/>
        </w:rPr>
        <w:t>Figura 15: Demostración empírica de reducción de varianza de Bagging frente al árbol individual en 30 particiones aleatorias.</w:t>
      </w:r>
    </w:p>
    <w:p>
      <w:pPr>
        <w:pStyle w:val="Heading2"/>
        <w:rPr/>
      </w:pPr>
      <w:bookmarkStart w:id="11" w:name="__RefHeading___Toc1059_3384329428"/>
      <w:bookmarkEnd w:id="11"/>
      <w:r>
        <w:rPr/>
        <w:t>Respuesta Justificada: ¿Cuál es el mejor en el Ítem 4?</w:t>
      </w:r>
    </w:p>
    <w:p>
      <w:pPr>
        <w:pStyle w:val="Normal"/>
        <w:rPr/>
      </w:pPr>
      <w:r>
        <w:rPr/>
        <w:t>El modelo BaggingClassifier con 300 árboles base no podados es contundentemente el mejor estimador. Supera al árbol individual en todas las métricas de evaluación:</w:t>
      </w:r>
    </w:p>
    <w:p>
      <w:pPr>
        <w:pStyle w:val="Normal"/>
        <w:rPr/>
      </w:pPr>
      <w:r>
        <w:rPr/>
        <w:t xml:space="preserve">• </w:t>
      </w:r>
      <w:r>
        <w:rPr/>
        <w:t>Incrementa la exactitud en validación cruzada de 92.53% a 96.27% y en prueba de 91.23% a 94.74%.</w:t>
        <w:br/>
        <w:t>• Eleva el área bajo la curva ROC de 0.9157 a 0.9931 (un incremento de +0.0774 en capacidad discriminante).</w:t>
        <w:br/>
        <w:t>• La estimación OOB calculada internamente durante el ajuste fue de 96.48%, concordando de forma sobresaliente con el 96.27% de 10-Fold CV, confirmando la validez del error fuera de la bolsa como sustituto gratuito de validación externa.</w:t>
        <w:br/>
        <w:t>• En la prueba rigurosa de 30 particiones aleatorias distintas, Bagging superó al árbol individual en 26 de las 30 particiones con significancia estadística contundente (p = 1.05e-5 en la prueba de Wilcoxon), reduciendo la desviación estándar de exactitud en más de 35%.</w:t>
      </w:r>
    </w:p>
    <w:p>
      <w:pPr>
        <w:pStyle w:val="Normal"/>
        <w:rPr/>
      </w:pPr>
      <w:r>
        <w:rPr/>
        <w:t>Fundamento Teórico: Un árbol CART individual profundo sufre de alta varianza porque una pequeña variación en los datos puede alterar el primer corte de la raíz, propagando una topología completamente disímil en el resto del árbol. Bagging soluciona esta debilidad promediando B árboles generados sobre muestras bootstrap. La operación de promediado cancela los errores no correlacionados de los árboles individuales, abatiendo la varianza total a una fracción proporcional a 1/B más la correlación mutua entre árboles, sin incrementar el sesgo.</w:t>
      </w:r>
    </w:p>
    <w:p>
      <w:pPr>
        <w:pStyle w:val="Heading1"/>
        <w:rPr/>
      </w:pPr>
      <w:bookmarkStart w:id="12" w:name="__RefHeading___Toc1061_3384329428"/>
      <w:bookmarkEnd w:id="12"/>
      <w:r>
        <w:rPr/>
        <w:t>7. Ítem 5: Random Forest vs. XGBoost</w:t>
      </w:r>
    </w:p>
    <w:tbl>
      <w:tblPr>
        <w:tblW w:w="9504" w:type="dxa"/>
        <w:jc w:val="center"/>
        <w:tblInd w:w="0" w:type="dxa"/>
        <w:tblLayout w:type="fixed"/>
        <w:tblCellMar>
          <w:top w:w="140" w:type="dxa"/>
          <w:start w:w="200" w:type="dxa"/>
          <w:bottom w:w="140" w:type="dxa"/>
          <w:end w:w="200" w:type="dxa"/>
        </w:tblCellMar>
        <w:tblLook w:noHBand="0" w:noVBand="1" w:firstColumn="1" w:lastRow="0" w:lastColumn="0" w:firstRow="1" w:val="04a0"/>
      </w:tblPr>
      <w:tblGrid>
        <w:gridCol w:w="9504"/>
      </w:tblGrid>
      <w:tr>
        <w:trPr/>
        <w:tc>
          <w:tcPr>
            <w:tcW w:w="9504" w:type="dxa"/>
            <w:tcBorders>
              <w:start w:val="single" w:sz="24" w:space="0" w:color="1B365D"/>
            </w:tcBorders>
            <w:shd w:fill="F5F8FC" w:val="clear"/>
          </w:tcPr>
          <w:p>
            <w:pPr>
              <w:pStyle w:val="Normal"/>
              <w:spacing w:before="40" w:after="40"/>
              <w:rPr/>
            </w:pPr>
            <w:r>
              <w:rPr>
                <w:b/>
                <w:color w:val="1B365D"/>
                <w:sz w:val="19"/>
              </w:rPr>
              <w:t>Enunciado del Ítem 5</w:t>
              <w:br/>
            </w:r>
            <w:r>
              <w:rPr>
                <w:color w:val="222222"/>
                <w:sz w:val="18"/>
              </w:rPr>
              <w:t>Entrene un modelo RandomForest y compare su eficiencia con respecto a un modelo XGBoost. ¿Cuál es mejor?</w:t>
            </w:r>
          </w:p>
        </w:tc>
      </w:tr>
    </w:tbl>
    <w:p>
      <w:pPr>
        <w:pStyle w:val="Normal"/>
        <w:spacing w:before="0" w:after="80"/>
        <w:rPr/>
      </w:pPr>
      <w:r>
        <w:rPr/>
      </w:r>
    </w:p>
    <w:p>
      <w:pPr>
        <w:pStyle w:val="Normal"/>
        <w:rPr/>
      </w:pPr>
      <w:r>
        <w:rPr/>
        <w:t>Se contrastaron Random Forest (ensamble de Bagging con submuestreo aleatorio de características) frente a XGBoost (Extreme Gradient Boosting secuencial regularizado) en configuraciones base y optimizadas mediante RandomizedSearchCV (40 iteraciones). Se evaluaron tanto en el conjunto principal Pima Indians Diabetes como en el conjunto de verificación breast_cancer, midiendo tanto la eficacia predictiva como la eficiencia computacional (tiempo de ajuste y latencia de inferencia por muestra).</w:t>
      </w:r>
    </w:p>
    <w:tbl>
      <w:tblPr>
        <w:tblW w:w="9506" w:type="dxa"/>
        <w:jc w:val="center"/>
        <w:tblInd w:w="0" w:type="dxa"/>
        <w:tblLayout w:type="fixed"/>
        <w:tblCellMar>
          <w:top w:w="100" w:type="dxa"/>
          <w:start w:w="130" w:type="dxa"/>
          <w:bottom w:w="100" w:type="dxa"/>
          <w:end w:w="130" w:type="dxa"/>
        </w:tblCellMar>
        <w:tblLook w:noHBand="0" w:noVBand="1" w:firstColumn="1" w:lastRow="0" w:lastColumn="0" w:firstRow="1" w:val="04a0"/>
      </w:tblPr>
      <w:tblGrid>
        <w:gridCol w:w="1358"/>
        <w:gridCol w:w="1357"/>
        <w:gridCol w:w="1359"/>
        <w:gridCol w:w="1357"/>
        <w:gridCol w:w="1359"/>
        <w:gridCol w:w="1357"/>
        <w:gridCol w:w="1359"/>
      </w:tblGrid>
      <w:tr>
        <w:trPr>
          <w:tblHeader w:val="true"/>
          <w:cantSplit/>
        </w:trPr>
        <w:tc>
          <w:tcPr>
            <w:tcW w:w="1358" w:type="dxa"/>
            <w:tcBorders/>
            <w:shd w:fill="1B365D" w:val="clear"/>
            <w:vAlign w:val="center"/>
          </w:tcPr>
          <w:p>
            <w:pPr>
              <w:pStyle w:val="Normal"/>
              <w:spacing w:before="0" w:after="80"/>
              <w:jc w:val="center"/>
              <w:rPr/>
            </w:pPr>
            <w:r>
              <w:rPr>
                <w:b/>
                <w:color w:val="FFFFFF"/>
                <w:sz w:val="17"/>
              </w:rPr>
              <w:t>Modelo</w:t>
            </w:r>
          </w:p>
        </w:tc>
        <w:tc>
          <w:tcPr>
            <w:tcW w:w="1357" w:type="dxa"/>
            <w:tcBorders/>
            <w:shd w:fill="1B365D" w:val="clear"/>
            <w:vAlign w:val="center"/>
          </w:tcPr>
          <w:p>
            <w:pPr>
              <w:pStyle w:val="Normal"/>
              <w:spacing w:before="0" w:after="80"/>
              <w:jc w:val="center"/>
              <w:rPr/>
            </w:pPr>
            <w:r>
              <w:rPr>
                <w:b/>
                <w:color w:val="FFFFFF"/>
                <w:sz w:val="17"/>
              </w:rPr>
              <w:t>Acc. CV</w:t>
            </w:r>
          </w:p>
        </w:tc>
        <w:tc>
          <w:tcPr>
            <w:tcW w:w="1359" w:type="dxa"/>
            <w:tcBorders/>
            <w:shd w:fill="1B365D" w:val="clear"/>
            <w:vAlign w:val="center"/>
          </w:tcPr>
          <w:p>
            <w:pPr>
              <w:pStyle w:val="Normal"/>
              <w:spacing w:before="0" w:after="80"/>
              <w:jc w:val="center"/>
              <w:rPr/>
            </w:pPr>
            <w:r>
              <w:rPr>
                <w:b/>
                <w:color w:val="FFFFFF"/>
                <w:sz w:val="17"/>
              </w:rPr>
              <w:t>Acc. Test</w:t>
            </w:r>
          </w:p>
        </w:tc>
        <w:tc>
          <w:tcPr>
            <w:tcW w:w="1357" w:type="dxa"/>
            <w:tcBorders/>
            <w:shd w:fill="1B365D" w:val="clear"/>
            <w:vAlign w:val="center"/>
          </w:tcPr>
          <w:p>
            <w:pPr>
              <w:pStyle w:val="Normal"/>
              <w:spacing w:before="0" w:after="80"/>
              <w:jc w:val="center"/>
              <w:rPr/>
            </w:pPr>
            <w:r>
              <w:rPr>
                <w:b/>
                <w:color w:val="FFFFFF"/>
                <w:sz w:val="17"/>
              </w:rPr>
              <w:t>ROC-AUC Test</w:t>
            </w:r>
          </w:p>
        </w:tc>
        <w:tc>
          <w:tcPr>
            <w:tcW w:w="1359" w:type="dxa"/>
            <w:tcBorders/>
            <w:shd w:fill="1B365D" w:val="clear"/>
            <w:vAlign w:val="center"/>
          </w:tcPr>
          <w:p>
            <w:pPr>
              <w:pStyle w:val="Normal"/>
              <w:spacing w:before="0" w:after="80"/>
              <w:jc w:val="center"/>
              <w:rPr/>
            </w:pPr>
            <w:r>
              <w:rPr>
                <w:b/>
                <w:color w:val="FFFFFF"/>
                <w:sz w:val="17"/>
              </w:rPr>
              <w:t>Log-Loss Test</w:t>
            </w:r>
          </w:p>
        </w:tc>
        <w:tc>
          <w:tcPr>
            <w:tcW w:w="1357" w:type="dxa"/>
            <w:tcBorders/>
            <w:shd w:fill="1B365D" w:val="clear"/>
            <w:vAlign w:val="center"/>
          </w:tcPr>
          <w:p>
            <w:pPr>
              <w:pStyle w:val="Normal"/>
              <w:spacing w:before="0" w:after="80"/>
              <w:jc w:val="center"/>
              <w:rPr/>
            </w:pPr>
            <w:r>
              <w:rPr>
                <w:b/>
                <w:color w:val="FFFFFF"/>
                <w:sz w:val="17"/>
              </w:rPr>
              <w:t>Tiempo Fit (s)</w:t>
            </w:r>
          </w:p>
        </w:tc>
        <w:tc>
          <w:tcPr>
            <w:tcW w:w="1359" w:type="dxa"/>
            <w:tcBorders/>
            <w:shd w:fill="1B365D" w:val="clear"/>
            <w:vAlign w:val="center"/>
          </w:tcPr>
          <w:p>
            <w:pPr>
              <w:pStyle w:val="Normal"/>
              <w:spacing w:before="0" w:after="80"/>
              <w:jc w:val="center"/>
              <w:rPr/>
            </w:pPr>
            <w:r>
              <w:rPr>
                <w:b/>
                <w:color w:val="FFFFFF"/>
                <w:sz w:val="17"/>
              </w:rPr>
              <w:t>Inf. (ms/muestra)</w:t>
            </w:r>
          </w:p>
        </w:tc>
      </w:tr>
      <w:tr>
        <w:trPr>
          <w:cantSplit/>
        </w:trPr>
        <w:tc>
          <w:tcPr>
            <w:tcW w:w="1358" w:type="dxa"/>
            <w:tcBorders/>
            <w:shd w:fill="F7F9FB" w:val="clear"/>
            <w:vAlign w:val="center"/>
          </w:tcPr>
          <w:p>
            <w:pPr>
              <w:pStyle w:val="Normal"/>
              <w:widowControl/>
              <w:bidi w:val="0"/>
              <w:spacing w:lineRule="auto" w:line="276" w:before="0" w:after="80"/>
              <w:jc w:val="start"/>
              <w:rPr/>
            </w:pPr>
            <w:r>
              <w:rPr>
                <w:color w:val="222222"/>
                <w:sz w:val="17"/>
              </w:rPr>
              <w:t>Baseline (clase mayoritaria)</w:t>
            </w:r>
          </w:p>
        </w:tc>
        <w:tc>
          <w:tcPr>
            <w:tcW w:w="1357" w:type="dxa"/>
            <w:tcBorders/>
            <w:shd w:fill="F7F9FB" w:val="clear"/>
            <w:vAlign w:val="center"/>
          </w:tcPr>
          <w:p>
            <w:pPr>
              <w:pStyle w:val="Normal"/>
              <w:widowControl/>
              <w:bidi w:val="0"/>
              <w:spacing w:lineRule="auto" w:line="276" w:before="0" w:after="80"/>
              <w:jc w:val="start"/>
              <w:rPr/>
            </w:pPr>
            <w:r>
              <w:rPr>
                <w:color w:val="222222"/>
                <w:sz w:val="17"/>
              </w:rPr>
              <w:t>0.6515</w:t>
            </w:r>
          </w:p>
        </w:tc>
        <w:tc>
          <w:tcPr>
            <w:tcW w:w="1359" w:type="dxa"/>
            <w:tcBorders/>
            <w:shd w:fill="F7F9FB" w:val="clear"/>
            <w:vAlign w:val="center"/>
          </w:tcPr>
          <w:p>
            <w:pPr>
              <w:pStyle w:val="Normal"/>
              <w:widowControl/>
              <w:bidi w:val="0"/>
              <w:spacing w:lineRule="auto" w:line="276" w:before="0" w:after="80"/>
              <w:jc w:val="start"/>
              <w:rPr/>
            </w:pPr>
            <w:r>
              <w:rPr>
                <w:color w:val="222222"/>
                <w:sz w:val="17"/>
              </w:rPr>
              <w:t>0.6494</w:t>
            </w:r>
          </w:p>
        </w:tc>
        <w:tc>
          <w:tcPr>
            <w:tcW w:w="1357" w:type="dxa"/>
            <w:tcBorders/>
            <w:shd w:fill="F7F9FB" w:val="clear"/>
            <w:vAlign w:val="center"/>
          </w:tcPr>
          <w:p>
            <w:pPr>
              <w:pStyle w:val="Normal"/>
              <w:widowControl/>
              <w:bidi w:val="0"/>
              <w:spacing w:lineRule="auto" w:line="276" w:before="0" w:after="80"/>
              <w:jc w:val="start"/>
              <w:rPr/>
            </w:pPr>
            <w:r>
              <w:rPr>
                <w:color w:val="222222"/>
                <w:sz w:val="17"/>
              </w:rPr>
              <w:t>0.5000</w:t>
            </w:r>
          </w:p>
        </w:tc>
        <w:tc>
          <w:tcPr>
            <w:tcW w:w="1359" w:type="dxa"/>
            <w:tcBorders/>
            <w:shd w:fill="F7F9FB" w:val="clear"/>
            <w:vAlign w:val="center"/>
          </w:tcPr>
          <w:p>
            <w:pPr>
              <w:pStyle w:val="Normal"/>
              <w:widowControl/>
              <w:bidi w:val="0"/>
              <w:spacing w:lineRule="auto" w:line="276" w:before="0" w:after="80"/>
              <w:jc w:val="start"/>
              <w:rPr/>
            </w:pPr>
            <w:r>
              <w:rPr>
                <w:color w:val="222222"/>
                <w:sz w:val="17"/>
              </w:rPr>
              <w:t>12.6387</w:t>
            </w:r>
          </w:p>
        </w:tc>
        <w:tc>
          <w:tcPr>
            <w:tcW w:w="1357" w:type="dxa"/>
            <w:tcBorders/>
            <w:shd w:fill="F7F9FB" w:val="clear"/>
            <w:vAlign w:val="center"/>
          </w:tcPr>
          <w:p>
            <w:pPr>
              <w:pStyle w:val="Normal"/>
              <w:widowControl/>
              <w:bidi w:val="0"/>
              <w:spacing w:lineRule="auto" w:line="276" w:before="0" w:after="80"/>
              <w:jc w:val="start"/>
              <w:rPr/>
            </w:pPr>
            <w:r>
              <w:rPr>
                <w:color w:val="222222"/>
                <w:sz w:val="17"/>
              </w:rPr>
              <w:t>0.001</w:t>
            </w:r>
          </w:p>
        </w:tc>
        <w:tc>
          <w:tcPr>
            <w:tcW w:w="1359" w:type="dxa"/>
            <w:tcBorders/>
            <w:shd w:fill="F7F9FB" w:val="clear"/>
            <w:vAlign w:val="center"/>
          </w:tcPr>
          <w:p>
            <w:pPr>
              <w:pStyle w:val="Normal"/>
              <w:widowControl/>
              <w:bidi w:val="0"/>
              <w:spacing w:lineRule="auto" w:line="276" w:before="0" w:after="80"/>
              <w:jc w:val="start"/>
              <w:rPr/>
            </w:pPr>
            <w:r>
              <w:rPr>
                <w:color w:val="222222"/>
                <w:sz w:val="17"/>
              </w:rPr>
              <w:t>0.0002</w:t>
            </w:r>
          </w:p>
        </w:tc>
      </w:tr>
      <w:tr>
        <w:trPr>
          <w:cantSplit/>
        </w:trPr>
        <w:tc>
          <w:tcPr>
            <w:tcW w:w="1358" w:type="dxa"/>
            <w:tcBorders/>
            <w:shd w:fill="FFFFFF" w:val="clear"/>
            <w:vAlign w:val="center"/>
          </w:tcPr>
          <w:p>
            <w:pPr>
              <w:pStyle w:val="Normal"/>
              <w:widowControl/>
              <w:bidi w:val="0"/>
              <w:spacing w:lineRule="auto" w:line="276" w:before="0" w:after="80"/>
              <w:jc w:val="start"/>
              <w:rPr/>
            </w:pPr>
            <w:r>
              <w:rPr>
                <w:color w:val="222222"/>
                <w:sz w:val="17"/>
              </w:rPr>
              <w:t>Random Forest (base)</w:t>
            </w:r>
          </w:p>
        </w:tc>
        <w:tc>
          <w:tcPr>
            <w:tcW w:w="1357" w:type="dxa"/>
            <w:tcBorders/>
            <w:shd w:fill="FFFFFF" w:val="clear"/>
            <w:vAlign w:val="center"/>
          </w:tcPr>
          <w:p>
            <w:pPr>
              <w:pStyle w:val="Normal"/>
              <w:widowControl/>
              <w:bidi w:val="0"/>
              <w:spacing w:lineRule="auto" w:line="276" w:before="0" w:after="80"/>
              <w:jc w:val="start"/>
              <w:rPr/>
            </w:pPr>
            <w:r>
              <w:rPr>
                <w:color w:val="222222"/>
                <w:sz w:val="17"/>
              </w:rPr>
              <w:t>0.7557</w:t>
            </w:r>
          </w:p>
        </w:tc>
        <w:tc>
          <w:tcPr>
            <w:tcW w:w="1359" w:type="dxa"/>
            <w:tcBorders/>
            <w:shd w:fill="FFFFFF" w:val="clear"/>
            <w:vAlign w:val="center"/>
          </w:tcPr>
          <w:p>
            <w:pPr>
              <w:pStyle w:val="Normal"/>
              <w:widowControl/>
              <w:bidi w:val="0"/>
              <w:spacing w:lineRule="auto" w:line="276" w:before="0" w:after="80"/>
              <w:jc w:val="start"/>
              <w:rPr/>
            </w:pPr>
            <w:r>
              <w:rPr>
                <w:color w:val="222222"/>
                <w:sz w:val="17"/>
              </w:rPr>
              <w:t>0.7338</w:t>
            </w:r>
          </w:p>
        </w:tc>
        <w:tc>
          <w:tcPr>
            <w:tcW w:w="1357" w:type="dxa"/>
            <w:tcBorders/>
            <w:shd w:fill="FFFFFF" w:val="clear"/>
            <w:vAlign w:val="center"/>
          </w:tcPr>
          <w:p>
            <w:pPr>
              <w:pStyle w:val="Normal"/>
              <w:widowControl/>
              <w:bidi w:val="0"/>
              <w:spacing w:lineRule="auto" w:line="276" w:before="0" w:after="80"/>
              <w:jc w:val="start"/>
              <w:rPr/>
            </w:pPr>
            <w:r>
              <w:rPr>
                <w:color w:val="222222"/>
                <w:sz w:val="17"/>
              </w:rPr>
              <w:t>0.8079</w:t>
            </w:r>
          </w:p>
        </w:tc>
        <w:tc>
          <w:tcPr>
            <w:tcW w:w="1359" w:type="dxa"/>
            <w:tcBorders/>
            <w:shd w:fill="FFFFFF" w:val="clear"/>
            <w:vAlign w:val="center"/>
          </w:tcPr>
          <w:p>
            <w:pPr>
              <w:pStyle w:val="Normal"/>
              <w:widowControl/>
              <w:bidi w:val="0"/>
              <w:spacing w:lineRule="auto" w:line="276" w:before="0" w:after="80"/>
              <w:jc w:val="start"/>
              <w:rPr/>
            </w:pPr>
            <w:r>
              <w:rPr>
                <w:color w:val="222222"/>
                <w:sz w:val="17"/>
              </w:rPr>
              <w:t>0.4996</w:t>
            </w:r>
          </w:p>
        </w:tc>
        <w:tc>
          <w:tcPr>
            <w:tcW w:w="1357" w:type="dxa"/>
            <w:tcBorders/>
            <w:shd w:fill="FFFFFF" w:val="clear"/>
            <w:vAlign w:val="center"/>
          </w:tcPr>
          <w:p>
            <w:pPr>
              <w:pStyle w:val="Normal"/>
              <w:widowControl/>
              <w:bidi w:val="0"/>
              <w:spacing w:lineRule="auto" w:line="276" w:before="0" w:after="80"/>
              <w:jc w:val="start"/>
              <w:rPr/>
            </w:pPr>
            <w:r>
              <w:rPr>
                <w:color w:val="222222"/>
                <w:sz w:val="17"/>
              </w:rPr>
              <w:t>0.931</w:t>
            </w:r>
          </w:p>
        </w:tc>
        <w:tc>
          <w:tcPr>
            <w:tcW w:w="1359" w:type="dxa"/>
            <w:tcBorders/>
            <w:shd w:fill="FFFFFF" w:val="clear"/>
            <w:vAlign w:val="center"/>
          </w:tcPr>
          <w:p>
            <w:pPr>
              <w:pStyle w:val="Normal"/>
              <w:widowControl/>
              <w:bidi w:val="0"/>
              <w:spacing w:lineRule="auto" w:line="276" w:before="0" w:after="80"/>
              <w:jc w:val="start"/>
              <w:rPr/>
            </w:pPr>
            <w:r>
              <w:rPr>
                <w:color w:val="222222"/>
                <w:sz w:val="17"/>
              </w:rPr>
              <w:t>0.5023</w:t>
            </w:r>
          </w:p>
        </w:tc>
      </w:tr>
      <w:tr>
        <w:trPr>
          <w:cantSplit/>
        </w:trPr>
        <w:tc>
          <w:tcPr>
            <w:tcW w:w="1358" w:type="dxa"/>
            <w:tcBorders/>
            <w:shd w:fill="F7F9FB" w:val="clear"/>
            <w:vAlign w:val="center"/>
          </w:tcPr>
          <w:p>
            <w:pPr>
              <w:pStyle w:val="Normal"/>
              <w:widowControl/>
              <w:bidi w:val="0"/>
              <w:spacing w:lineRule="auto" w:line="276" w:before="0" w:after="80"/>
              <w:jc w:val="start"/>
              <w:rPr/>
            </w:pPr>
            <w:r>
              <w:rPr>
                <w:color w:val="222222"/>
                <w:sz w:val="17"/>
              </w:rPr>
              <w:t>Random Forest (optimizado)</w:t>
            </w:r>
          </w:p>
        </w:tc>
        <w:tc>
          <w:tcPr>
            <w:tcW w:w="1357" w:type="dxa"/>
            <w:tcBorders/>
            <w:shd w:fill="F7F9FB" w:val="clear"/>
            <w:vAlign w:val="center"/>
          </w:tcPr>
          <w:p>
            <w:pPr>
              <w:pStyle w:val="Normal"/>
              <w:widowControl/>
              <w:bidi w:val="0"/>
              <w:spacing w:lineRule="auto" w:line="276" w:before="0" w:after="80"/>
              <w:jc w:val="start"/>
              <w:rPr/>
            </w:pPr>
            <w:r>
              <w:rPr>
                <w:color w:val="222222"/>
                <w:sz w:val="17"/>
              </w:rPr>
              <w:t>0.7672</w:t>
            </w:r>
          </w:p>
        </w:tc>
        <w:tc>
          <w:tcPr>
            <w:tcW w:w="1359" w:type="dxa"/>
            <w:tcBorders/>
            <w:shd w:fill="F7F9FB" w:val="clear"/>
            <w:vAlign w:val="center"/>
          </w:tcPr>
          <w:p>
            <w:pPr>
              <w:pStyle w:val="Normal"/>
              <w:widowControl/>
              <w:bidi w:val="0"/>
              <w:spacing w:lineRule="auto" w:line="276" w:before="0" w:after="80"/>
              <w:jc w:val="start"/>
              <w:rPr/>
            </w:pPr>
            <w:r>
              <w:rPr>
                <w:color w:val="222222"/>
                <w:sz w:val="17"/>
              </w:rPr>
              <w:t>0.7273</w:t>
            </w:r>
          </w:p>
        </w:tc>
        <w:tc>
          <w:tcPr>
            <w:tcW w:w="1357" w:type="dxa"/>
            <w:tcBorders/>
            <w:shd w:fill="F7F9FB" w:val="clear"/>
            <w:vAlign w:val="center"/>
          </w:tcPr>
          <w:p>
            <w:pPr>
              <w:pStyle w:val="Normal"/>
              <w:widowControl/>
              <w:bidi w:val="0"/>
              <w:spacing w:lineRule="auto" w:line="276" w:before="0" w:after="80"/>
              <w:jc w:val="start"/>
              <w:rPr/>
            </w:pPr>
            <w:r>
              <w:rPr>
                <w:color w:val="222222"/>
                <w:sz w:val="17"/>
              </w:rPr>
              <w:t>0.8035</w:t>
            </w:r>
          </w:p>
        </w:tc>
        <w:tc>
          <w:tcPr>
            <w:tcW w:w="1359" w:type="dxa"/>
            <w:tcBorders/>
            <w:shd w:fill="F7F9FB" w:val="clear"/>
            <w:vAlign w:val="center"/>
          </w:tcPr>
          <w:p>
            <w:pPr>
              <w:pStyle w:val="Normal"/>
              <w:widowControl/>
              <w:bidi w:val="0"/>
              <w:spacing w:lineRule="auto" w:line="276" w:before="0" w:after="80"/>
              <w:jc w:val="start"/>
              <w:rPr/>
            </w:pPr>
            <w:r>
              <w:rPr>
                <w:color w:val="222222"/>
                <w:sz w:val="17"/>
              </w:rPr>
              <w:t>0.5126</w:t>
            </w:r>
          </w:p>
        </w:tc>
        <w:tc>
          <w:tcPr>
            <w:tcW w:w="1357" w:type="dxa"/>
            <w:tcBorders/>
            <w:shd w:fill="F7F9FB" w:val="clear"/>
            <w:vAlign w:val="center"/>
          </w:tcPr>
          <w:p>
            <w:pPr>
              <w:pStyle w:val="Normal"/>
              <w:widowControl/>
              <w:bidi w:val="0"/>
              <w:spacing w:lineRule="auto" w:line="276" w:before="0" w:after="80"/>
              <w:jc w:val="start"/>
              <w:rPr/>
            </w:pPr>
            <w:r>
              <w:rPr>
                <w:color w:val="222222"/>
                <w:sz w:val="17"/>
              </w:rPr>
              <w:t>1.670</w:t>
            </w:r>
          </w:p>
        </w:tc>
        <w:tc>
          <w:tcPr>
            <w:tcW w:w="1359" w:type="dxa"/>
            <w:tcBorders/>
            <w:shd w:fill="F7F9FB" w:val="clear"/>
            <w:vAlign w:val="center"/>
          </w:tcPr>
          <w:p>
            <w:pPr>
              <w:pStyle w:val="Normal"/>
              <w:widowControl/>
              <w:bidi w:val="0"/>
              <w:spacing w:lineRule="auto" w:line="276" w:before="0" w:after="80"/>
              <w:jc w:val="start"/>
              <w:rPr/>
            </w:pPr>
            <w:r>
              <w:rPr>
                <w:color w:val="222222"/>
                <w:sz w:val="17"/>
              </w:rPr>
              <w:t>0.8498</w:t>
            </w:r>
          </w:p>
        </w:tc>
      </w:tr>
      <w:tr>
        <w:trPr>
          <w:cantSplit/>
        </w:trPr>
        <w:tc>
          <w:tcPr>
            <w:tcW w:w="1358" w:type="dxa"/>
            <w:tcBorders/>
            <w:shd w:fill="FFFFFF" w:val="clear"/>
            <w:vAlign w:val="center"/>
          </w:tcPr>
          <w:p>
            <w:pPr>
              <w:pStyle w:val="Normal"/>
              <w:widowControl/>
              <w:bidi w:val="0"/>
              <w:spacing w:lineRule="auto" w:line="276" w:before="0" w:after="80"/>
              <w:jc w:val="start"/>
              <w:rPr/>
            </w:pPr>
            <w:r>
              <w:rPr>
                <w:color w:val="222222"/>
                <w:sz w:val="17"/>
              </w:rPr>
              <w:t>XGBoost (base)</w:t>
            </w:r>
          </w:p>
        </w:tc>
        <w:tc>
          <w:tcPr>
            <w:tcW w:w="1357" w:type="dxa"/>
            <w:tcBorders/>
            <w:shd w:fill="FFFFFF" w:val="clear"/>
            <w:vAlign w:val="center"/>
          </w:tcPr>
          <w:p>
            <w:pPr>
              <w:pStyle w:val="Normal"/>
              <w:widowControl/>
              <w:bidi w:val="0"/>
              <w:spacing w:lineRule="auto" w:line="276" w:before="0" w:after="80"/>
              <w:jc w:val="start"/>
              <w:rPr/>
            </w:pPr>
            <w:r>
              <w:rPr>
                <w:color w:val="222222"/>
                <w:sz w:val="17"/>
              </w:rPr>
              <w:t>0.7492</w:t>
            </w:r>
          </w:p>
        </w:tc>
        <w:tc>
          <w:tcPr>
            <w:tcW w:w="1359" w:type="dxa"/>
            <w:tcBorders/>
            <w:shd w:fill="FFFFFF" w:val="clear"/>
            <w:vAlign w:val="center"/>
          </w:tcPr>
          <w:p>
            <w:pPr>
              <w:pStyle w:val="Normal"/>
              <w:widowControl/>
              <w:bidi w:val="0"/>
              <w:spacing w:lineRule="auto" w:line="276" w:before="0" w:after="80"/>
              <w:jc w:val="start"/>
              <w:rPr/>
            </w:pPr>
            <w:r>
              <w:rPr>
                <w:color w:val="222222"/>
                <w:sz w:val="17"/>
              </w:rPr>
              <w:t>0.7468</w:t>
            </w:r>
          </w:p>
        </w:tc>
        <w:tc>
          <w:tcPr>
            <w:tcW w:w="1357" w:type="dxa"/>
            <w:tcBorders/>
            <w:shd w:fill="FFFFFF" w:val="clear"/>
            <w:vAlign w:val="center"/>
          </w:tcPr>
          <w:p>
            <w:pPr>
              <w:pStyle w:val="Normal"/>
              <w:widowControl/>
              <w:bidi w:val="0"/>
              <w:spacing w:lineRule="auto" w:line="276" w:before="0" w:after="80"/>
              <w:jc w:val="start"/>
              <w:rPr/>
            </w:pPr>
            <w:r>
              <w:rPr>
                <w:color w:val="222222"/>
                <w:sz w:val="17"/>
              </w:rPr>
              <w:t>0.8211</w:t>
            </w:r>
          </w:p>
        </w:tc>
        <w:tc>
          <w:tcPr>
            <w:tcW w:w="1359" w:type="dxa"/>
            <w:tcBorders/>
            <w:shd w:fill="FFFFFF" w:val="clear"/>
            <w:vAlign w:val="center"/>
          </w:tcPr>
          <w:p>
            <w:pPr>
              <w:pStyle w:val="Normal"/>
              <w:widowControl/>
              <w:bidi w:val="0"/>
              <w:spacing w:lineRule="auto" w:line="276" w:before="0" w:after="80"/>
              <w:jc w:val="start"/>
              <w:rPr/>
            </w:pPr>
            <w:r>
              <w:rPr>
                <w:color w:val="222222"/>
                <w:sz w:val="17"/>
              </w:rPr>
              <w:t>0.5459</w:t>
            </w:r>
          </w:p>
        </w:tc>
        <w:tc>
          <w:tcPr>
            <w:tcW w:w="1357" w:type="dxa"/>
            <w:tcBorders/>
            <w:shd w:fill="FFFFFF" w:val="clear"/>
            <w:vAlign w:val="center"/>
          </w:tcPr>
          <w:p>
            <w:pPr>
              <w:pStyle w:val="Normal"/>
              <w:widowControl/>
              <w:bidi w:val="0"/>
              <w:spacing w:lineRule="auto" w:line="276" w:before="0" w:after="80"/>
              <w:jc w:val="start"/>
              <w:rPr/>
            </w:pPr>
            <w:r>
              <w:rPr>
                <w:color w:val="222222"/>
                <w:sz w:val="17"/>
              </w:rPr>
              <w:t>0.129</w:t>
            </w:r>
          </w:p>
        </w:tc>
        <w:tc>
          <w:tcPr>
            <w:tcW w:w="1359" w:type="dxa"/>
            <w:tcBorders/>
            <w:shd w:fill="FFFFFF" w:val="clear"/>
            <w:vAlign w:val="center"/>
          </w:tcPr>
          <w:p>
            <w:pPr>
              <w:pStyle w:val="Normal"/>
              <w:widowControl/>
              <w:bidi w:val="0"/>
              <w:spacing w:lineRule="auto" w:line="276" w:before="0" w:after="80"/>
              <w:jc w:val="start"/>
              <w:rPr/>
            </w:pPr>
            <w:r>
              <w:rPr>
                <w:color w:val="222222"/>
                <w:sz w:val="17"/>
              </w:rPr>
              <w:t>0.0183</w:t>
            </w:r>
          </w:p>
        </w:tc>
      </w:tr>
      <w:tr>
        <w:trPr>
          <w:cantSplit/>
        </w:trPr>
        <w:tc>
          <w:tcPr>
            <w:tcW w:w="1358" w:type="dxa"/>
            <w:tcBorders/>
            <w:shd w:fill="F7F9FB" w:val="clear"/>
            <w:vAlign w:val="center"/>
          </w:tcPr>
          <w:p>
            <w:pPr>
              <w:pStyle w:val="Normal"/>
              <w:widowControl/>
              <w:bidi w:val="0"/>
              <w:spacing w:lineRule="auto" w:line="276" w:before="0" w:after="80"/>
              <w:jc w:val="start"/>
              <w:rPr/>
            </w:pPr>
            <w:r>
              <w:rPr>
                <w:color w:val="222222"/>
                <w:sz w:val="17"/>
              </w:rPr>
              <w:t>XGBoost (optimizado)</w:t>
            </w:r>
          </w:p>
        </w:tc>
        <w:tc>
          <w:tcPr>
            <w:tcW w:w="1357" w:type="dxa"/>
            <w:tcBorders/>
            <w:shd w:fill="F7F9FB" w:val="clear"/>
            <w:vAlign w:val="center"/>
          </w:tcPr>
          <w:p>
            <w:pPr>
              <w:pStyle w:val="Normal"/>
              <w:widowControl/>
              <w:bidi w:val="0"/>
              <w:spacing w:lineRule="auto" w:line="276" w:before="0" w:after="80"/>
              <w:jc w:val="start"/>
              <w:rPr/>
            </w:pPr>
            <w:r>
              <w:rPr>
                <w:color w:val="222222"/>
                <w:sz w:val="17"/>
              </w:rPr>
              <w:t>0.7591</w:t>
            </w:r>
          </w:p>
        </w:tc>
        <w:tc>
          <w:tcPr>
            <w:tcW w:w="1359" w:type="dxa"/>
            <w:tcBorders/>
            <w:shd w:fill="F7F9FB" w:val="clear"/>
            <w:vAlign w:val="center"/>
          </w:tcPr>
          <w:p>
            <w:pPr>
              <w:pStyle w:val="Normal"/>
              <w:widowControl/>
              <w:bidi w:val="0"/>
              <w:spacing w:lineRule="auto" w:line="276" w:before="0" w:after="80"/>
              <w:jc w:val="start"/>
              <w:rPr/>
            </w:pPr>
            <w:r>
              <w:rPr>
                <w:color w:val="222222"/>
                <w:sz w:val="17"/>
              </w:rPr>
              <w:t>0.7403</w:t>
            </w:r>
          </w:p>
        </w:tc>
        <w:tc>
          <w:tcPr>
            <w:tcW w:w="1357" w:type="dxa"/>
            <w:tcBorders/>
            <w:shd w:fill="F7F9FB" w:val="clear"/>
            <w:vAlign w:val="center"/>
          </w:tcPr>
          <w:p>
            <w:pPr>
              <w:pStyle w:val="Normal"/>
              <w:widowControl/>
              <w:bidi w:val="0"/>
              <w:spacing w:lineRule="auto" w:line="276" w:before="0" w:after="80"/>
              <w:jc w:val="start"/>
              <w:rPr/>
            </w:pPr>
            <w:r>
              <w:rPr>
                <w:color w:val="222222"/>
                <w:sz w:val="17"/>
              </w:rPr>
              <w:t>0.8209</w:t>
            </w:r>
          </w:p>
        </w:tc>
        <w:tc>
          <w:tcPr>
            <w:tcW w:w="1359" w:type="dxa"/>
            <w:tcBorders/>
            <w:shd w:fill="F7F9FB" w:val="clear"/>
            <w:vAlign w:val="center"/>
          </w:tcPr>
          <w:p>
            <w:pPr>
              <w:pStyle w:val="Normal"/>
              <w:widowControl/>
              <w:bidi w:val="0"/>
              <w:spacing w:lineRule="auto" w:line="276" w:before="0" w:after="80"/>
              <w:jc w:val="start"/>
              <w:rPr/>
            </w:pPr>
            <w:r>
              <w:rPr>
                <w:color w:val="222222"/>
                <w:sz w:val="17"/>
              </w:rPr>
              <w:t>0.4914</w:t>
            </w:r>
          </w:p>
        </w:tc>
        <w:tc>
          <w:tcPr>
            <w:tcW w:w="1357" w:type="dxa"/>
            <w:tcBorders/>
            <w:shd w:fill="F7F9FB" w:val="clear"/>
            <w:vAlign w:val="center"/>
          </w:tcPr>
          <w:p>
            <w:pPr>
              <w:pStyle w:val="Normal"/>
              <w:widowControl/>
              <w:bidi w:val="0"/>
              <w:spacing w:lineRule="auto" w:line="276" w:before="0" w:after="80"/>
              <w:jc w:val="start"/>
              <w:rPr/>
            </w:pPr>
            <w:r>
              <w:rPr>
                <w:color w:val="222222"/>
                <w:sz w:val="17"/>
              </w:rPr>
              <w:t>0.059</w:t>
            </w:r>
          </w:p>
        </w:tc>
        <w:tc>
          <w:tcPr>
            <w:tcW w:w="1359" w:type="dxa"/>
            <w:tcBorders/>
            <w:shd w:fill="F7F9FB" w:val="clear"/>
            <w:vAlign w:val="center"/>
          </w:tcPr>
          <w:p>
            <w:pPr>
              <w:pStyle w:val="Normal"/>
              <w:widowControl/>
              <w:bidi w:val="0"/>
              <w:spacing w:lineRule="auto" w:line="276" w:before="0" w:after="80"/>
              <w:jc w:val="start"/>
              <w:rPr/>
            </w:pPr>
            <w:r>
              <w:rPr>
                <w:color w:val="222222"/>
                <w:sz w:val="17"/>
              </w:rPr>
              <w:t>0.0743</w:t>
            </w:r>
          </w:p>
        </w:tc>
      </w:tr>
    </w:tbl>
    <w:p>
      <w:pPr>
        <w:pStyle w:val="Normal"/>
        <w:keepNext w:val="true"/>
        <w:spacing w:before="160" w:after="40"/>
        <w:jc w:val="center"/>
        <w:rPr/>
      </w:pPr>
      <w:r>
        <w:rPr/>
        <w:drawing>
          <wp:inline distT="0" distB="0" distL="0" distR="0">
            <wp:extent cx="5669280" cy="138938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5669280" cy="1389380"/>
                    </a:xfrm>
                    <a:prstGeom prst="rect">
                      <a:avLst/>
                    </a:prstGeom>
                    <a:noFill/>
                  </pic:spPr>
                </pic:pic>
              </a:graphicData>
            </a:graphic>
          </wp:inline>
        </w:drawing>
      </w:r>
    </w:p>
    <w:p>
      <w:pPr>
        <w:pStyle w:val="Normal"/>
        <w:spacing w:before="40" w:after="160"/>
        <w:jc w:val="center"/>
        <w:rPr/>
      </w:pPr>
      <w:r>
        <w:rPr>
          <w:i/>
          <w:color w:val="646464"/>
          <w:sz w:val="17"/>
        </w:rPr>
        <w:t>Figura 16: Eficacia predictiva (Acc, F1, ROC-AUC) y eficiencia computacional (tiempo de fit e inferencia) de RF vs. XGBoost.</w:t>
      </w:r>
    </w:p>
    <w:p>
      <w:pPr>
        <w:pStyle w:val="Normal"/>
        <w:keepNext w:val="true"/>
        <w:spacing w:before="160" w:after="40"/>
        <w:jc w:val="center"/>
        <w:rPr/>
      </w:pPr>
      <w:r>
        <w:rPr/>
        <w:drawing>
          <wp:inline distT="0" distB="0" distL="0" distR="0">
            <wp:extent cx="5669280" cy="9956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5669280" cy="995680"/>
                    </a:xfrm>
                    <a:prstGeom prst="rect">
                      <a:avLst/>
                    </a:prstGeom>
                    <a:noFill/>
                  </pic:spPr>
                </pic:pic>
              </a:graphicData>
            </a:graphic>
          </wp:inline>
        </w:drawing>
      </w:r>
    </w:p>
    <w:p>
      <w:pPr>
        <w:pStyle w:val="Normal"/>
        <w:spacing w:before="40" w:after="160"/>
        <w:jc w:val="center"/>
        <w:rPr/>
      </w:pPr>
      <w:r>
        <w:rPr>
          <w:i/>
          <w:color w:val="646464"/>
          <w:sz w:val="17"/>
        </w:rPr>
        <w:t>Figura 17: Matrices de confusión y curvas ROC de Random Forest y XGBoost en el conjunto de prueba.</w:t>
      </w:r>
    </w:p>
    <w:p>
      <w:pPr>
        <w:pStyle w:val="Normal"/>
        <w:keepNext w:val="true"/>
        <w:spacing w:before="160" w:after="40"/>
        <w:jc w:val="center"/>
        <w:rPr/>
      </w:pPr>
      <w:r>
        <w:rPr/>
        <w:drawing>
          <wp:inline distT="0" distB="0" distL="0" distR="0">
            <wp:extent cx="5669280" cy="17405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5669280" cy="1740535"/>
                    </a:xfrm>
                    <a:prstGeom prst="rect">
                      <a:avLst/>
                    </a:prstGeom>
                    <a:noFill/>
                  </pic:spPr>
                </pic:pic>
              </a:graphicData>
            </a:graphic>
          </wp:inline>
        </w:drawing>
      </w:r>
    </w:p>
    <w:p>
      <w:pPr>
        <w:pStyle w:val="Normal"/>
        <w:spacing w:before="40" w:after="160"/>
        <w:jc w:val="center"/>
        <w:rPr/>
      </w:pPr>
      <w:r>
        <w:rPr>
          <w:i/>
          <w:color w:val="646464"/>
          <w:sz w:val="17"/>
        </w:rPr>
        <w:t>Figura 18: Curvas de aprendizaje: convergencia OOB en Random Forest y evolución de Log-Loss en validación para XGBoost.</w:t>
      </w:r>
    </w:p>
    <w:p>
      <w:pPr>
        <w:pStyle w:val="Normal"/>
        <w:keepNext w:val="true"/>
        <w:spacing w:before="160" w:after="40"/>
        <w:jc w:val="center"/>
        <w:rPr/>
      </w:pPr>
      <w:r>
        <w:rPr/>
        <w:drawing>
          <wp:inline distT="0" distB="0" distL="0" distR="0">
            <wp:extent cx="5669280" cy="132270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5669280" cy="1322705"/>
                    </a:xfrm>
                    <a:prstGeom prst="rect">
                      <a:avLst/>
                    </a:prstGeom>
                    <a:noFill/>
                  </pic:spPr>
                </pic:pic>
              </a:graphicData>
            </a:graphic>
          </wp:inline>
        </w:drawing>
      </w:r>
    </w:p>
    <w:p>
      <w:pPr>
        <w:pStyle w:val="Normal"/>
        <w:spacing w:before="40" w:after="160"/>
        <w:jc w:val="center"/>
        <w:rPr/>
      </w:pPr>
      <w:r>
        <w:rPr>
          <w:i/>
          <w:color w:val="646464"/>
          <w:sz w:val="17"/>
        </w:rPr>
        <w:t>Figura 19: Comparación de importancia de variables: MDI (Gini) en RF vs. Gain en XGBoost vs. Permutación.</w:t>
      </w:r>
    </w:p>
    <w:p>
      <w:pPr>
        <w:pStyle w:val="Normal"/>
        <w:rPr/>
      </w:pPr>
      <w:r>
        <w:rPr/>
        <w:t>Verificación en segundo dataset de referencia (breast_cancer):</w:t>
      </w:r>
    </w:p>
    <w:tbl>
      <w:tblPr>
        <w:tblW w:w="9504" w:type="dxa"/>
        <w:jc w:val="center"/>
        <w:tblInd w:w="0" w:type="dxa"/>
        <w:tblLayout w:type="fixed"/>
        <w:tblCellMar>
          <w:top w:w="100" w:type="dxa"/>
          <w:start w:w="130" w:type="dxa"/>
          <w:bottom w:w="100" w:type="dxa"/>
          <w:end w:w="130" w:type="dxa"/>
        </w:tblCellMar>
        <w:tblLook w:noHBand="0" w:noVBand="1" w:firstColumn="1" w:lastRow="0" w:lastColumn="0" w:firstRow="1" w:val="04a0"/>
      </w:tblPr>
      <w:tblGrid>
        <w:gridCol w:w="1584"/>
        <w:gridCol w:w="1583"/>
        <w:gridCol w:w="1585"/>
        <w:gridCol w:w="1584"/>
        <w:gridCol w:w="1583"/>
        <w:gridCol w:w="1585"/>
      </w:tblGrid>
      <w:tr>
        <w:trPr>
          <w:tblHeader w:val="true"/>
          <w:cantSplit/>
        </w:trPr>
        <w:tc>
          <w:tcPr>
            <w:tcW w:w="1584" w:type="dxa"/>
            <w:tcBorders/>
            <w:shd w:fill="1B365D" w:val="clear"/>
            <w:vAlign w:val="center"/>
          </w:tcPr>
          <w:p>
            <w:pPr>
              <w:pStyle w:val="Normal"/>
              <w:spacing w:before="0" w:after="80"/>
              <w:jc w:val="center"/>
              <w:rPr/>
            </w:pPr>
            <w:r>
              <w:rPr>
                <w:b/>
                <w:color w:val="FFFFFF"/>
                <w:sz w:val="17"/>
              </w:rPr>
              <w:t>Modelo</w:t>
            </w:r>
          </w:p>
        </w:tc>
        <w:tc>
          <w:tcPr>
            <w:tcW w:w="1583" w:type="dxa"/>
            <w:tcBorders/>
            <w:shd w:fill="1B365D" w:val="clear"/>
            <w:vAlign w:val="center"/>
          </w:tcPr>
          <w:p>
            <w:pPr>
              <w:pStyle w:val="Normal"/>
              <w:spacing w:before="0" w:after="80"/>
              <w:jc w:val="center"/>
              <w:rPr/>
            </w:pPr>
            <w:r>
              <w:rPr>
                <w:b/>
                <w:color w:val="FFFFFF"/>
                <w:sz w:val="17"/>
              </w:rPr>
              <w:t>Acc. CV</w:t>
            </w:r>
          </w:p>
        </w:tc>
        <w:tc>
          <w:tcPr>
            <w:tcW w:w="1585" w:type="dxa"/>
            <w:tcBorders/>
            <w:shd w:fill="1B365D" w:val="clear"/>
            <w:vAlign w:val="center"/>
          </w:tcPr>
          <w:p>
            <w:pPr>
              <w:pStyle w:val="Normal"/>
              <w:spacing w:before="0" w:after="80"/>
              <w:jc w:val="center"/>
              <w:rPr/>
            </w:pPr>
            <w:r>
              <w:rPr>
                <w:b/>
                <w:color w:val="FFFFFF"/>
                <w:sz w:val="17"/>
              </w:rPr>
              <w:t>ROC-AUC CV</w:t>
            </w:r>
          </w:p>
        </w:tc>
        <w:tc>
          <w:tcPr>
            <w:tcW w:w="1584" w:type="dxa"/>
            <w:tcBorders/>
            <w:shd w:fill="1B365D" w:val="clear"/>
            <w:vAlign w:val="center"/>
          </w:tcPr>
          <w:p>
            <w:pPr>
              <w:pStyle w:val="Normal"/>
              <w:spacing w:before="0" w:after="80"/>
              <w:jc w:val="center"/>
              <w:rPr/>
            </w:pPr>
            <w:r>
              <w:rPr>
                <w:b/>
                <w:color w:val="FFFFFF"/>
                <w:sz w:val="17"/>
              </w:rPr>
              <w:t>Acc. Test</w:t>
            </w:r>
          </w:p>
        </w:tc>
        <w:tc>
          <w:tcPr>
            <w:tcW w:w="1583" w:type="dxa"/>
            <w:tcBorders/>
            <w:shd w:fill="1B365D" w:val="clear"/>
            <w:vAlign w:val="center"/>
          </w:tcPr>
          <w:p>
            <w:pPr>
              <w:pStyle w:val="Normal"/>
              <w:spacing w:before="0" w:after="80"/>
              <w:jc w:val="center"/>
              <w:rPr/>
            </w:pPr>
            <w:r>
              <w:rPr>
                <w:b/>
                <w:color w:val="FFFFFF"/>
                <w:sz w:val="17"/>
              </w:rPr>
              <w:t>ROC-AUC Test</w:t>
            </w:r>
          </w:p>
        </w:tc>
        <w:tc>
          <w:tcPr>
            <w:tcW w:w="1585" w:type="dxa"/>
            <w:tcBorders/>
            <w:shd w:fill="1B365D" w:val="clear"/>
            <w:vAlign w:val="center"/>
          </w:tcPr>
          <w:p>
            <w:pPr>
              <w:pStyle w:val="Normal"/>
              <w:spacing w:before="0" w:after="80"/>
              <w:jc w:val="center"/>
              <w:rPr/>
            </w:pPr>
            <w:r>
              <w:rPr>
                <w:b/>
                <w:color w:val="FFFFFF"/>
                <w:sz w:val="17"/>
              </w:rPr>
              <w:t>Tiempo Fit (s)</w:t>
            </w:r>
          </w:p>
        </w:tc>
      </w:tr>
      <w:tr>
        <w:trPr>
          <w:cantSplit/>
        </w:trPr>
        <w:tc>
          <w:tcPr>
            <w:tcW w:w="1584" w:type="dxa"/>
            <w:tcBorders/>
            <w:shd w:fill="F7F9FB" w:val="clear"/>
            <w:vAlign w:val="center"/>
          </w:tcPr>
          <w:p>
            <w:pPr>
              <w:pStyle w:val="Normal"/>
              <w:widowControl/>
              <w:bidi w:val="0"/>
              <w:spacing w:lineRule="auto" w:line="276" w:before="0" w:after="80"/>
              <w:jc w:val="start"/>
              <w:rPr/>
            </w:pPr>
            <w:r>
              <w:rPr>
                <w:color w:val="222222"/>
                <w:sz w:val="17"/>
              </w:rPr>
              <w:t>Random Forest</w:t>
            </w:r>
          </w:p>
        </w:tc>
        <w:tc>
          <w:tcPr>
            <w:tcW w:w="1583" w:type="dxa"/>
            <w:tcBorders/>
            <w:shd w:fill="F7F9FB" w:val="clear"/>
            <w:vAlign w:val="center"/>
          </w:tcPr>
          <w:p>
            <w:pPr>
              <w:pStyle w:val="Normal"/>
              <w:widowControl/>
              <w:bidi w:val="0"/>
              <w:spacing w:lineRule="auto" w:line="276" w:before="0" w:after="80"/>
              <w:jc w:val="start"/>
              <w:rPr/>
            </w:pPr>
            <w:r>
              <w:rPr>
                <w:color w:val="222222"/>
                <w:sz w:val="17"/>
              </w:rPr>
              <w:t>0.9628</w:t>
            </w:r>
          </w:p>
        </w:tc>
        <w:tc>
          <w:tcPr>
            <w:tcW w:w="1585" w:type="dxa"/>
            <w:tcBorders/>
            <w:shd w:fill="F7F9FB" w:val="clear"/>
            <w:vAlign w:val="center"/>
          </w:tcPr>
          <w:p>
            <w:pPr>
              <w:pStyle w:val="Normal"/>
              <w:widowControl/>
              <w:bidi w:val="0"/>
              <w:spacing w:lineRule="auto" w:line="276" w:before="0" w:after="80"/>
              <w:jc w:val="start"/>
              <w:rPr/>
            </w:pPr>
            <w:r>
              <w:rPr>
                <w:color w:val="222222"/>
                <w:sz w:val="17"/>
              </w:rPr>
              <w:t>0.9891</w:t>
            </w:r>
          </w:p>
        </w:tc>
        <w:tc>
          <w:tcPr>
            <w:tcW w:w="1584" w:type="dxa"/>
            <w:tcBorders/>
            <w:shd w:fill="F7F9FB" w:val="clear"/>
            <w:vAlign w:val="center"/>
          </w:tcPr>
          <w:p>
            <w:pPr>
              <w:pStyle w:val="Normal"/>
              <w:widowControl/>
              <w:bidi w:val="0"/>
              <w:spacing w:lineRule="auto" w:line="276" w:before="0" w:after="80"/>
              <w:jc w:val="start"/>
              <w:rPr/>
            </w:pPr>
            <w:r>
              <w:rPr>
                <w:color w:val="222222"/>
                <w:sz w:val="17"/>
              </w:rPr>
              <w:t>0.9474</w:t>
            </w:r>
          </w:p>
        </w:tc>
        <w:tc>
          <w:tcPr>
            <w:tcW w:w="1583" w:type="dxa"/>
            <w:tcBorders/>
            <w:shd w:fill="F7F9FB" w:val="clear"/>
            <w:vAlign w:val="center"/>
          </w:tcPr>
          <w:p>
            <w:pPr>
              <w:pStyle w:val="Normal"/>
              <w:widowControl/>
              <w:bidi w:val="0"/>
              <w:spacing w:lineRule="auto" w:line="276" w:before="0" w:after="80"/>
              <w:jc w:val="start"/>
              <w:rPr/>
            </w:pPr>
            <w:r>
              <w:rPr>
                <w:color w:val="222222"/>
                <w:sz w:val="17"/>
              </w:rPr>
              <w:t>0.9937</w:t>
            </w:r>
          </w:p>
        </w:tc>
        <w:tc>
          <w:tcPr>
            <w:tcW w:w="1585" w:type="dxa"/>
            <w:tcBorders/>
            <w:shd w:fill="F7F9FB" w:val="clear"/>
            <w:vAlign w:val="center"/>
          </w:tcPr>
          <w:p>
            <w:pPr>
              <w:pStyle w:val="Normal"/>
              <w:widowControl/>
              <w:bidi w:val="0"/>
              <w:spacing w:lineRule="auto" w:line="276" w:before="0" w:after="80"/>
              <w:jc w:val="start"/>
              <w:rPr/>
            </w:pPr>
            <w:r>
              <w:rPr>
                <w:color w:val="222222"/>
                <w:sz w:val="17"/>
              </w:rPr>
              <w:t>0.518</w:t>
            </w:r>
          </w:p>
        </w:tc>
      </w:tr>
      <w:tr>
        <w:trPr>
          <w:cantSplit/>
        </w:trPr>
        <w:tc>
          <w:tcPr>
            <w:tcW w:w="1584" w:type="dxa"/>
            <w:tcBorders/>
            <w:shd w:fill="FFFFFF" w:val="clear"/>
            <w:vAlign w:val="center"/>
          </w:tcPr>
          <w:p>
            <w:pPr>
              <w:pStyle w:val="Normal"/>
              <w:widowControl/>
              <w:bidi w:val="0"/>
              <w:spacing w:lineRule="auto" w:line="276" w:before="0" w:after="80"/>
              <w:jc w:val="start"/>
              <w:rPr/>
            </w:pPr>
            <w:r>
              <w:rPr>
                <w:color w:val="222222"/>
                <w:sz w:val="17"/>
              </w:rPr>
              <w:t>XGBoost</w:t>
            </w:r>
          </w:p>
        </w:tc>
        <w:tc>
          <w:tcPr>
            <w:tcW w:w="1583" w:type="dxa"/>
            <w:tcBorders/>
            <w:shd w:fill="FFFFFF" w:val="clear"/>
            <w:vAlign w:val="center"/>
          </w:tcPr>
          <w:p>
            <w:pPr>
              <w:pStyle w:val="Normal"/>
              <w:widowControl/>
              <w:bidi w:val="0"/>
              <w:spacing w:lineRule="auto" w:line="276" w:before="0" w:after="80"/>
              <w:jc w:val="start"/>
              <w:rPr/>
            </w:pPr>
            <w:r>
              <w:rPr>
                <w:color w:val="222222"/>
                <w:sz w:val="17"/>
              </w:rPr>
              <w:t>0.9714</w:t>
            </w:r>
          </w:p>
        </w:tc>
        <w:tc>
          <w:tcPr>
            <w:tcW w:w="1585" w:type="dxa"/>
            <w:tcBorders/>
            <w:shd w:fill="FFFFFF" w:val="clear"/>
            <w:vAlign w:val="center"/>
          </w:tcPr>
          <w:p>
            <w:pPr>
              <w:pStyle w:val="Normal"/>
              <w:widowControl/>
              <w:bidi w:val="0"/>
              <w:spacing w:lineRule="auto" w:line="276" w:before="0" w:after="80"/>
              <w:jc w:val="start"/>
              <w:rPr/>
            </w:pPr>
            <w:r>
              <w:rPr>
                <w:color w:val="222222"/>
                <w:sz w:val="17"/>
              </w:rPr>
              <w:t>0.9939</w:t>
            </w:r>
          </w:p>
        </w:tc>
        <w:tc>
          <w:tcPr>
            <w:tcW w:w="1584" w:type="dxa"/>
            <w:tcBorders/>
            <w:shd w:fill="FFFFFF" w:val="clear"/>
            <w:vAlign w:val="center"/>
          </w:tcPr>
          <w:p>
            <w:pPr>
              <w:pStyle w:val="Normal"/>
              <w:widowControl/>
              <w:bidi w:val="0"/>
              <w:spacing w:lineRule="auto" w:line="276" w:before="0" w:after="80"/>
              <w:jc w:val="start"/>
              <w:rPr/>
            </w:pPr>
            <w:r>
              <w:rPr>
                <w:color w:val="222222"/>
                <w:sz w:val="17"/>
              </w:rPr>
              <w:t>0.9561</w:t>
            </w:r>
          </w:p>
        </w:tc>
        <w:tc>
          <w:tcPr>
            <w:tcW w:w="1583" w:type="dxa"/>
            <w:tcBorders/>
            <w:shd w:fill="FFFFFF" w:val="clear"/>
            <w:vAlign w:val="center"/>
          </w:tcPr>
          <w:p>
            <w:pPr>
              <w:pStyle w:val="Normal"/>
              <w:widowControl/>
              <w:bidi w:val="0"/>
              <w:spacing w:lineRule="auto" w:line="276" w:before="0" w:after="80"/>
              <w:jc w:val="start"/>
              <w:rPr/>
            </w:pPr>
            <w:r>
              <w:rPr>
                <w:color w:val="222222"/>
                <w:sz w:val="17"/>
              </w:rPr>
              <w:t>0.9947</w:t>
            </w:r>
          </w:p>
        </w:tc>
        <w:tc>
          <w:tcPr>
            <w:tcW w:w="1585" w:type="dxa"/>
            <w:tcBorders/>
            <w:shd w:fill="FFFFFF" w:val="clear"/>
            <w:vAlign w:val="center"/>
          </w:tcPr>
          <w:p>
            <w:pPr>
              <w:pStyle w:val="Normal"/>
              <w:widowControl/>
              <w:bidi w:val="0"/>
              <w:spacing w:lineRule="auto" w:line="276" w:before="0" w:after="80"/>
              <w:jc w:val="start"/>
              <w:rPr/>
            </w:pPr>
            <w:r>
              <w:rPr>
                <w:color w:val="222222"/>
                <w:sz w:val="17"/>
              </w:rPr>
              <w:t>0.221</w:t>
            </w:r>
          </w:p>
        </w:tc>
      </w:tr>
    </w:tbl>
    <w:p>
      <w:pPr>
        <w:pStyle w:val="Heading2"/>
        <w:rPr/>
      </w:pPr>
      <w:bookmarkStart w:id="13" w:name="__RefHeading___Toc1063_3384329428"/>
      <w:bookmarkEnd w:id="13"/>
      <w:r>
        <w:rPr/>
        <w:t>Respuesta Justificada: ¿Cuál es mejor en el Ítem 5?</w:t>
      </w:r>
    </w:p>
    <w:p>
      <w:pPr>
        <w:pStyle w:val="Normal"/>
        <w:rPr/>
      </w:pPr>
      <w:r>
        <w:rPr/>
        <w:t>En un balance integral que evalúa capacidad de generalización probabilística, calidad de calibración y eficiencia computacional, XGBoost es el mejor modelo, especialmente en entornos de producción y despliegue real:</w:t>
      </w:r>
    </w:p>
    <w:p>
      <w:pPr>
        <w:pStyle w:val="Normal"/>
        <w:rPr/>
      </w:pPr>
      <w:r>
        <w:rPr/>
        <w:t>1. Mayor Eficacia y Calibración: En el dataset de diabetes, XGBoost alcanza un ROC-AUC de prueba de 0.8209 frente a 0.8035 de Random Forest y logra el menor Log-Loss (0.4914 vs. 0.5126), evidenciando probabilidades mejor calibradas. En breast_cancer, XGBoost supera a Random Forest tanto en exactitud de prueba (97.37% vs 95.61%) como en ROC-AUC (0.9947 vs 0.9921).</w:t>
        <w:br/>
        <w:t>2. Velocidad de Inferencia Sobresaliente: La latencia de inferencia de XGBoost optimizado es de solo 0.041 ms por muestra, siendo aproximadamente 23 veces más rápido que Random Forest (0.950 ms por muestra). Esto se debe a que XGBoost emplea árboles podados de baja profundidad (max_depth=3) mientras que Random Forest evalúa 300 árboles profundos.</w:t>
        <w:br/>
        <w:t>3. Eficiencia de Entrenamiento y Faltantes: El tiempo de ajuste de XGBoost optimizado fue de 0.17 s frente a 1.54 s de Random Forest (~9x más veloz), incorporando además soporte nativo para valores faltantes (aprende la dirección de ramificación óptima por defecto para NaN).</w:t>
      </w:r>
    </w:p>
    <w:p>
      <w:pPr>
        <w:pStyle w:val="Normal"/>
        <w:rPr/>
      </w:pPr>
      <w:r>
        <w:rPr/>
        <w:t>Matiz Práctico: Random Forest conserva una ventaja notable en facilidad de uso (out-of-the-box): con su configuración base por defecto es prácticamente inmune al sobreajuste catastrófico y no requiere sintonizar tasas de aprendizaje ni regularizadores. Sin embargo, cuando se dispone de ajuste sistemático, XGBoost maximiza el rendimiento y minimiza el coste computacional.</w:t>
      </w:r>
    </w:p>
    <w:p>
      <w:pPr>
        <w:pStyle w:val="Heading1"/>
        <w:rPr/>
      </w:pPr>
      <w:bookmarkStart w:id="14" w:name="__RefHeading___Toc1065_3384329428"/>
      <w:bookmarkEnd w:id="14"/>
      <w:r>
        <w:rPr/>
        <w:t>8. Respuestas Consolidadas a las Preguntas de la Tarea</w:t>
      </w:r>
    </w:p>
    <w:p>
      <w:pPr>
        <w:pStyle w:val="Normal"/>
        <w:rPr/>
      </w:pPr>
      <w:r>
        <w:rPr/>
        <w:t>A continuación se presenta la síntesis ejecutiva que responde puntualmente a cada una de las interrogantes planteadas en la guía de la tarea:</w:t>
      </w:r>
    </w:p>
    <w:tbl>
      <w:tblPr>
        <w:tblW w:w="9504" w:type="dxa"/>
        <w:jc w:val="center"/>
        <w:tblInd w:w="0" w:type="dxa"/>
        <w:tblLayout w:type="fixed"/>
        <w:tblCellMar>
          <w:top w:w="100" w:type="dxa"/>
          <w:start w:w="130" w:type="dxa"/>
          <w:bottom w:w="100" w:type="dxa"/>
          <w:end w:w="130" w:type="dxa"/>
        </w:tblCellMar>
        <w:tblLook w:noHBand="0" w:noVBand="1" w:firstColumn="1" w:lastRow="0" w:lastColumn="0" w:firstRow="1" w:val="04a0"/>
      </w:tblPr>
      <w:tblGrid>
        <w:gridCol w:w="2376"/>
        <w:gridCol w:w="2376"/>
        <w:gridCol w:w="2376"/>
        <w:gridCol w:w="2376"/>
      </w:tblGrid>
      <w:tr>
        <w:trPr>
          <w:tblHeader w:val="true"/>
          <w:cantSplit/>
        </w:trPr>
        <w:tc>
          <w:tcPr>
            <w:tcW w:w="2376" w:type="dxa"/>
            <w:tcBorders/>
            <w:shd w:fill="1B365D" w:val="clear"/>
            <w:vAlign w:val="center"/>
          </w:tcPr>
          <w:p>
            <w:pPr>
              <w:pStyle w:val="Normal"/>
              <w:spacing w:before="0" w:after="80"/>
              <w:jc w:val="center"/>
              <w:rPr/>
            </w:pPr>
            <w:r>
              <w:rPr>
                <w:b/>
                <w:color w:val="FFFFFF"/>
                <w:sz w:val="17"/>
              </w:rPr>
              <w:t>Ítem</w:t>
            </w:r>
          </w:p>
        </w:tc>
        <w:tc>
          <w:tcPr>
            <w:tcW w:w="2376" w:type="dxa"/>
            <w:tcBorders/>
            <w:shd w:fill="1B365D" w:val="clear"/>
            <w:vAlign w:val="center"/>
          </w:tcPr>
          <w:p>
            <w:pPr>
              <w:pStyle w:val="Normal"/>
              <w:spacing w:before="0" w:after="80"/>
              <w:jc w:val="center"/>
              <w:rPr/>
            </w:pPr>
            <w:r>
              <w:rPr>
                <w:b/>
                <w:color w:val="FFFFFF"/>
                <w:sz w:val="17"/>
              </w:rPr>
              <w:t>Modelos Comparados</w:t>
            </w:r>
          </w:p>
        </w:tc>
        <w:tc>
          <w:tcPr>
            <w:tcW w:w="2376" w:type="dxa"/>
            <w:tcBorders/>
            <w:shd w:fill="1B365D" w:val="clear"/>
            <w:vAlign w:val="center"/>
          </w:tcPr>
          <w:p>
            <w:pPr>
              <w:pStyle w:val="Normal"/>
              <w:spacing w:before="0" w:after="80"/>
              <w:jc w:val="center"/>
              <w:rPr/>
            </w:pPr>
            <w:r>
              <w:rPr>
                <w:b/>
                <w:color w:val="FFFFFF"/>
                <w:sz w:val="17"/>
              </w:rPr>
              <w:t>Modelo Ganador</w:t>
            </w:r>
          </w:p>
        </w:tc>
        <w:tc>
          <w:tcPr>
            <w:tcW w:w="2376" w:type="dxa"/>
            <w:tcBorders/>
            <w:shd w:fill="1B365D" w:val="clear"/>
            <w:vAlign w:val="center"/>
          </w:tcPr>
          <w:p>
            <w:pPr>
              <w:pStyle w:val="Normal"/>
              <w:spacing w:before="0" w:after="80"/>
              <w:jc w:val="center"/>
              <w:rPr/>
            </w:pPr>
            <w:r>
              <w:rPr>
                <w:b/>
                <w:color w:val="FFFFFF"/>
                <w:sz w:val="17"/>
              </w:rPr>
              <w:t>Justificación Científica / Métrica Clave</w:t>
            </w:r>
          </w:p>
        </w:tc>
      </w:tr>
      <w:tr>
        <w:trPr>
          <w:cantSplit/>
        </w:trPr>
        <w:tc>
          <w:tcPr>
            <w:tcW w:w="2376" w:type="dxa"/>
            <w:tcBorders/>
            <w:shd w:fill="F7F9FB" w:val="clear"/>
            <w:vAlign w:val="center"/>
          </w:tcPr>
          <w:p>
            <w:pPr>
              <w:pStyle w:val="Normal"/>
              <w:widowControl/>
              <w:bidi w:val="0"/>
              <w:spacing w:lineRule="auto" w:line="276" w:before="0" w:after="80"/>
              <w:jc w:val="start"/>
              <w:rPr/>
            </w:pPr>
            <w:r>
              <w:rPr>
                <w:color w:val="222222"/>
                <w:sz w:val="17"/>
              </w:rPr>
              <w:t>Ítem 1</w:t>
            </w:r>
          </w:p>
        </w:tc>
        <w:tc>
          <w:tcPr>
            <w:tcW w:w="2376" w:type="dxa"/>
            <w:tcBorders/>
            <w:shd w:fill="F7F9FB" w:val="clear"/>
            <w:vAlign w:val="center"/>
          </w:tcPr>
          <w:p>
            <w:pPr>
              <w:pStyle w:val="Normal"/>
              <w:widowControl/>
              <w:bidi w:val="0"/>
              <w:spacing w:lineRule="auto" w:line="276" w:before="0" w:after="80"/>
              <w:jc w:val="start"/>
              <w:rPr/>
            </w:pPr>
            <w:r>
              <w:rPr>
                <w:color w:val="222222"/>
                <w:sz w:val="17"/>
              </w:rPr>
              <w:t>CART Gini vs. CART Entropía vs. Regresión Logística</w:t>
            </w:r>
          </w:p>
        </w:tc>
        <w:tc>
          <w:tcPr>
            <w:tcW w:w="2376" w:type="dxa"/>
            <w:tcBorders/>
            <w:shd w:fill="F7F9FB" w:val="clear"/>
            <w:vAlign w:val="center"/>
          </w:tcPr>
          <w:p>
            <w:pPr>
              <w:pStyle w:val="Normal"/>
              <w:widowControl/>
              <w:bidi w:val="0"/>
              <w:spacing w:lineRule="auto" w:line="276" w:before="0" w:after="80"/>
              <w:jc w:val="start"/>
              <w:rPr/>
            </w:pPr>
            <w:r>
              <w:rPr>
                <w:color w:val="222222"/>
                <w:sz w:val="17"/>
              </w:rPr>
              <w:t>Regresión Logística</w:t>
            </w:r>
          </w:p>
        </w:tc>
        <w:tc>
          <w:tcPr>
            <w:tcW w:w="2376" w:type="dxa"/>
            <w:tcBorders/>
            <w:shd w:fill="F7F9FB" w:val="clear"/>
            <w:vAlign w:val="center"/>
          </w:tcPr>
          <w:p>
            <w:pPr>
              <w:pStyle w:val="Normal"/>
              <w:widowControl/>
              <w:bidi w:val="0"/>
              <w:spacing w:lineRule="auto" w:line="276" w:before="0" w:after="80"/>
              <w:jc w:val="start"/>
              <w:rPr/>
            </w:pPr>
            <w:r>
              <w:rPr>
                <w:color w:val="222222"/>
                <w:sz w:val="17"/>
              </w:rPr>
              <w:t>CV Acc: 98.24% vs. 93.62% (Gini). ROC-AUC: 0.9954 vs. 0.9263. Fronteras lineales suaves ideales para 30 variables continuas correlacionadas.</w:t>
            </w:r>
          </w:p>
        </w:tc>
      </w:tr>
      <w:tr>
        <w:trPr>
          <w:cantSplit/>
        </w:trPr>
        <w:tc>
          <w:tcPr>
            <w:tcW w:w="2376" w:type="dxa"/>
            <w:tcBorders/>
            <w:shd w:fill="FFFFFF" w:val="clear"/>
            <w:vAlign w:val="center"/>
          </w:tcPr>
          <w:p>
            <w:pPr>
              <w:pStyle w:val="Normal"/>
              <w:widowControl/>
              <w:bidi w:val="0"/>
              <w:spacing w:lineRule="auto" w:line="276" w:before="0" w:after="80"/>
              <w:jc w:val="start"/>
              <w:rPr/>
            </w:pPr>
            <w:r>
              <w:rPr>
                <w:color w:val="222222"/>
                <w:sz w:val="17"/>
              </w:rPr>
              <w:t>Ítem 2</w:t>
            </w:r>
          </w:p>
        </w:tc>
        <w:tc>
          <w:tcPr>
            <w:tcW w:w="2376" w:type="dxa"/>
            <w:tcBorders/>
            <w:shd w:fill="FFFFFF" w:val="clear"/>
            <w:vAlign w:val="center"/>
          </w:tcPr>
          <w:p>
            <w:pPr>
              <w:pStyle w:val="Normal"/>
              <w:widowControl/>
              <w:bidi w:val="0"/>
              <w:spacing w:lineRule="auto" w:line="276" w:before="0" w:after="80"/>
              <w:jc w:val="start"/>
              <w:rPr/>
            </w:pPr>
            <w:r>
              <w:rPr>
                <w:color w:val="222222"/>
                <w:sz w:val="17"/>
              </w:rPr>
              <w:t>CART (varios hiperparámetros) vs. Regresión Lineal</w:t>
            </w:r>
          </w:p>
        </w:tc>
        <w:tc>
          <w:tcPr>
            <w:tcW w:w="2376" w:type="dxa"/>
            <w:tcBorders/>
            <w:shd w:fill="FFFFFF" w:val="clear"/>
            <w:vAlign w:val="center"/>
          </w:tcPr>
          <w:p>
            <w:pPr>
              <w:pStyle w:val="Normal"/>
              <w:widowControl/>
              <w:bidi w:val="0"/>
              <w:spacing w:lineRule="auto" w:line="276" w:before="0" w:after="80"/>
              <w:jc w:val="start"/>
              <w:rPr/>
            </w:pPr>
            <w:r>
              <w:rPr>
                <w:color w:val="222222"/>
                <w:sz w:val="17"/>
              </w:rPr>
              <w:t>CART-3 (depth=5, leaf=5) / CART-5 (GridSearch)</w:t>
            </w:r>
          </w:p>
        </w:tc>
        <w:tc>
          <w:tcPr>
            <w:tcW w:w="2376" w:type="dxa"/>
            <w:tcBorders/>
            <w:shd w:fill="FFFFFF" w:val="clear"/>
            <w:vAlign w:val="center"/>
          </w:tcPr>
          <w:p>
            <w:pPr>
              <w:pStyle w:val="Normal"/>
              <w:widowControl/>
              <w:bidi w:val="0"/>
              <w:spacing w:lineRule="auto" w:line="276" w:before="0" w:after="80"/>
              <w:jc w:val="start"/>
              <w:rPr/>
            </w:pPr>
            <w:r>
              <w:rPr>
                <w:color w:val="222222"/>
                <w:sz w:val="17"/>
              </w:rPr>
              <w:t>RMSE Test: 2.71 mpg vs. 2.89 mpg (Lineal). R²: 0.864 vs. 0.845. El árbol podado captura relaciones no lineales sin sobreajustar.</w:t>
            </w:r>
          </w:p>
        </w:tc>
      </w:tr>
      <w:tr>
        <w:trPr>
          <w:cantSplit/>
        </w:trPr>
        <w:tc>
          <w:tcPr>
            <w:tcW w:w="2376" w:type="dxa"/>
            <w:tcBorders/>
            <w:shd w:fill="F7F9FB" w:val="clear"/>
            <w:vAlign w:val="center"/>
          </w:tcPr>
          <w:p>
            <w:pPr>
              <w:pStyle w:val="Normal"/>
              <w:widowControl/>
              <w:bidi w:val="0"/>
              <w:spacing w:lineRule="auto" w:line="276" w:before="0" w:after="80"/>
              <w:jc w:val="start"/>
              <w:rPr/>
            </w:pPr>
            <w:r>
              <w:rPr>
                <w:color w:val="222222"/>
                <w:sz w:val="17"/>
              </w:rPr>
              <w:t>Ítem 3</w:t>
            </w:r>
          </w:p>
        </w:tc>
        <w:tc>
          <w:tcPr>
            <w:tcW w:w="2376" w:type="dxa"/>
            <w:tcBorders/>
            <w:shd w:fill="F7F9FB" w:val="clear"/>
            <w:vAlign w:val="center"/>
          </w:tcPr>
          <w:p>
            <w:pPr>
              <w:pStyle w:val="Normal"/>
              <w:widowControl/>
              <w:bidi w:val="0"/>
              <w:spacing w:lineRule="auto" w:line="276" w:before="0" w:after="80"/>
              <w:jc w:val="start"/>
              <w:rPr/>
            </w:pPr>
            <w:r>
              <w:rPr>
                <w:color w:val="222222"/>
                <w:sz w:val="17"/>
              </w:rPr>
              <w:t>VotingClassifier (Hard / Soft) vs. Modelos Individuales</w:t>
            </w:r>
          </w:p>
        </w:tc>
        <w:tc>
          <w:tcPr>
            <w:tcW w:w="2376" w:type="dxa"/>
            <w:tcBorders/>
            <w:shd w:fill="F7F9FB" w:val="clear"/>
            <w:vAlign w:val="center"/>
          </w:tcPr>
          <w:p>
            <w:pPr>
              <w:pStyle w:val="Normal"/>
              <w:widowControl/>
              <w:bidi w:val="0"/>
              <w:spacing w:lineRule="auto" w:line="276" w:before="0" w:after="80"/>
              <w:jc w:val="start"/>
              <w:rPr/>
            </w:pPr>
            <w:r>
              <w:rPr>
                <w:color w:val="222222"/>
                <w:sz w:val="17"/>
              </w:rPr>
              <w:t>VotingClassifier (Soft)</w:t>
            </w:r>
          </w:p>
        </w:tc>
        <w:tc>
          <w:tcPr>
            <w:tcW w:w="2376" w:type="dxa"/>
            <w:tcBorders/>
            <w:shd w:fill="F7F9FB" w:val="clear"/>
            <w:vAlign w:val="center"/>
          </w:tcPr>
          <w:p>
            <w:pPr>
              <w:pStyle w:val="Normal"/>
              <w:widowControl/>
              <w:bidi w:val="0"/>
              <w:spacing w:lineRule="auto" w:line="276" w:before="0" w:after="80"/>
              <w:jc w:val="start"/>
              <w:rPr/>
            </w:pPr>
            <w:r>
              <w:rPr>
                <w:color w:val="222222"/>
                <w:sz w:val="17"/>
              </w:rPr>
              <w:t>Test Acc: 73.38%, Precisión: 67.57%, ROC-AUC: 0.8154, menor std CV (0.038). Compensa errores poco correlacionados entre LR, KNN y Árbol.</w:t>
            </w:r>
          </w:p>
        </w:tc>
      </w:tr>
      <w:tr>
        <w:trPr>
          <w:cantSplit/>
        </w:trPr>
        <w:tc>
          <w:tcPr>
            <w:tcW w:w="2376" w:type="dxa"/>
            <w:tcBorders/>
            <w:shd w:fill="FFFFFF" w:val="clear"/>
            <w:vAlign w:val="center"/>
          </w:tcPr>
          <w:p>
            <w:pPr>
              <w:pStyle w:val="Normal"/>
              <w:widowControl/>
              <w:bidi w:val="0"/>
              <w:spacing w:lineRule="auto" w:line="276" w:before="0" w:after="80"/>
              <w:jc w:val="start"/>
              <w:rPr/>
            </w:pPr>
            <w:r>
              <w:rPr>
                <w:color w:val="222222"/>
                <w:sz w:val="17"/>
              </w:rPr>
              <w:t>Ítem 4</w:t>
            </w:r>
          </w:p>
        </w:tc>
        <w:tc>
          <w:tcPr>
            <w:tcW w:w="2376" w:type="dxa"/>
            <w:tcBorders/>
            <w:shd w:fill="FFFFFF" w:val="clear"/>
            <w:vAlign w:val="center"/>
          </w:tcPr>
          <w:p>
            <w:pPr>
              <w:pStyle w:val="Normal"/>
              <w:widowControl/>
              <w:bidi w:val="0"/>
              <w:spacing w:lineRule="auto" w:line="276" w:before="0" w:after="80"/>
              <w:jc w:val="start"/>
              <w:rPr/>
            </w:pPr>
            <w:r>
              <w:rPr>
                <w:color w:val="222222"/>
                <w:sz w:val="17"/>
              </w:rPr>
              <w:t>BaggingClassifier (con OOB) vs. Árbol Individual</w:t>
            </w:r>
          </w:p>
        </w:tc>
        <w:tc>
          <w:tcPr>
            <w:tcW w:w="2376" w:type="dxa"/>
            <w:tcBorders/>
            <w:shd w:fill="FFFFFF" w:val="clear"/>
            <w:vAlign w:val="center"/>
          </w:tcPr>
          <w:p>
            <w:pPr>
              <w:pStyle w:val="Normal"/>
              <w:widowControl/>
              <w:bidi w:val="0"/>
              <w:spacing w:lineRule="auto" w:line="276" w:before="0" w:after="80"/>
              <w:jc w:val="start"/>
              <w:rPr/>
            </w:pPr>
            <w:r>
              <w:rPr>
                <w:color w:val="222222"/>
                <w:sz w:val="17"/>
              </w:rPr>
              <w:t>Bagging (300 árboles base)</w:t>
            </w:r>
          </w:p>
        </w:tc>
        <w:tc>
          <w:tcPr>
            <w:tcW w:w="2376" w:type="dxa"/>
            <w:tcBorders/>
            <w:shd w:fill="FFFFFF" w:val="clear"/>
            <w:vAlign w:val="center"/>
          </w:tcPr>
          <w:p>
            <w:pPr>
              <w:pStyle w:val="Normal"/>
              <w:widowControl/>
              <w:bidi w:val="0"/>
              <w:spacing w:lineRule="auto" w:line="276" w:before="0" w:after="80"/>
              <w:jc w:val="start"/>
              <w:rPr/>
            </w:pPr>
            <w:r>
              <w:rPr>
                <w:color w:val="222222"/>
                <w:sz w:val="17"/>
              </w:rPr>
              <w:t>CV Acc: 96.27% vs. 92.53%. ROC-AUC: 0.9931 vs. 0.9157. OOB (96.48%) valida el test. Reduce drásticamente la varianza en 26 de 30 particiones.</w:t>
            </w:r>
          </w:p>
        </w:tc>
      </w:tr>
      <w:tr>
        <w:trPr>
          <w:cantSplit/>
        </w:trPr>
        <w:tc>
          <w:tcPr>
            <w:tcW w:w="2376" w:type="dxa"/>
            <w:tcBorders/>
            <w:shd w:fill="F7F9FB" w:val="clear"/>
            <w:vAlign w:val="center"/>
          </w:tcPr>
          <w:p>
            <w:pPr>
              <w:pStyle w:val="Normal"/>
              <w:widowControl/>
              <w:bidi w:val="0"/>
              <w:spacing w:lineRule="auto" w:line="276" w:before="0" w:after="80"/>
              <w:jc w:val="start"/>
              <w:rPr/>
            </w:pPr>
            <w:r>
              <w:rPr>
                <w:color w:val="222222"/>
                <w:sz w:val="17"/>
              </w:rPr>
              <w:t>Ítem 5</w:t>
            </w:r>
          </w:p>
        </w:tc>
        <w:tc>
          <w:tcPr>
            <w:tcW w:w="2376" w:type="dxa"/>
            <w:tcBorders/>
            <w:shd w:fill="F7F9FB" w:val="clear"/>
            <w:vAlign w:val="center"/>
          </w:tcPr>
          <w:p>
            <w:pPr>
              <w:pStyle w:val="Normal"/>
              <w:widowControl/>
              <w:bidi w:val="0"/>
              <w:spacing w:lineRule="auto" w:line="276" w:before="0" w:after="80"/>
              <w:jc w:val="start"/>
              <w:rPr/>
            </w:pPr>
            <w:r>
              <w:rPr>
                <w:color w:val="222222"/>
                <w:sz w:val="17"/>
              </w:rPr>
              <w:t>RandomForest vs. XGBoost</w:t>
            </w:r>
          </w:p>
        </w:tc>
        <w:tc>
          <w:tcPr>
            <w:tcW w:w="2376" w:type="dxa"/>
            <w:tcBorders/>
            <w:shd w:fill="F7F9FB" w:val="clear"/>
            <w:vAlign w:val="center"/>
          </w:tcPr>
          <w:p>
            <w:pPr>
              <w:pStyle w:val="Normal"/>
              <w:widowControl/>
              <w:bidi w:val="0"/>
              <w:spacing w:lineRule="auto" w:line="276" w:before="0" w:after="80"/>
              <w:jc w:val="start"/>
              <w:rPr/>
            </w:pPr>
            <w:r>
              <w:rPr>
                <w:color w:val="222222"/>
                <w:sz w:val="17"/>
              </w:rPr>
              <w:t>XGBoost (Optimizado)</w:t>
            </w:r>
          </w:p>
        </w:tc>
        <w:tc>
          <w:tcPr>
            <w:tcW w:w="2376" w:type="dxa"/>
            <w:tcBorders/>
            <w:shd w:fill="F7F9FB" w:val="clear"/>
            <w:vAlign w:val="center"/>
          </w:tcPr>
          <w:p>
            <w:pPr>
              <w:pStyle w:val="Normal"/>
              <w:widowControl/>
              <w:bidi w:val="0"/>
              <w:spacing w:lineRule="auto" w:line="276" w:before="0" w:after="80"/>
              <w:jc w:val="start"/>
              <w:rPr/>
            </w:pPr>
            <w:r>
              <w:rPr>
                <w:color w:val="222222"/>
                <w:sz w:val="17"/>
              </w:rPr>
              <w:t>Mayor ROC-AUC (0.8209 vs 0.8035), menor Log-Loss (0.4914 vs 0.5126), inferencia 23x más rápida (0.04 ms/muestra) y menor tiempo de ajuste.</w:t>
            </w:r>
          </w:p>
        </w:tc>
      </w:tr>
    </w:tbl>
    <w:p>
      <w:pPr>
        <w:pStyle w:val="Heading1"/>
        <w:rPr/>
      </w:pPr>
      <w:bookmarkStart w:id="15" w:name="__RefHeading___Toc1067_3384329428"/>
      <w:bookmarkEnd w:id="15"/>
      <w:r>
        <w:rPr/>
        <w:t>9. Conclusiones Generales</w:t>
      </w:r>
    </w:p>
    <w:p>
      <w:pPr>
        <w:pStyle w:val="Normal"/>
        <w:rPr/>
      </w:pPr>
      <w:r>
        <w:rPr/>
        <w:t>1. Los árboles de decisión CART son herramientas sumamente interpretables y no requieren escalamiento previo de variables, pero sufre de alta varianza intrínseca cuando crecen sin restricciones. La poda mediante hiperparámetros (max_depth, min_samples_leaf) es indispensable para evitar la memorización de ruido muestral.</w:t>
        <w:br/>
        <w:t>2. No existe un modelo universalmente superior (teorema No Free Lunch): en espacios de variables continuas de alta correlación lineal (breast_cancer), la Regresión Logística supera a los árboles individuales; mientras que en relaciones fuertemente no lineales (auto_mpg), los árboles podados superan a la regresión lineal tradicional.</w:t>
        <w:br/>
        <w:t>3. Los ensambles heterogéneos (VotingClassifier) son eficaces cuando los modelos base poseen sesgos inductivos disímiles y errores poco correlacionados, logrando una frontera de decisión más suave y una menor varianza entre pliegues de validación.</w:t>
        <w:br/>
        <w:t>4. Bagging mitiga el talón de Aquiles de los árboles (su inestabilidad estocástica) promediando estimadores sobre muestras bootstrap. Se demostró analítica y experimentalmente que la fracción OOB (~36.8%) permite evaluar el error de generalización de manera rigurosa y sin coste adicional.</w:t>
        <w:br/>
        <w:t>5. En el duelo entre familias de ensamble avanzado, Random Forest ofrece máxima robustez frente a configuraciones por defecto, mientras que XGBoost optimizado alcanza la mayor capacidad predictiva y una eficiencia computacional notablemente superior (inferencia ultrarrápida con árboles compactos).</w:t>
      </w:r>
    </w:p>
    <w:p>
      <w:pPr>
        <w:pStyle w:val="Heading1"/>
        <w:rPr/>
      </w:pPr>
      <w:bookmarkStart w:id="16" w:name="__RefHeading___Toc1069_3384329428"/>
      <w:bookmarkEnd w:id="16"/>
      <w:r>
        <w:rPr/>
        <w:t>10. Referencias Bibliográficas</w:t>
      </w:r>
    </w:p>
    <w:p>
      <w:pPr>
        <w:pStyle w:val="Normal"/>
        <w:ind w:hanging="432" w:start="432"/>
        <w:rPr/>
      </w:pPr>
      <w:r>
        <w:rPr>
          <w:sz w:val="18"/>
        </w:rPr>
        <w:t>Breiman, L., Friedman, J., Stone, C. J., &amp; Olshen, R. A. (1984). Classification and Regression Trees. Chapman and Hall/CRC.</w:t>
      </w:r>
    </w:p>
    <w:p>
      <w:pPr>
        <w:pStyle w:val="Normal"/>
        <w:ind w:hanging="432" w:start="432"/>
        <w:rPr/>
      </w:pPr>
      <w:r>
        <w:rPr>
          <w:sz w:val="18"/>
        </w:rPr>
        <w:t>Breiman, L. (1996). Bagging predictors. Machine Learning, 24(2), 123-140.</w:t>
      </w:r>
    </w:p>
    <w:p>
      <w:pPr>
        <w:pStyle w:val="Normal"/>
        <w:ind w:hanging="432" w:start="432"/>
        <w:rPr/>
      </w:pPr>
      <w:r>
        <w:rPr>
          <w:sz w:val="18"/>
        </w:rPr>
        <w:t>Breiman, L. (2001). Random Forests. Machine Learning, 45(1), 5-32.</w:t>
      </w:r>
    </w:p>
    <w:p>
      <w:pPr>
        <w:pStyle w:val="Normal"/>
        <w:ind w:hanging="432" w:start="432"/>
        <w:rPr/>
      </w:pPr>
      <w:r>
        <w:rPr>
          <w:sz w:val="18"/>
        </w:rPr>
        <w:t>Chen, T., &amp; Guestrin, C. (2016). XGBoost: A scalable tree boosting system. In Proceedings of the 22nd ACM SIGKDD International Conference on Knowledge Discovery and Data Mining (pp. 785-794).</w:t>
      </w:r>
    </w:p>
    <w:p>
      <w:pPr>
        <w:pStyle w:val="Normal"/>
        <w:ind w:hanging="432" w:start="432"/>
        <w:rPr/>
      </w:pPr>
      <w:r>
        <w:rPr>
          <w:sz w:val="18"/>
        </w:rPr>
        <w:t>Hastie, T., Tibshirani, R., &amp; Friedman, J. (2009). The Elements of Statistical Learning: Data Mining, Inference, and Prediction. Springer Science &amp; Business Media.</w:t>
      </w:r>
    </w:p>
    <w:p>
      <w:pPr>
        <w:pStyle w:val="Normal"/>
        <w:ind w:hanging="432" w:start="432"/>
        <w:rPr/>
      </w:pPr>
      <w:r>
        <w:rPr>
          <w:sz w:val="18"/>
        </w:rPr>
        <w:t>Kawerk, E. (2019). Machine Learning with Tree-Based Models in Python. DataCamp. Adaptado por Mayenka Fernández Chambi para el curso de Aprendizaje de Máquina, Universidad Nacional del Altiplano.</w:t>
      </w:r>
    </w:p>
    <w:p>
      <w:pPr>
        <w:pStyle w:val="Normal"/>
        <w:spacing w:before="0" w:after="80"/>
        <w:ind w:hanging="432" w:start="432"/>
        <w:rPr/>
      </w:pPr>
      <w:r>
        <w:rPr>
          <w:sz w:val="18"/>
        </w:rPr>
        <w:t>Pedregosa, F., et al. (2011). Scikit-learn: Machine learning in Python. Journal of Machine Learning Research, 12, 2825-2830.</w:t>
      </w:r>
    </w:p>
    <w:sectPr>
      <w:type w:val="nextPage"/>
      <w:pgSz w:w="12240" w:h="15840"/>
      <w:pgMar w:left="1368" w:right="1368" w:gutter="0" w:header="0" w:top="1368" w:footer="0" w:bottom="136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Liberation Sans">
    <w:altName w:val="Arial"/>
    <w:charset w:val="01"/>
    <w:family w:val="roman"/>
    <w:pitch w:val="variable"/>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font>
  <w:font w:name="Liberation Mono">
    <w:altName w:val="Courier New"/>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80"/>
      <w:jc w:val="start"/>
    </w:pPr>
    <w:rPr>
      <w:rFonts w:ascii="Liberation Sans" w:hAnsi="Liberation Sans" w:eastAsia="ＭＳ 明朝" w:cs=""/>
      <w:color w:val="222222"/>
      <w:kern w:val="0"/>
      <w:sz w:val="20"/>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uiPriority w:val="99"/>
    <w:rsid w:val="00e618bf"/>
    <w:rPr/>
  </w:style>
  <w:style w:type="character" w:styleId="FooterChar" w:customStyle="1">
    <w:name w:val="Footer Char"/>
    <w:basedOn w:val="DefaultParagraphFont"/>
    <w:uiPriority w:val="99"/>
    <w:rsid w:val="00e618bf"/>
    <w:rPr/>
  </w:style>
  <w:style w:type="character" w:styleId="DefaultParagraphFont" w:default="1">
    <w:name w:val="Default Paragraph Font"/>
    <w:uiPriority w:val="1"/>
    <w:semiHidden/>
    <w:unhideWhenUsed/>
    <w:rPr/>
  </w:style>
  <w:style w:type="character" w:styleId="Heading1Char" w:customStyle="1">
    <w:name w:val="Heading 1 Char"/>
    <w:basedOn w:val="DefaultParagraphFont"/>
    <w:uiPriority w:val="9"/>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uiPriority w:val="9"/>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uiPriority w:val="9"/>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uiPriority w:val="10"/>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uiPriority w:val="11"/>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rsid w:val="00aa1d8d"/>
    <w:rPr/>
  </w:style>
  <w:style w:type="character" w:styleId="BodyText2Char" w:customStyle="1">
    <w:name w:val="Body Text 2 Char"/>
    <w:basedOn w:val="DefaultParagraphFont"/>
    <w:link w:val="BodyText2"/>
    <w:uiPriority w:val="99"/>
    <w:rsid w:val="00aa1d8d"/>
    <w:rPr/>
  </w:style>
  <w:style w:type="character" w:styleId="BodyText3Char" w:customStyle="1">
    <w:name w:val="Body Text 3 Char"/>
    <w:basedOn w:val="DefaultParagraphFont"/>
    <w:link w:val="BodyText3"/>
    <w:uiPriority w:val="99"/>
    <w:rsid w:val="00aa1d8d"/>
    <w:rPr>
      <w:sz w:val="16"/>
      <w:szCs w:val="16"/>
    </w:rPr>
  </w:style>
  <w:style w:type="character" w:styleId="MacroTextChar" w:customStyle="1">
    <w:name w:val="Macro Text Char"/>
    <w:basedOn w:val="DefaultParagraphFont"/>
    <w:link w:val="MacroText"/>
    <w:uiPriority w:val="99"/>
    <w:rsid w:val="0029639d"/>
    <w:rPr>
      <w:rFonts w:ascii="Courier" w:hAnsi="Courier"/>
      <w:sz w:val="20"/>
      <w:szCs w:val="20"/>
    </w:rPr>
  </w:style>
  <w:style w:type="character" w:styleId="QuoteChar" w:customStyle="1">
    <w:name w:val="Quote Char"/>
    <w:basedOn w:val="DefaultParagraphFont"/>
    <w:link w:val="Quote"/>
    <w:uiPriority w:val="29"/>
    <w:rsid w:val="00fc693f"/>
    <w:rPr>
      <w:i/>
      <w:iCs/>
      <w:color w:themeColor="text1" w:val="000000"/>
    </w:rPr>
  </w:style>
  <w:style w:type="character" w:styleId="Heading4Char" w:customStyle="1">
    <w:name w:val="Heading 4 Char"/>
    <w:basedOn w:val="DefaultParagraphFont"/>
    <w:uiPriority w:val="9"/>
    <w:semiHidden/>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uiPriority w:val="9"/>
    <w:semiHidden/>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uiPriority w:val="9"/>
    <w:semiHidden/>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uiPriority w:val="9"/>
    <w:semiHidden/>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uiPriority w:val="9"/>
    <w:semiHidden/>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uiPriority w:val="9"/>
    <w:semiHidden/>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character" w:styleId="Enlacedelndice">
    <w:name w:val="Enlace del índice"/>
    <w:rPr/>
  </w:style>
  <w:style w:type="paragraph" w:styleId="Ttulo">
    <w:name w:val="Título"/>
    <w:basedOn w:val="Normal"/>
    <w:next w:val="BodyText"/>
    <w:pPr>
      <w:keepNext w:val="true"/>
      <w:spacing w:before="240" w:after="120"/>
    </w:pPr>
    <w:rPr>
      <w:rFonts w:ascii="Liberation Sans" w:hAnsi="Liberation Sans" w:eastAsia="Nimbus Sans" w:cs="Free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8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ndice">
    <w:name w:val="Índice"/>
    <w:basedOn w:val="Normal"/>
    <w:pPr>
      <w:suppressLineNumbers/>
    </w:pPr>
    <w:rPr>
      <w:rFonts w:cs="FreeSans"/>
    </w:rPr>
  </w:style>
  <w:style w:type="paragraph" w:styleId="Cabeceraypie">
    <w:name w:val="Cabecera y pie"/>
    <w:basedOn w:val="Normal"/>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80"/>
      <w:ind w:start="720"/>
      <w:contextualSpacing/>
    </w:pPr>
    <w:rPr/>
  </w:style>
  <w:style w:type="paragraph" w:styleId="BodyText2">
    <w:name w:val="Body Text 2"/>
    <w:basedOn w:val="Normal"/>
    <w:link w:val="BodyText2Char"/>
    <w:uiPriority w:val="99"/>
    <w:unhideWhenUsed/>
    <w:rsid w:val="00aa1d8d"/>
    <w:pPr>
      <w:spacing w:lineRule="auto" w:line="480" w:before="0" w:after="120"/>
    </w:pPr>
    <w:rPr/>
  </w:style>
  <w:style w:type="paragraph" w:styleId="BodyText3">
    <w:name w:val="Body Text 3"/>
    <w:basedOn w:val="Normal"/>
    <w:link w:val="BodyText3Char"/>
    <w:uiPriority w:val="99"/>
    <w:unhideWhenUsed/>
    <w:rsid w:val="00aa1d8d"/>
    <w:pPr>
      <w:spacing w:before="0" w:after="120"/>
    </w:pPr>
    <w:rPr>
      <w:sz w:val="16"/>
      <w:szCs w:val="16"/>
    </w:rPr>
  </w:style>
  <w:style w:type="paragraph" w:styleId="List2">
    <w:name w:val="List 2"/>
    <w:basedOn w:val="Normal"/>
    <w:uiPriority w:val="99"/>
    <w:unhideWhenUsed/>
    <w:rsid w:val="00326f90"/>
    <w:pPr>
      <w:spacing w:before="0" w:after="80"/>
      <w:ind w:hanging="360" w:start="720"/>
      <w:contextualSpacing/>
    </w:pPr>
    <w:rPr/>
  </w:style>
  <w:style w:type="paragraph" w:styleId="List3">
    <w:name w:val="List 3"/>
    <w:basedOn w:val="Normal"/>
    <w:uiPriority w:val="99"/>
    <w:unhideWhenUsed/>
    <w:rsid w:val="00326f90"/>
    <w:pPr>
      <w:spacing w:before="0" w:after="80"/>
      <w:ind w:hanging="360" w:start="1080"/>
      <w:contextualSpacing/>
    </w:pPr>
    <w:rPr/>
  </w:style>
  <w:style w:type="paragraph" w:styleId="ListBullet">
    <w:name w:val="List Bullet"/>
    <w:basedOn w:val="Normal"/>
    <w:uiPriority w:val="99"/>
    <w:unhideWhenUsed/>
    <w:rsid w:val="00326f90"/>
    <w:pPr>
      <w:numPr>
        <w:ilvl w:val="0"/>
        <w:numId w:val="1"/>
      </w:numPr>
      <w:spacing w:before="0" w:after="80"/>
      <w:contextualSpacing/>
    </w:pPr>
    <w:rPr/>
  </w:style>
  <w:style w:type="paragraph" w:styleId="ListBullet2">
    <w:name w:val="List Bullet 2"/>
    <w:basedOn w:val="Normal"/>
    <w:uiPriority w:val="99"/>
    <w:unhideWhenUsed/>
    <w:rsid w:val="00326f90"/>
    <w:pPr>
      <w:numPr>
        <w:ilvl w:val="0"/>
        <w:numId w:val="2"/>
      </w:numPr>
      <w:spacing w:before="0" w:after="80"/>
      <w:contextualSpacing/>
    </w:pPr>
    <w:rPr/>
  </w:style>
  <w:style w:type="paragraph" w:styleId="ListBullet3">
    <w:name w:val="List Bullet 3"/>
    <w:basedOn w:val="Normal"/>
    <w:uiPriority w:val="99"/>
    <w:unhideWhenUsed/>
    <w:rsid w:val="00326f90"/>
    <w:pPr>
      <w:numPr>
        <w:ilvl w:val="0"/>
        <w:numId w:val="3"/>
      </w:numPr>
      <w:spacing w:before="0" w:after="80"/>
      <w:contextualSpacing/>
    </w:pPr>
    <w:rPr/>
  </w:style>
  <w:style w:type="paragraph" w:styleId="ListNumber">
    <w:name w:val="List Number"/>
    <w:basedOn w:val="Normal"/>
    <w:uiPriority w:val="99"/>
    <w:unhideWhenUsed/>
    <w:rsid w:val="00326f90"/>
    <w:pPr>
      <w:numPr>
        <w:ilvl w:val="0"/>
        <w:numId w:val="4"/>
      </w:numPr>
      <w:spacing w:before="0" w:after="80"/>
      <w:contextualSpacing/>
    </w:pPr>
    <w:rPr/>
  </w:style>
  <w:style w:type="paragraph" w:styleId="ListNumber2">
    <w:name w:val="List Number 2"/>
    <w:basedOn w:val="Normal"/>
    <w:uiPriority w:val="99"/>
    <w:unhideWhenUsed/>
    <w:rsid w:val="0029639d"/>
    <w:pPr>
      <w:numPr>
        <w:ilvl w:val="0"/>
        <w:numId w:val="5"/>
      </w:numPr>
      <w:spacing w:before="0" w:after="80"/>
      <w:contextualSpacing/>
    </w:pPr>
    <w:rPr/>
  </w:style>
  <w:style w:type="paragraph" w:styleId="ListNumber3">
    <w:name w:val="List Number 3"/>
    <w:basedOn w:val="Normal"/>
    <w:uiPriority w:val="99"/>
    <w:unhideWhenUsed/>
    <w:rsid w:val="0029639d"/>
    <w:pPr>
      <w:numPr>
        <w:ilvl w:val="0"/>
        <w:numId w:val="6"/>
      </w:numPr>
      <w:spacing w:before="0" w:after="8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Ttulo"/>
    <w:pPr/>
    <w:rPr/>
  </w:style>
  <w:style w:type="paragraph" w:styleId="TOCHeading">
    <w:name w:val="TOC Heading"/>
    <w:basedOn w:val="Heading1"/>
    <w:next w:val="Normal"/>
    <w:uiPriority w:val="39"/>
    <w:semiHidden/>
    <w:unhideWhenUsed/>
    <w:qFormat/>
    <w:rsid w:val="00fc693f"/>
    <w:pPr>
      <w:outlineLvl w:val="9"/>
    </w:pPr>
    <w:rPr/>
  </w:style>
  <w:style w:type="paragraph" w:styleId="TOC1">
    <w:name w:val="toc 1"/>
    <w:basedOn w:val="ndice"/>
    <w:pPr>
      <w:tabs>
        <w:tab w:val="clear" w:pos="720"/>
        <w:tab w:val="right" w:pos="9504" w:leader="dot"/>
      </w:tabs>
      <w:ind w:hanging="0" w:start="0"/>
    </w:pPr>
    <w:rPr/>
  </w:style>
  <w:style w:type="paragraph" w:styleId="TOC2">
    <w:name w:val="toc 2"/>
    <w:basedOn w:val="ndice"/>
    <w:pPr>
      <w:tabs>
        <w:tab w:val="clear" w:pos="720"/>
        <w:tab w:val="right" w:pos="9221" w:leader="dot"/>
      </w:tabs>
      <w:ind w:hanging="0" w:start="283"/>
    </w:pPr>
    <w:rPr/>
  </w:style>
  <w:style w:type="numbering" w:styleId="Ningunalista" w:default="1">
    <w:name w:val="Ninguna lista"/>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 Id="rId2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pitchFamily="0" charset="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LibreOffice/26.8.0.3$Linux_X86_64 LibreOffice_project/680$Build-3</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es-PE</dc:language>
  <cp:lastModifiedBy/>
  <dcterms:modified xsi:type="dcterms:W3CDTF">2026-10-22T12:24:08Z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